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s>
        <w:spacing w:line="360" w:lineRule="auto"/>
        <w:rPr>
          <w:b/>
          <w:bCs/>
          <w:sz w:val="44"/>
          <w:szCs w:val="44"/>
        </w:rPr>
      </w:pPr>
    </w:p>
    <w:p>
      <w:pPr>
        <w:tabs>
          <w:tab w:val="left" w:pos="720"/>
        </w:tabs>
        <w:spacing w:line="360" w:lineRule="auto"/>
        <w:jc w:val="center"/>
        <w:rPr>
          <w:b/>
          <w:sz w:val="44"/>
          <w:szCs w:val="44"/>
        </w:rPr>
      </w:pPr>
      <w:r>
        <w:rPr>
          <w:rFonts w:hint="eastAsia"/>
          <w:b/>
          <w:sz w:val="44"/>
          <w:szCs w:val="44"/>
        </w:rPr>
        <w:t>广州大学城投资经营管理有限公司</w:t>
      </w:r>
    </w:p>
    <w:p>
      <w:pPr>
        <w:tabs>
          <w:tab w:val="left" w:pos="720"/>
        </w:tabs>
        <w:spacing w:line="360" w:lineRule="auto"/>
        <w:jc w:val="center"/>
        <w:rPr>
          <w:b/>
          <w:sz w:val="44"/>
          <w:szCs w:val="44"/>
        </w:rPr>
      </w:pPr>
      <w:r>
        <w:rPr>
          <w:rFonts w:hint="eastAsia"/>
          <w:b/>
          <w:sz w:val="44"/>
          <w:szCs w:val="44"/>
        </w:rPr>
        <w:t>广州大学城区域供冷中山大学化学与材料楼接口预留工程竞选文件</w:t>
      </w:r>
    </w:p>
    <w:p>
      <w:pPr>
        <w:tabs>
          <w:tab w:val="left" w:pos="720"/>
        </w:tabs>
        <w:spacing w:line="360" w:lineRule="auto"/>
        <w:rPr>
          <w:b/>
          <w:bCs/>
          <w:sz w:val="44"/>
          <w:szCs w:val="44"/>
        </w:rPr>
      </w:pPr>
    </w:p>
    <w:p>
      <w:pPr>
        <w:tabs>
          <w:tab w:val="left" w:pos="540"/>
          <w:tab w:val="left" w:pos="720"/>
        </w:tabs>
        <w:ind w:firstLine="562" w:firstLineChars="200"/>
        <w:rPr>
          <w:b/>
          <w:sz w:val="28"/>
          <w:szCs w:val="28"/>
        </w:rPr>
      </w:pPr>
      <w:r>
        <w:rPr>
          <w:rFonts w:hint="eastAsia"/>
          <w:b/>
          <w:sz w:val="28"/>
          <w:szCs w:val="28"/>
        </w:rPr>
        <w:t>一、项目基本情况</w:t>
      </w:r>
    </w:p>
    <w:p>
      <w:pPr>
        <w:ind w:firstLine="560" w:firstLineChars="200"/>
        <w:rPr>
          <w:sz w:val="28"/>
          <w:szCs w:val="28"/>
        </w:rPr>
      </w:pPr>
      <w:r>
        <w:rPr>
          <w:rFonts w:hint="eastAsia"/>
          <w:sz w:val="28"/>
          <w:szCs w:val="28"/>
        </w:rPr>
        <w:t>（一）项目名称：广州大学城区域供冷中山大学化学与材料楼接口预留工程</w:t>
      </w:r>
    </w:p>
    <w:p>
      <w:pPr>
        <w:ind w:firstLine="560" w:firstLineChars="200"/>
        <w:rPr>
          <w:sz w:val="28"/>
          <w:szCs w:val="28"/>
        </w:rPr>
      </w:pPr>
      <w:r>
        <w:rPr>
          <w:rFonts w:hint="eastAsia"/>
          <w:sz w:val="28"/>
          <w:szCs w:val="28"/>
        </w:rPr>
        <w:t>（二）项目地点：广州大学城区域供冷中山大学化学与材料楼</w:t>
      </w:r>
    </w:p>
    <w:p>
      <w:pPr>
        <w:ind w:firstLine="560" w:firstLineChars="200"/>
        <w:rPr>
          <w:sz w:val="28"/>
          <w:szCs w:val="28"/>
        </w:rPr>
      </w:pPr>
      <w:r>
        <w:rPr>
          <w:rFonts w:hint="eastAsia"/>
          <w:sz w:val="28"/>
          <w:szCs w:val="28"/>
        </w:rPr>
        <w:t>（三）</w:t>
      </w:r>
      <w:r>
        <w:rPr>
          <w:rFonts w:hint="eastAsia" w:ascii="宋体" w:hAnsi="宋体" w:cs="Arial"/>
          <w:color w:val="000000"/>
          <w:sz w:val="28"/>
          <w:szCs w:val="28"/>
        </w:rPr>
        <w:t>采购限价：人民币37万元（投标报价超过采购限价为无效投标）。</w:t>
      </w:r>
    </w:p>
    <w:p>
      <w:pPr>
        <w:tabs>
          <w:tab w:val="left" w:pos="0"/>
          <w:tab w:val="left" w:pos="720"/>
        </w:tabs>
        <w:ind w:firstLine="560" w:firstLineChars="200"/>
        <w:rPr>
          <w:sz w:val="28"/>
          <w:szCs w:val="28"/>
        </w:rPr>
      </w:pPr>
      <w:r>
        <w:rPr>
          <w:rFonts w:hint="eastAsia"/>
          <w:sz w:val="28"/>
          <w:szCs w:val="28"/>
        </w:rPr>
        <w:t>（四）项目概况</w:t>
      </w:r>
    </w:p>
    <w:p>
      <w:pPr>
        <w:tabs>
          <w:tab w:val="left" w:pos="0"/>
          <w:tab w:val="left" w:pos="720"/>
        </w:tabs>
        <w:ind w:firstLine="560" w:firstLineChars="200"/>
        <w:rPr>
          <w:sz w:val="28"/>
          <w:szCs w:val="28"/>
        </w:rPr>
      </w:pPr>
      <w:r>
        <w:rPr>
          <w:rFonts w:hint="eastAsia"/>
          <w:sz w:val="28"/>
          <w:szCs w:val="28"/>
        </w:rPr>
        <w:t>广州大学城中山大学化学与材料楼位于广外西路西侧，是中山大学校内新建的大楼，计划于今年7月份开始用冷，冷源是我司的区域供冷系统。现我司区域供冷管网已敷设至广外西路人行道，冷冻水管管径为DN700及DN500，现拟从该处DN700管道开口往西侧甩头至化材楼。</w:t>
      </w:r>
    </w:p>
    <w:p>
      <w:pPr>
        <w:tabs>
          <w:tab w:val="left" w:pos="0"/>
          <w:tab w:val="left" w:pos="720"/>
        </w:tabs>
        <w:ind w:firstLine="560" w:firstLineChars="200"/>
        <w:rPr>
          <w:sz w:val="28"/>
          <w:szCs w:val="28"/>
        </w:rPr>
      </w:pPr>
      <w:r>
        <w:rPr>
          <w:sz w:val="28"/>
          <w:szCs w:val="28"/>
        </w:rPr>
        <w:t>注：</w:t>
      </w:r>
      <w:r>
        <w:rPr>
          <w:rFonts w:hint="eastAsia"/>
          <w:sz w:val="28"/>
          <w:szCs w:val="28"/>
        </w:rPr>
        <w:t>本文件中甲方特指采购人，乙方特指中标单位。</w:t>
      </w:r>
    </w:p>
    <w:p>
      <w:pPr>
        <w:tabs>
          <w:tab w:val="left" w:pos="0"/>
          <w:tab w:val="left" w:pos="720"/>
        </w:tabs>
        <w:ind w:firstLine="562" w:firstLineChars="200"/>
        <w:rPr>
          <w:b/>
          <w:sz w:val="28"/>
          <w:szCs w:val="28"/>
        </w:rPr>
      </w:pPr>
      <w:r>
        <w:rPr>
          <w:rFonts w:hint="eastAsia"/>
          <w:b/>
          <w:sz w:val="28"/>
          <w:szCs w:val="28"/>
        </w:rPr>
        <w:t>二、合格投标人资格要求</w:t>
      </w:r>
    </w:p>
    <w:p>
      <w:pPr>
        <w:ind w:firstLine="560" w:firstLineChars="200"/>
        <w:rPr>
          <w:sz w:val="28"/>
          <w:szCs w:val="28"/>
        </w:rPr>
      </w:pPr>
      <w:r>
        <w:rPr>
          <w:rFonts w:hint="eastAsia"/>
          <w:sz w:val="28"/>
          <w:szCs w:val="28"/>
        </w:rPr>
        <w:t>（一）</w:t>
      </w:r>
      <w:r>
        <w:rPr>
          <w:rFonts w:hint="eastAsia"/>
          <w:kern w:val="0"/>
          <w:sz w:val="28"/>
          <w:szCs w:val="28"/>
        </w:rPr>
        <w:t>必须是具有独立承担民事责任能力、</w:t>
      </w:r>
      <w:r>
        <w:rPr>
          <w:rFonts w:hint="eastAsia"/>
          <w:sz w:val="28"/>
          <w:szCs w:val="28"/>
        </w:rPr>
        <w:t>在中华人民共和国境内注册的法人，按国家法律经营；</w:t>
      </w:r>
    </w:p>
    <w:p>
      <w:pPr>
        <w:ind w:firstLine="560" w:firstLineChars="200"/>
        <w:rPr>
          <w:sz w:val="28"/>
          <w:szCs w:val="28"/>
        </w:rPr>
      </w:pPr>
      <w:r>
        <w:rPr>
          <w:rFonts w:hint="eastAsia"/>
          <w:sz w:val="28"/>
          <w:szCs w:val="28"/>
        </w:rPr>
        <w:t>（二）具备有效的工商营业执照、企业法人组织机构代码证书、税务登记证书（或三证合一）；</w:t>
      </w:r>
    </w:p>
    <w:p>
      <w:pPr>
        <w:tabs>
          <w:tab w:val="left" w:pos="0"/>
          <w:tab w:val="left" w:pos="720"/>
        </w:tabs>
        <w:ind w:firstLine="560" w:firstLineChars="200"/>
        <w:rPr>
          <w:sz w:val="28"/>
          <w:szCs w:val="28"/>
        </w:rPr>
      </w:pPr>
      <w:r>
        <w:rPr>
          <w:rFonts w:hint="eastAsia"/>
          <w:sz w:val="28"/>
          <w:szCs w:val="28"/>
        </w:rPr>
        <w:t>（三）</w:t>
      </w:r>
      <w:r>
        <w:rPr>
          <w:sz w:val="28"/>
          <w:szCs w:val="28"/>
        </w:rPr>
        <w:t>已办理合法税务登记，具有开具相应增值税专用发票资格</w:t>
      </w:r>
      <w:r>
        <w:rPr>
          <w:rFonts w:hint="eastAsia"/>
          <w:sz w:val="28"/>
          <w:szCs w:val="28"/>
        </w:rPr>
        <w:t>；</w:t>
      </w:r>
    </w:p>
    <w:p>
      <w:pPr>
        <w:tabs>
          <w:tab w:val="left" w:pos="0"/>
          <w:tab w:val="left" w:pos="720"/>
        </w:tabs>
        <w:ind w:firstLine="560" w:firstLineChars="200"/>
        <w:rPr>
          <w:sz w:val="28"/>
          <w:szCs w:val="28"/>
        </w:rPr>
      </w:pPr>
      <w:r>
        <w:rPr>
          <w:rFonts w:hint="eastAsia"/>
          <w:sz w:val="28"/>
          <w:szCs w:val="28"/>
        </w:rPr>
        <w:t>（四）持有建设行政主管部门颁发的企业资质证书及安全生产许可证，具备以下资质之一：</w:t>
      </w:r>
    </w:p>
    <w:p>
      <w:pPr>
        <w:tabs>
          <w:tab w:val="left" w:pos="0"/>
          <w:tab w:val="left" w:pos="720"/>
        </w:tabs>
        <w:ind w:firstLine="560" w:firstLineChars="200"/>
        <w:rPr>
          <w:sz w:val="28"/>
          <w:szCs w:val="28"/>
        </w:rPr>
      </w:pPr>
      <w:r>
        <w:rPr>
          <w:rFonts w:hint="eastAsia"/>
          <w:sz w:val="28"/>
          <w:szCs w:val="28"/>
        </w:rPr>
        <w:t>1、建筑机电安装工程专业承包三级或以上资质；</w:t>
      </w:r>
    </w:p>
    <w:p>
      <w:pPr>
        <w:tabs>
          <w:tab w:val="left" w:pos="0"/>
          <w:tab w:val="left" w:pos="720"/>
        </w:tabs>
        <w:ind w:firstLine="560" w:firstLineChars="200"/>
        <w:rPr>
          <w:sz w:val="28"/>
          <w:szCs w:val="28"/>
        </w:rPr>
      </w:pPr>
      <w:r>
        <w:rPr>
          <w:rFonts w:hint="eastAsia"/>
          <w:sz w:val="28"/>
          <w:szCs w:val="28"/>
        </w:rPr>
        <w:t>2、市政公用工程施工总承包三级或以上资质；</w:t>
      </w:r>
    </w:p>
    <w:p>
      <w:pPr>
        <w:tabs>
          <w:tab w:val="left" w:pos="0"/>
          <w:tab w:val="left" w:pos="720"/>
        </w:tabs>
        <w:ind w:firstLine="560" w:firstLineChars="200"/>
        <w:rPr>
          <w:sz w:val="28"/>
          <w:szCs w:val="28"/>
        </w:rPr>
      </w:pPr>
      <w:r>
        <w:rPr>
          <w:rFonts w:hint="eastAsia"/>
          <w:sz w:val="28"/>
          <w:szCs w:val="28"/>
        </w:rPr>
        <w:t>3、建筑工程施工总承包三级或以上资质。</w:t>
      </w:r>
    </w:p>
    <w:p>
      <w:pPr>
        <w:tabs>
          <w:tab w:val="left" w:pos="0"/>
          <w:tab w:val="left" w:pos="720"/>
        </w:tabs>
        <w:ind w:firstLine="560" w:firstLineChars="200"/>
        <w:rPr>
          <w:sz w:val="28"/>
          <w:szCs w:val="28"/>
        </w:rPr>
      </w:pPr>
      <w:r>
        <w:rPr>
          <w:rFonts w:hint="eastAsia"/>
          <w:sz w:val="28"/>
          <w:szCs w:val="28"/>
        </w:rPr>
        <w:t>（五）投标人近3年内(20</w:t>
      </w:r>
      <w:r>
        <w:rPr>
          <w:sz w:val="28"/>
          <w:szCs w:val="28"/>
        </w:rPr>
        <w:t>16</w:t>
      </w:r>
      <w:r>
        <w:rPr>
          <w:rFonts w:hint="eastAsia"/>
          <w:sz w:val="28"/>
          <w:szCs w:val="28"/>
        </w:rPr>
        <w:t>年1月1日至今) 完成过质量合格的类似管道施工项目施工业绩（需提供合同和验收报告等相关证明材料复印件，完成时间以竣工验收时间为准）；</w:t>
      </w:r>
    </w:p>
    <w:p>
      <w:pPr>
        <w:tabs>
          <w:tab w:val="left" w:pos="0"/>
          <w:tab w:val="left" w:pos="720"/>
        </w:tabs>
        <w:ind w:firstLine="560" w:firstLineChars="200"/>
        <w:rPr>
          <w:sz w:val="28"/>
          <w:szCs w:val="28"/>
        </w:rPr>
      </w:pPr>
      <w:r>
        <w:rPr>
          <w:rFonts w:hint="eastAsia"/>
          <w:sz w:val="28"/>
          <w:szCs w:val="28"/>
        </w:rPr>
        <w:t>（六）不接受联合体报价。</w:t>
      </w:r>
    </w:p>
    <w:p>
      <w:pPr>
        <w:tabs>
          <w:tab w:val="left" w:pos="0"/>
          <w:tab w:val="left" w:pos="720"/>
        </w:tabs>
        <w:ind w:firstLine="562" w:firstLineChars="200"/>
        <w:rPr>
          <w:sz w:val="28"/>
          <w:szCs w:val="28"/>
        </w:rPr>
      </w:pPr>
      <w:r>
        <w:rPr>
          <w:rFonts w:hint="eastAsia" w:ascii="宋体" w:hAnsi="宋体"/>
          <w:b/>
          <w:sz w:val="28"/>
          <w:szCs w:val="28"/>
        </w:rPr>
        <w:t>三、项目</w:t>
      </w:r>
      <w:r>
        <w:rPr>
          <w:rFonts w:hint="eastAsia"/>
          <w:b/>
          <w:sz w:val="28"/>
          <w:szCs w:val="28"/>
        </w:rPr>
        <w:t>内容及要求</w:t>
      </w:r>
    </w:p>
    <w:p>
      <w:pPr>
        <w:ind w:firstLine="560" w:firstLineChars="200"/>
        <w:rPr>
          <w:sz w:val="28"/>
          <w:szCs w:val="28"/>
        </w:rPr>
      </w:pPr>
      <w:r>
        <w:rPr>
          <w:rFonts w:hint="eastAsia"/>
          <w:sz w:val="28"/>
          <w:szCs w:val="28"/>
        </w:rPr>
        <w:t>（一）施工内容</w:t>
      </w:r>
    </w:p>
    <w:p>
      <w:pPr>
        <w:ind w:firstLine="560" w:firstLineChars="200"/>
        <w:rPr>
          <w:sz w:val="28"/>
          <w:szCs w:val="28"/>
        </w:rPr>
      </w:pPr>
      <w:r>
        <w:rPr>
          <w:rFonts w:hint="eastAsia"/>
          <w:sz w:val="28"/>
          <w:szCs w:val="28"/>
        </w:rPr>
        <w:t>1、道路、人行道开挖及恢复。</w:t>
      </w:r>
    </w:p>
    <w:p>
      <w:pPr>
        <w:ind w:firstLine="560" w:firstLineChars="200"/>
        <w:rPr>
          <w:sz w:val="28"/>
          <w:szCs w:val="28"/>
        </w:rPr>
      </w:pPr>
      <w:r>
        <w:rPr>
          <w:rFonts w:hint="eastAsia"/>
          <w:sz w:val="28"/>
          <w:szCs w:val="28"/>
        </w:rPr>
        <w:t>2、管道铺设、阀门安装。</w:t>
      </w:r>
    </w:p>
    <w:p>
      <w:pPr>
        <w:ind w:firstLine="560" w:firstLineChars="200"/>
        <w:rPr>
          <w:sz w:val="28"/>
          <w:szCs w:val="28"/>
        </w:rPr>
      </w:pPr>
      <w:r>
        <w:rPr>
          <w:rFonts w:hint="eastAsia"/>
          <w:sz w:val="28"/>
          <w:szCs w:val="28"/>
        </w:rPr>
        <w:t>3、其他配套工作。</w:t>
      </w:r>
    </w:p>
    <w:p>
      <w:pPr>
        <w:ind w:firstLine="560" w:firstLineChars="200"/>
        <w:rPr>
          <w:sz w:val="28"/>
          <w:szCs w:val="28"/>
        </w:rPr>
      </w:pPr>
      <w:r>
        <w:rPr>
          <w:rFonts w:hint="eastAsia"/>
          <w:sz w:val="28"/>
          <w:szCs w:val="28"/>
        </w:rPr>
        <w:t>（二）施工要求</w:t>
      </w:r>
    </w:p>
    <w:p>
      <w:pPr>
        <w:ind w:firstLine="560" w:firstLineChars="200"/>
        <w:rPr>
          <w:sz w:val="28"/>
          <w:szCs w:val="28"/>
        </w:rPr>
      </w:pPr>
      <w:r>
        <w:rPr>
          <w:rFonts w:hint="eastAsia"/>
          <w:sz w:val="28"/>
          <w:szCs w:val="28"/>
        </w:rPr>
        <w:t>1、设备的安装满足国家规范要求，管道、阀门及设备的安装位置以现场确认为准。</w:t>
      </w:r>
    </w:p>
    <w:p>
      <w:pPr>
        <w:ind w:firstLine="560" w:firstLineChars="200"/>
        <w:rPr>
          <w:sz w:val="28"/>
          <w:szCs w:val="28"/>
        </w:rPr>
      </w:pPr>
      <w:r>
        <w:rPr>
          <w:rFonts w:hint="eastAsia"/>
          <w:sz w:val="28"/>
          <w:szCs w:val="28"/>
        </w:rPr>
        <w:t>2、管道走向要求合理美观，管道安装前应对管道进行清理，拖刷并清除干挣内部的脏物，施工时管道不能有沙子及其他杂质，管道安装后进行系统冲洗。各设备的安装位置要便于日常的操作及检修。</w:t>
      </w:r>
    </w:p>
    <w:p>
      <w:pPr>
        <w:ind w:firstLine="560" w:firstLineChars="200"/>
        <w:rPr>
          <w:sz w:val="28"/>
          <w:szCs w:val="28"/>
        </w:rPr>
      </w:pPr>
      <w:r>
        <w:rPr>
          <w:rFonts w:hint="eastAsia"/>
          <w:sz w:val="28"/>
          <w:szCs w:val="28"/>
        </w:rPr>
        <w:t>3、管道末端设置盲板封堵，防止漏水。</w:t>
      </w:r>
    </w:p>
    <w:p>
      <w:pPr>
        <w:ind w:firstLine="560" w:firstLineChars="200"/>
        <w:rPr>
          <w:sz w:val="28"/>
          <w:szCs w:val="28"/>
        </w:rPr>
      </w:pPr>
      <w:r>
        <w:rPr>
          <w:rFonts w:hint="eastAsia"/>
          <w:sz w:val="28"/>
          <w:szCs w:val="28"/>
        </w:rPr>
        <w:t>4、管道安装要求：</w:t>
      </w:r>
    </w:p>
    <w:p>
      <w:pPr>
        <w:ind w:firstLine="560" w:firstLineChars="200"/>
        <w:rPr>
          <w:sz w:val="28"/>
          <w:szCs w:val="28"/>
        </w:rPr>
      </w:pPr>
      <w:r>
        <w:rPr>
          <w:rFonts w:hint="eastAsia"/>
          <w:sz w:val="28"/>
          <w:szCs w:val="28"/>
        </w:rPr>
        <w:t>1）管道对接时，先把管道端口修理平整后，打磨出坡口，用氩弧焊打底进行焊接；</w:t>
      </w:r>
    </w:p>
    <w:p>
      <w:pPr>
        <w:ind w:firstLine="560" w:firstLineChars="200"/>
        <w:rPr>
          <w:sz w:val="28"/>
          <w:szCs w:val="28"/>
        </w:rPr>
      </w:pPr>
      <w:r>
        <w:rPr>
          <w:rFonts w:hint="eastAsia"/>
          <w:sz w:val="28"/>
          <w:szCs w:val="28"/>
        </w:rPr>
        <w:t>2）焊缝外形均匀，焊道与焊道、焊道与原金属之间过渡平滑，焊渣和飞溅物要清除干净。</w:t>
      </w:r>
    </w:p>
    <w:p>
      <w:pPr>
        <w:ind w:firstLine="560" w:firstLineChars="200"/>
        <w:rPr>
          <w:sz w:val="28"/>
          <w:szCs w:val="28"/>
        </w:rPr>
      </w:pPr>
      <w:r>
        <w:rPr>
          <w:rFonts w:hint="eastAsia"/>
          <w:sz w:val="28"/>
          <w:szCs w:val="28"/>
        </w:rPr>
        <w:t>3）焊缝间距应符合CJJ 28-2004《城镇供热管网工程施工及验收规范》的规定。</w:t>
      </w:r>
    </w:p>
    <w:p>
      <w:pPr>
        <w:ind w:firstLine="560" w:firstLineChars="200"/>
        <w:rPr>
          <w:sz w:val="28"/>
          <w:szCs w:val="28"/>
        </w:rPr>
      </w:pPr>
      <w:r>
        <w:rPr>
          <w:rFonts w:hint="eastAsia"/>
          <w:sz w:val="28"/>
          <w:szCs w:val="28"/>
        </w:rPr>
        <w:t>4）对接焊缝应进行100%超声波无损探伤，首次探伤费用由业主负责，对不合格焊缝产生的探伤费用由施工单位负责。</w:t>
      </w:r>
    </w:p>
    <w:p>
      <w:pPr>
        <w:ind w:firstLine="560" w:firstLineChars="200"/>
        <w:rPr>
          <w:sz w:val="28"/>
          <w:szCs w:val="28"/>
        </w:rPr>
      </w:pPr>
      <w:r>
        <w:rPr>
          <w:rFonts w:hint="eastAsia"/>
          <w:sz w:val="28"/>
          <w:szCs w:val="28"/>
        </w:rPr>
        <w:t>5、土建施工</w:t>
      </w:r>
    </w:p>
    <w:p>
      <w:pPr>
        <w:ind w:firstLine="560" w:firstLineChars="200"/>
        <w:rPr>
          <w:sz w:val="28"/>
          <w:szCs w:val="28"/>
        </w:rPr>
      </w:pPr>
      <w:r>
        <w:rPr>
          <w:rFonts w:hint="eastAsia"/>
          <w:sz w:val="28"/>
          <w:szCs w:val="28"/>
        </w:rPr>
        <w:t>管穿外墙处须对墙孔进行封闭和墙面恢复。</w:t>
      </w:r>
    </w:p>
    <w:p>
      <w:pPr>
        <w:ind w:firstLine="560" w:firstLineChars="200"/>
        <w:rPr>
          <w:sz w:val="28"/>
          <w:szCs w:val="28"/>
        </w:rPr>
      </w:pPr>
      <w:r>
        <w:rPr>
          <w:rFonts w:hint="eastAsia"/>
          <w:sz w:val="28"/>
          <w:szCs w:val="28"/>
        </w:rPr>
        <w:t>外墙孔需要做好防水措施6、支架</w:t>
      </w:r>
    </w:p>
    <w:p>
      <w:pPr>
        <w:ind w:firstLine="560" w:firstLineChars="200"/>
        <w:rPr>
          <w:sz w:val="28"/>
          <w:szCs w:val="28"/>
        </w:rPr>
      </w:pPr>
      <w:r>
        <w:rPr>
          <w:sz w:val="28"/>
          <w:szCs w:val="28"/>
        </w:rPr>
        <w:t>6</w:t>
      </w:r>
      <w:r>
        <w:rPr>
          <w:rFonts w:hint="eastAsia"/>
          <w:sz w:val="28"/>
          <w:szCs w:val="28"/>
        </w:rPr>
        <w:t>、防锈</w:t>
      </w:r>
    </w:p>
    <w:p>
      <w:pPr>
        <w:ind w:firstLine="560" w:firstLineChars="200"/>
        <w:rPr>
          <w:sz w:val="28"/>
          <w:szCs w:val="28"/>
        </w:rPr>
      </w:pPr>
      <w:r>
        <w:rPr>
          <w:rFonts w:hint="eastAsia"/>
          <w:sz w:val="28"/>
          <w:szCs w:val="28"/>
        </w:rPr>
        <w:t>所有新增管道及焊口均需刷两道防锈漆，新增及改造的支架刷两道防锈漆及三道浅灰面漆。</w:t>
      </w:r>
    </w:p>
    <w:p>
      <w:pPr>
        <w:ind w:firstLine="560" w:firstLineChars="200"/>
        <w:rPr>
          <w:sz w:val="28"/>
          <w:szCs w:val="28"/>
        </w:rPr>
      </w:pPr>
      <w:r>
        <w:rPr>
          <w:sz w:val="28"/>
          <w:szCs w:val="28"/>
        </w:rPr>
        <w:t>7</w:t>
      </w:r>
      <w:r>
        <w:rPr>
          <w:rFonts w:hint="eastAsia"/>
          <w:sz w:val="28"/>
          <w:szCs w:val="28"/>
        </w:rPr>
        <w:t>、标识</w:t>
      </w:r>
    </w:p>
    <w:p>
      <w:pPr>
        <w:ind w:firstLine="560" w:firstLineChars="200"/>
        <w:rPr>
          <w:sz w:val="28"/>
          <w:szCs w:val="28"/>
        </w:rPr>
      </w:pPr>
      <w:r>
        <w:rPr>
          <w:rFonts w:hint="eastAsia"/>
          <w:sz w:val="28"/>
          <w:szCs w:val="28"/>
        </w:rPr>
        <w:t>冷冻水管道需做好供回水管及水流方向箭头标识，采用红色喷漆喷涂。阀门常开/闭标识挂牌等。</w:t>
      </w:r>
    </w:p>
    <w:p>
      <w:pPr>
        <w:ind w:firstLine="560" w:firstLineChars="200"/>
        <w:rPr>
          <w:sz w:val="28"/>
          <w:szCs w:val="28"/>
        </w:rPr>
      </w:pPr>
      <w:r>
        <w:rPr>
          <w:sz w:val="28"/>
          <w:szCs w:val="28"/>
        </w:rPr>
        <w:t>8</w:t>
      </w:r>
      <w:r>
        <w:rPr>
          <w:rFonts w:hint="eastAsia"/>
          <w:sz w:val="28"/>
          <w:szCs w:val="28"/>
        </w:rPr>
        <w:t>、本项目中除已标明的甲供材料外，其他材料均由乙方提供。施工单位所提供的材料要求均为国标产品，我司对原料验收合格后方可使用及施工。</w:t>
      </w:r>
    </w:p>
    <w:p>
      <w:pPr>
        <w:ind w:firstLine="560" w:firstLineChars="200"/>
        <w:rPr>
          <w:sz w:val="28"/>
          <w:szCs w:val="28"/>
        </w:rPr>
      </w:pPr>
      <w:r>
        <w:rPr>
          <w:sz w:val="28"/>
          <w:szCs w:val="28"/>
        </w:rPr>
        <w:t>9</w:t>
      </w:r>
      <w:r>
        <w:rPr>
          <w:rFonts w:hint="eastAsia"/>
          <w:sz w:val="28"/>
          <w:szCs w:val="28"/>
        </w:rPr>
        <w:t>、在设备搬运及安装期间必须对地面、墙面等做好保护措施，对造成污损及损坏的需无偿还原原状。</w:t>
      </w:r>
    </w:p>
    <w:p>
      <w:pPr>
        <w:ind w:firstLine="562" w:firstLineChars="200"/>
        <w:rPr>
          <w:rFonts w:ascii="宋体" w:hAnsi="宋体"/>
          <w:b/>
          <w:sz w:val="28"/>
          <w:szCs w:val="28"/>
        </w:rPr>
      </w:pPr>
      <w:r>
        <w:rPr>
          <w:rFonts w:hint="eastAsia" w:ascii="宋体" w:hAnsi="宋体"/>
          <w:b/>
          <w:sz w:val="28"/>
          <w:szCs w:val="28"/>
        </w:rPr>
        <w:t>四、工程量及材料说明</w:t>
      </w:r>
    </w:p>
    <w:p>
      <w:pPr>
        <w:ind w:firstLine="565" w:firstLineChars="202"/>
        <w:jc w:val="left"/>
        <w:rPr>
          <w:rFonts w:ascii="宋体" w:hAnsi="宋体"/>
          <w:sz w:val="28"/>
          <w:szCs w:val="28"/>
        </w:rPr>
      </w:pPr>
      <w:r>
        <w:rPr>
          <w:rFonts w:hint="eastAsia" w:ascii="宋体" w:hAnsi="宋体"/>
          <w:sz w:val="28"/>
          <w:szCs w:val="28"/>
        </w:rPr>
        <w:t>以下工程量仅作参考，本项目由投标人包工包料（注明甲供材料除外），投标人勘踏现场后，应根据下表及结合现场实际情况综合考虑再进行报价。</w:t>
      </w:r>
    </w:p>
    <w:p>
      <w:pPr>
        <w:jc w:val="center"/>
        <w:rPr>
          <w:rFonts w:ascii="仿宋" w:hAnsi="仿宋" w:eastAsia="仿宋"/>
          <w:b/>
          <w:sz w:val="30"/>
          <w:szCs w:val="30"/>
        </w:rPr>
      </w:pPr>
      <w:r>
        <w:rPr>
          <w:rFonts w:hint="eastAsia" w:ascii="仿宋" w:hAnsi="仿宋" w:eastAsia="仿宋"/>
          <w:b/>
          <w:sz w:val="30"/>
          <w:szCs w:val="30"/>
        </w:rPr>
        <w:t>主要工程量清单</w:t>
      </w:r>
    </w:p>
    <w:tbl>
      <w:tblPr>
        <w:tblStyle w:val="9"/>
        <w:tblW w:w="99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417"/>
        <w:gridCol w:w="4536"/>
        <w:gridCol w:w="587"/>
        <w:gridCol w:w="97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序号</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项目名称</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项目特征描述</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计量单位</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工程量</w:t>
            </w:r>
          </w:p>
        </w:tc>
        <w:tc>
          <w:tcPr>
            <w:tcW w:w="1710"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0"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新旧管连接DN700</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1、开孔</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2、现场制作</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3、现场发泡保温</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4、广外西路预留口、中大中环路阀门井</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处</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2</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0"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2</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直埋式预制保温管DN600安装</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1.材质及规格:预制发泡聚氨酯保温钢管DN600</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2.接口方式:焊接</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3.铺设深度:综合考虑</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4.管道检验及试验要求:满足设计要求</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5、管道甲供</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米</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24</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0"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3</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螺旋焊钢管</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1、规格：φ630*10mm</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2、材质：碳钢</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3、连接方式：焊接连接</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4.管道检验及试验要求:满足设计要求</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5、保温：橡塑保温棉厚50mm</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米</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12</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9"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4</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预制聚氨酯发泡弯头DN600</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1、45°弯头预制直埋保温弯头</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个</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4</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5</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预制聚氨酯发泡弯头DN600</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1、90°弯头预制直埋保温弯头</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个</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2</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6</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碳钢管弯头90° DN600</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1.种类:钢制弯头</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2.材质及规格:DN600×90°</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3.接口形式:焊接连接</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4、保温：橡塑保温棉保温厚50mm</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个</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4</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4"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7</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预制聚氨酯发泡补口保温DN600</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1、PE保温外护壳业主提供</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个</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8</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0"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8</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焊接阀门DN700安装</w:t>
            </w:r>
          </w:p>
        </w:tc>
        <w:tc>
          <w:tcPr>
            <w:tcW w:w="4536" w:type="dxa"/>
            <w:shd w:val="clear" w:color="auto" w:fill="auto"/>
            <w:vAlign w:val="center"/>
          </w:tcPr>
          <w:p>
            <w:pPr>
              <w:pStyle w:val="24"/>
              <w:widowControl/>
              <w:numPr>
                <w:ilvl w:val="0"/>
                <w:numId w:val="1"/>
              </w:numPr>
              <w:ind w:firstLineChars="0"/>
              <w:jc w:val="left"/>
              <w:rPr>
                <w:rFonts w:ascii="宋体" w:hAnsi="宋体" w:cs="宋体"/>
                <w:color w:val="000000"/>
                <w:kern w:val="0"/>
                <w:sz w:val="22"/>
                <w:szCs w:val="22"/>
              </w:rPr>
            </w:pPr>
            <w:r>
              <w:rPr>
                <w:rFonts w:hint="eastAsia" w:ascii="宋体" w:hAnsi="宋体" w:cs="宋体"/>
                <w:color w:val="000000"/>
                <w:kern w:val="0"/>
                <w:sz w:val="22"/>
                <w:szCs w:val="22"/>
              </w:rPr>
              <w:t>阀门甲供</w:t>
            </w:r>
          </w:p>
          <w:p>
            <w:pPr>
              <w:pStyle w:val="24"/>
              <w:widowControl/>
              <w:numPr>
                <w:ilvl w:val="0"/>
                <w:numId w:val="1"/>
              </w:numPr>
              <w:ind w:firstLineChars="0"/>
              <w:jc w:val="left"/>
              <w:rPr>
                <w:rFonts w:ascii="宋体" w:hAnsi="宋体" w:cs="宋体"/>
                <w:color w:val="000000"/>
                <w:kern w:val="0"/>
                <w:sz w:val="22"/>
                <w:szCs w:val="22"/>
              </w:rPr>
            </w:pPr>
            <w:r>
              <w:rPr>
                <w:rFonts w:hint="eastAsia" w:ascii="宋体" w:hAnsi="宋体" w:cs="宋体"/>
                <w:color w:val="000000"/>
                <w:kern w:val="0"/>
                <w:sz w:val="22"/>
                <w:szCs w:val="22"/>
              </w:rPr>
              <w:t>现场喷涂聚氨酯发泡加外护套锡纸</w:t>
            </w:r>
          </w:p>
          <w:p>
            <w:pPr>
              <w:widowControl/>
              <w:jc w:val="left"/>
              <w:rPr>
                <w:rFonts w:ascii="宋体" w:hAnsi="宋体" w:cs="宋体"/>
                <w:color w:val="000000"/>
                <w:kern w:val="0"/>
                <w:sz w:val="22"/>
                <w:szCs w:val="22"/>
              </w:rPr>
            </w:pPr>
            <w:r>
              <w:rPr>
                <w:rFonts w:ascii="宋体" w:hAnsi="宋体" w:cs="宋体"/>
                <w:color w:val="000000"/>
                <w:kern w:val="0"/>
                <w:sz w:val="22"/>
                <w:szCs w:val="22"/>
              </w:rPr>
              <w:t>焊接连接</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个</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2</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9</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阀门DN600安装</w:t>
            </w:r>
          </w:p>
        </w:tc>
        <w:tc>
          <w:tcPr>
            <w:tcW w:w="4536" w:type="dxa"/>
            <w:shd w:val="clear" w:color="auto" w:fill="auto"/>
            <w:vAlign w:val="center"/>
          </w:tcPr>
          <w:p>
            <w:pPr>
              <w:pStyle w:val="24"/>
              <w:widowControl/>
              <w:numPr>
                <w:ilvl w:val="0"/>
                <w:numId w:val="2"/>
              </w:numPr>
              <w:ind w:firstLineChars="0"/>
              <w:jc w:val="left"/>
              <w:rPr>
                <w:rFonts w:ascii="宋体" w:hAnsi="宋体" w:cs="宋体"/>
                <w:color w:val="000000"/>
                <w:kern w:val="0"/>
                <w:sz w:val="22"/>
                <w:szCs w:val="22"/>
              </w:rPr>
            </w:pPr>
            <w:r>
              <w:rPr>
                <w:rFonts w:hint="eastAsia" w:ascii="宋体" w:hAnsi="宋体" w:cs="宋体"/>
                <w:color w:val="000000"/>
                <w:kern w:val="0"/>
                <w:sz w:val="22"/>
                <w:szCs w:val="22"/>
              </w:rPr>
              <w:t>阀门甲供</w:t>
            </w:r>
          </w:p>
          <w:p>
            <w:pPr>
              <w:pStyle w:val="24"/>
              <w:widowControl/>
              <w:numPr>
                <w:ilvl w:val="0"/>
                <w:numId w:val="2"/>
              </w:numPr>
              <w:ind w:firstLineChars="0"/>
              <w:jc w:val="left"/>
              <w:rPr>
                <w:rFonts w:ascii="宋体" w:hAnsi="宋体" w:cs="宋体"/>
                <w:color w:val="000000"/>
                <w:kern w:val="0"/>
                <w:sz w:val="22"/>
                <w:szCs w:val="22"/>
              </w:rPr>
            </w:pPr>
            <w:r>
              <w:rPr>
                <w:rFonts w:hint="eastAsia" w:ascii="宋体" w:hAnsi="宋体" w:cs="宋体"/>
                <w:color w:val="000000"/>
                <w:kern w:val="0"/>
                <w:sz w:val="22"/>
                <w:szCs w:val="22"/>
              </w:rPr>
              <w:t>法兰安装</w:t>
            </w:r>
          </w:p>
          <w:p>
            <w:pPr>
              <w:pStyle w:val="24"/>
              <w:widowControl/>
              <w:numPr>
                <w:ilvl w:val="0"/>
                <w:numId w:val="2"/>
              </w:numPr>
              <w:ind w:firstLineChars="0"/>
              <w:jc w:val="left"/>
              <w:rPr>
                <w:rFonts w:ascii="宋体" w:hAnsi="宋体" w:cs="宋体"/>
                <w:color w:val="000000"/>
                <w:kern w:val="0"/>
                <w:sz w:val="22"/>
                <w:szCs w:val="22"/>
              </w:rPr>
            </w:pPr>
            <w:r>
              <w:rPr>
                <w:rFonts w:hint="eastAsia" w:ascii="宋体" w:hAnsi="宋体" w:cs="宋体"/>
                <w:color w:val="000000"/>
                <w:kern w:val="0"/>
                <w:sz w:val="22"/>
                <w:szCs w:val="22"/>
              </w:rPr>
              <w:t>金属石墨垫片</w:t>
            </w:r>
          </w:p>
          <w:p>
            <w:pPr>
              <w:widowControl/>
              <w:jc w:val="left"/>
              <w:rPr>
                <w:rFonts w:ascii="宋体" w:hAnsi="宋体" w:cs="宋体"/>
                <w:color w:val="000000"/>
                <w:kern w:val="0"/>
                <w:sz w:val="22"/>
                <w:szCs w:val="22"/>
              </w:rPr>
            </w:pPr>
            <w:r>
              <w:rPr>
                <w:rFonts w:ascii="宋体" w:hAnsi="宋体" w:cs="宋体"/>
                <w:color w:val="000000"/>
                <w:kern w:val="0"/>
                <w:sz w:val="22"/>
                <w:szCs w:val="22"/>
              </w:rPr>
              <w:t>保温</w:t>
            </w:r>
            <w:r>
              <w:rPr>
                <w:rFonts w:hint="eastAsia" w:ascii="宋体" w:hAnsi="宋体" w:cs="宋体"/>
                <w:color w:val="000000"/>
                <w:kern w:val="0"/>
                <w:sz w:val="22"/>
                <w:szCs w:val="22"/>
              </w:rPr>
              <w:t>：</w:t>
            </w:r>
            <w:r>
              <w:rPr>
                <w:rFonts w:ascii="宋体" w:hAnsi="宋体" w:cs="宋体"/>
                <w:color w:val="000000"/>
                <w:kern w:val="0"/>
                <w:sz w:val="22"/>
                <w:szCs w:val="22"/>
              </w:rPr>
              <w:t>橡塑保温棉厚</w:t>
            </w:r>
            <w:r>
              <w:rPr>
                <w:rFonts w:hint="eastAsia" w:ascii="宋体" w:hAnsi="宋体" w:cs="宋体"/>
                <w:color w:val="000000"/>
                <w:kern w:val="0"/>
                <w:sz w:val="22"/>
                <w:szCs w:val="22"/>
              </w:rPr>
              <w:t>50mm</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个</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2</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10</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DN700阀门操作井</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1.名称:焊接阀门操作井</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2.规格:3000×3000×600mm</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3.垫层、基础材质及厚度:C10混凝土垫层，300mm</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4.混凝土强度等级:C25</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5.盖板材质、规格:预制混凝土盖板</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座</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0"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11</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阀门井制作安装DN700</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1.名称:冷冻水阀门井</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2.规格:3000×3000×2500mm</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3.垫层、基础材质及厚度:C10混凝土垫层，300mm</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4.混凝土强度等级:C25</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5.盖板材质、规格:预制混凝土盖板</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座</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12</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挖沟槽土方</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管道埋设回填土</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m3</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120</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13</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回填土</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土方回填</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回填土夯实</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m3</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80</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14</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回填石粉</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xml:space="preserve">石粉垫层 </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密实度要求:密实度≥90%</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m3</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30</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15</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余方弃置</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土方外运</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运距：20km</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m3</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40</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16</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拆除人行道砖</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现场勘查，拆除人行道 普通粘土砖 平铺</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m2</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50</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17</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拆除路面</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1.拆除沥青路面</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m2</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30</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18</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人行道块料铺设</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按原状恢复</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m2</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50</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1"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19</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沥青混凝土路面恢复</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按原状恢复</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m2</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30</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8"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20</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绿化恢复</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1、台湾草、勒杜鹃等</w:t>
            </w:r>
            <w:r>
              <w:rPr>
                <w:rFonts w:hint="eastAsia" w:ascii="宋体" w:hAnsi="宋体" w:cs="宋体"/>
                <w:kern w:val="0"/>
                <w:sz w:val="22"/>
                <w:szCs w:val="22"/>
              </w:rPr>
              <w:br w:type="textWrapping"/>
            </w:r>
            <w:r>
              <w:rPr>
                <w:rFonts w:hint="eastAsia" w:ascii="宋体" w:hAnsi="宋体" w:cs="宋体"/>
                <w:kern w:val="0"/>
                <w:sz w:val="22"/>
                <w:szCs w:val="22"/>
              </w:rPr>
              <w:t>2、养护3个月</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m2</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20</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21</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地下高质水DN300管线支护</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1、含木桩支护费用</w:t>
            </w:r>
            <w:r>
              <w:rPr>
                <w:rFonts w:hint="eastAsia" w:ascii="宋体" w:hAnsi="宋体" w:cs="宋体"/>
                <w:kern w:val="0"/>
                <w:sz w:val="22"/>
                <w:szCs w:val="22"/>
              </w:rPr>
              <w:br w:type="textWrapping"/>
            </w:r>
            <w:r>
              <w:rPr>
                <w:rFonts w:hint="eastAsia" w:ascii="宋体" w:hAnsi="宋体" w:cs="宋体"/>
                <w:kern w:val="0"/>
                <w:sz w:val="22"/>
                <w:szCs w:val="22"/>
              </w:rPr>
              <w:t>2、不含损坏、赔付费用</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项</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22</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拆除混凝土结构</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m3</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23</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套管防水DN900</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外墙预埋套管防水措施</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点</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2</w:t>
            </w:r>
          </w:p>
        </w:tc>
        <w:tc>
          <w:tcPr>
            <w:tcW w:w="1710" w:type="dxa"/>
            <w:shd w:val="clear" w:color="auto" w:fill="auto"/>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9" w:hRule="atLeast"/>
          <w:jc w:val="center"/>
        </w:trPr>
        <w:tc>
          <w:tcPr>
            <w:tcW w:w="721"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24</w:t>
            </w:r>
          </w:p>
        </w:tc>
        <w:tc>
          <w:tcPr>
            <w:tcW w:w="141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通讯井（砖砌）</w:t>
            </w:r>
          </w:p>
        </w:tc>
        <w:tc>
          <w:tcPr>
            <w:tcW w:w="4536"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587"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kern w:val="0"/>
                <w:sz w:val="22"/>
                <w:szCs w:val="22"/>
              </w:rPr>
              <w:t>座</w:t>
            </w:r>
          </w:p>
        </w:tc>
        <w:tc>
          <w:tcPr>
            <w:tcW w:w="973" w:type="dxa"/>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w:t>
            </w:r>
          </w:p>
        </w:tc>
        <w:tc>
          <w:tcPr>
            <w:tcW w:w="1710" w:type="dxa"/>
            <w:shd w:val="clear" w:color="auto" w:fill="auto"/>
            <w:vAlign w:val="center"/>
          </w:tcPr>
          <w:p>
            <w:pPr>
              <w:widowControl/>
              <w:jc w:val="left"/>
              <w:rPr>
                <w:rFonts w:ascii="宋体" w:hAnsi="宋体" w:cs="宋体"/>
                <w:color w:val="000000"/>
                <w:kern w:val="0"/>
                <w:sz w:val="22"/>
                <w:szCs w:val="22"/>
              </w:rPr>
            </w:pPr>
          </w:p>
        </w:tc>
      </w:tr>
    </w:tbl>
    <w:p>
      <w:pPr>
        <w:ind w:firstLine="562" w:firstLineChars="200"/>
        <w:rPr>
          <w:rFonts w:ascii="宋体" w:hAnsi="宋体"/>
          <w:b/>
          <w:sz w:val="28"/>
          <w:szCs w:val="28"/>
        </w:rPr>
      </w:pPr>
      <w:r>
        <w:rPr>
          <w:rFonts w:hint="eastAsia" w:ascii="宋体" w:hAnsi="宋体"/>
          <w:b/>
          <w:sz w:val="28"/>
          <w:szCs w:val="28"/>
        </w:rPr>
        <w:t>备注：</w:t>
      </w:r>
    </w:p>
    <w:p>
      <w:pPr>
        <w:numPr>
          <w:ilvl w:val="0"/>
          <w:numId w:val="3"/>
        </w:numPr>
        <w:rPr>
          <w:rFonts w:ascii="宋体" w:hAnsi="宋体"/>
          <w:b/>
          <w:sz w:val="28"/>
          <w:szCs w:val="28"/>
        </w:rPr>
      </w:pPr>
      <w:r>
        <w:rPr>
          <w:rFonts w:hint="eastAsia" w:ascii="宋体" w:hAnsi="宋体"/>
          <w:b/>
          <w:sz w:val="28"/>
          <w:szCs w:val="28"/>
        </w:rPr>
        <w:t>工程量清单报价时建议按上述表格人工、材料分开单列报价</w:t>
      </w:r>
    </w:p>
    <w:p>
      <w:pPr>
        <w:numPr>
          <w:ilvl w:val="0"/>
          <w:numId w:val="3"/>
        </w:numPr>
        <w:rPr>
          <w:rFonts w:ascii="宋体" w:hAnsi="宋体"/>
          <w:sz w:val="28"/>
          <w:szCs w:val="28"/>
        </w:rPr>
      </w:pPr>
      <w:r>
        <w:rPr>
          <w:rFonts w:hint="eastAsia" w:ascii="宋体" w:hAnsi="宋体"/>
          <w:sz w:val="28"/>
          <w:szCs w:val="28"/>
        </w:rPr>
        <w:t>保温材料</w:t>
      </w:r>
    </w:p>
    <w:p>
      <w:pPr>
        <w:ind w:left="1124"/>
        <w:rPr>
          <w:rFonts w:ascii="宋体" w:hAnsi="宋体"/>
          <w:sz w:val="28"/>
          <w:szCs w:val="28"/>
        </w:rPr>
      </w:pPr>
      <w:r>
        <w:rPr>
          <w:rFonts w:ascii="宋体" w:hAnsi="宋体"/>
          <w:sz w:val="28"/>
          <w:szCs w:val="28"/>
        </w:rPr>
        <w:t xml:space="preserve">2.1. </w:t>
      </w:r>
      <w:r>
        <w:rPr>
          <w:rFonts w:hint="eastAsia" w:ascii="宋体" w:hAnsi="宋体"/>
          <w:sz w:val="28"/>
          <w:szCs w:val="28"/>
        </w:rPr>
        <w:t>难燃B级(对应GB8624-2006)柔性发泡橡塑复合保温材料(外表面为热熔铝箔)；</w:t>
      </w:r>
    </w:p>
    <w:p>
      <w:pPr>
        <w:ind w:firstLine="1120" w:firstLineChars="400"/>
        <w:rPr>
          <w:rFonts w:ascii="宋体" w:hAnsi="宋体"/>
          <w:sz w:val="28"/>
          <w:szCs w:val="28"/>
        </w:rPr>
      </w:pPr>
      <w:r>
        <w:rPr>
          <w:rFonts w:ascii="宋体" w:hAnsi="宋体"/>
          <w:sz w:val="28"/>
          <w:szCs w:val="28"/>
        </w:rPr>
        <w:t>2.2</w:t>
      </w:r>
      <w:r>
        <w:rPr>
          <w:rFonts w:hint="eastAsia" w:ascii="宋体" w:hAnsi="宋体"/>
          <w:sz w:val="28"/>
          <w:szCs w:val="28"/>
        </w:rPr>
        <w:t>、技术要求:湿阻因子μ≥20000  密度:40~55Kg/m3  烟密度等级≤50</w:t>
      </w:r>
    </w:p>
    <w:p>
      <w:pPr>
        <w:ind w:firstLine="1120" w:firstLineChars="400"/>
        <w:rPr>
          <w:rFonts w:ascii="宋体" w:hAnsi="宋体"/>
          <w:sz w:val="28"/>
          <w:szCs w:val="28"/>
        </w:rPr>
      </w:pPr>
      <w:r>
        <w:rPr>
          <w:rFonts w:ascii="宋体" w:hAnsi="宋体"/>
          <w:sz w:val="28"/>
          <w:szCs w:val="28"/>
        </w:rPr>
        <w:t>2.3</w:t>
      </w:r>
      <w:r>
        <w:rPr>
          <w:rFonts w:hint="eastAsia" w:ascii="宋体" w:hAnsi="宋体"/>
          <w:sz w:val="28"/>
          <w:szCs w:val="28"/>
        </w:rPr>
        <w:t>、导热系数≤0.033W/m.K(0°C)  氧指数≥32%</w:t>
      </w:r>
    </w:p>
    <w:p>
      <w:pPr>
        <w:ind w:firstLine="1120" w:firstLineChars="400"/>
        <w:rPr>
          <w:rFonts w:ascii="宋体" w:hAnsi="宋体"/>
          <w:sz w:val="28"/>
          <w:szCs w:val="28"/>
        </w:rPr>
      </w:pPr>
      <w:r>
        <w:rPr>
          <w:rFonts w:hint="eastAsia" w:ascii="宋体" w:hAnsi="宋体"/>
          <w:sz w:val="28"/>
          <w:szCs w:val="28"/>
        </w:rPr>
        <w:t>2</w:t>
      </w:r>
      <w:r>
        <w:rPr>
          <w:rFonts w:ascii="宋体" w:hAnsi="宋体"/>
          <w:sz w:val="28"/>
          <w:szCs w:val="28"/>
        </w:rPr>
        <w:t>.4</w:t>
      </w:r>
      <w:r>
        <w:rPr>
          <w:rFonts w:hint="eastAsia" w:ascii="宋体" w:hAnsi="宋体"/>
          <w:sz w:val="28"/>
          <w:szCs w:val="28"/>
        </w:rPr>
        <w:t>、品牌范围： 福乐斯、华美、华德、阿姆斯壮</w:t>
      </w:r>
    </w:p>
    <w:p>
      <w:pPr>
        <w:numPr>
          <w:ilvl w:val="0"/>
          <w:numId w:val="4"/>
        </w:numPr>
        <w:ind w:left="0" w:firstLine="562" w:firstLineChars="200"/>
        <w:rPr>
          <w:rFonts w:ascii="宋体" w:hAnsi="宋体"/>
          <w:b/>
          <w:sz w:val="28"/>
          <w:szCs w:val="28"/>
        </w:rPr>
      </w:pPr>
      <w:r>
        <w:rPr>
          <w:rFonts w:hint="eastAsia" w:ascii="宋体" w:hAnsi="宋体"/>
          <w:b/>
          <w:sz w:val="28"/>
          <w:szCs w:val="28"/>
        </w:rPr>
        <w:t>项目工期、验收标准及质保期限</w:t>
      </w:r>
    </w:p>
    <w:p>
      <w:pPr>
        <w:ind w:firstLine="560" w:firstLineChars="200"/>
        <w:rPr>
          <w:rFonts w:ascii="宋体" w:hAnsi="宋体" w:cs="宋体"/>
          <w:bCs/>
          <w:kern w:val="0"/>
          <w:sz w:val="28"/>
          <w:szCs w:val="28"/>
        </w:rPr>
      </w:pPr>
      <w:r>
        <w:rPr>
          <w:rFonts w:hint="eastAsia" w:ascii="宋体" w:hAnsi="宋体" w:cs="宋体"/>
          <w:bCs/>
          <w:kern w:val="0"/>
          <w:sz w:val="28"/>
          <w:szCs w:val="28"/>
        </w:rPr>
        <w:t>（一）施工工期</w:t>
      </w:r>
    </w:p>
    <w:p>
      <w:pPr>
        <w:ind w:firstLine="560" w:firstLineChars="200"/>
        <w:rPr>
          <w:rFonts w:ascii="宋体" w:hAnsi="宋体" w:cs="宋体"/>
          <w:bCs/>
          <w:kern w:val="0"/>
          <w:sz w:val="28"/>
          <w:szCs w:val="28"/>
        </w:rPr>
      </w:pPr>
      <w:r>
        <w:rPr>
          <w:rFonts w:hint="eastAsia" w:ascii="宋体" w:hAnsi="宋体" w:cs="宋体"/>
          <w:bCs/>
          <w:kern w:val="0"/>
          <w:sz w:val="28"/>
          <w:szCs w:val="28"/>
        </w:rPr>
        <w:t>本项目总工期为</w:t>
      </w:r>
      <w:r>
        <w:rPr>
          <w:rFonts w:ascii="宋体" w:hAnsi="宋体" w:cs="宋体"/>
          <w:bCs/>
          <w:kern w:val="0"/>
          <w:sz w:val="28"/>
          <w:szCs w:val="28"/>
        </w:rPr>
        <w:t>30</w:t>
      </w:r>
      <w:r>
        <w:rPr>
          <w:rFonts w:hint="eastAsia" w:ascii="宋体" w:hAnsi="宋体" w:cs="宋体"/>
          <w:bCs/>
          <w:kern w:val="0"/>
          <w:sz w:val="28"/>
          <w:szCs w:val="28"/>
        </w:rPr>
        <w:t>日历天（含节假日，连续计算），具体开工日期以甲方通知为准。</w:t>
      </w:r>
    </w:p>
    <w:p>
      <w:pPr>
        <w:ind w:firstLine="560" w:firstLineChars="200"/>
        <w:rPr>
          <w:rFonts w:ascii="宋体" w:hAnsi="宋体" w:cs="宋体"/>
          <w:bCs/>
          <w:kern w:val="0"/>
          <w:sz w:val="28"/>
          <w:szCs w:val="28"/>
        </w:rPr>
      </w:pPr>
      <w:r>
        <w:rPr>
          <w:rFonts w:hint="eastAsia" w:ascii="宋体" w:hAnsi="宋体" w:cs="宋体"/>
          <w:bCs/>
          <w:kern w:val="0"/>
          <w:sz w:val="28"/>
          <w:szCs w:val="28"/>
        </w:rPr>
        <w:t>（二）工程验收标准及方式</w:t>
      </w:r>
    </w:p>
    <w:p>
      <w:pPr>
        <w:ind w:firstLine="560" w:firstLineChars="200"/>
        <w:rPr>
          <w:rFonts w:ascii="宋体" w:hAnsi="宋体" w:cs="宋体"/>
          <w:bCs/>
          <w:kern w:val="0"/>
          <w:sz w:val="28"/>
          <w:szCs w:val="28"/>
        </w:rPr>
      </w:pPr>
      <w:r>
        <w:rPr>
          <w:rFonts w:hint="eastAsia" w:ascii="宋体" w:hAnsi="宋体"/>
          <w:sz w:val="28"/>
          <w:szCs w:val="28"/>
        </w:rPr>
        <w:t>1、</w:t>
      </w:r>
      <w:r>
        <w:rPr>
          <w:rFonts w:ascii="宋体" w:hAnsi="宋体"/>
          <w:sz w:val="28"/>
          <w:szCs w:val="28"/>
        </w:rPr>
        <w:t>质量要求</w:t>
      </w:r>
      <w:r>
        <w:rPr>
          <w:rFonts w:hint="eastAsia" w:ascii="宋体" w:hAnsi="宋体"/>
          <w:sz w:val="28"/>
          <w:szCs w:val="28"/>
        </w:rPr>
        <w:t>：</w:t>
      </w:r>
      <w:r>
        <w:rPr>
          <w:rFonts w:hint="eastAsia" w:ascii="宋体" w:hAnsi="宋体" w:cs="宋体"/>
          <w:bCs/>
          <w:kern w:val="0"/>
          <w:sz w:val="28"/>
          <w:szCs w:val="28"/>
        </w:rPr>
        <w:t>选用材料必须是环保材料及满足国家标准要求。</w:t>
      </w:r>
    </w:p>
    <w:p>
      <w:pPr>
        <w:ind w:firstLine="560" w:firstLineChars="200"/>
        <w:rPr>
          <w:rFonts w:ascii="宋体" w:hAnsi="宋体" w:cs="宋体"/>
          <w:bCs/>
          <w:kern w:val="0"/>
          <w:sz w:val="28"/>
          <w:szCs w:val="28"/>
        </w:rPr>
      </w:pPr>
      <w:r>
        <w:rPr>
          <w:rFonts w:hint="eastAsia" w:ascii="宋体" w:hAnsi="宋体" w:cs="宋体"/>
          <w:bCs/>
          <w:kern w:val="0"/>
          <w:sz w:val="28"/>
          <w:szCs w:val="28"/>
        </w:rPr>
        <w:t>2、工程验收标准：满足《建筑工程施工质量验收统一标准》（GB500300-2006）、《城镇供热管网工程施工及验收规范》(CJJ_28-2014)及国家和行业相关的其他质量验收标准，完工后统一验收。</w:t>
      </w:r>
    </w:p>
    <w:p>
      <w:pPr>
        <w:ind w:firstLine="560" w:firstLineChars="200"/>
        <w:rPr>
          <w:rFonts w:ascii="宋体" w:hAnsi="宋体" w:cs="宋体"/>
          <w:bCs/>
          <w:kern w:val="0"/>
          <w:sz w:val="28"/>
          <w:szCs w:val="28"/>
        </w:rPr>
      </w:pPr>
      <w:r>
        <w:rPr>
          <w:rFonts w:hint="eastAsia" w:ascii="宋体" w:hAnsi="宋体" w:cs="宋体"/>
          <w:bCs/>
          <w:kern w:val="0"/>
          <w:sz w:val="28"/>
          <w:szCs w:val="28"/>
        </w:rPr>
        <w:t>3、工程验收的方式：（1）施工单位在完工后，须提前3天提交工程验收进度计划给采购人，以便采购人组织相关人员对项目进行验收。（2）经采购人组织相关人员进行验收合格后，签发验收合格证明文件。（3）施工单位必须将产品所有资料（如有，包括但不限于设备检验合格证书、3C认证证书等）提交采购人，同时将与项目有关的竣工资料一式两份一起提交给采购人。</w:t>
      </w:r>
    </w:p>
    <w:p>
      <w:pPr>
        <w:ind w:firstLine="560" w:firstLineChars="200"/>
        <w:rPr>
          <w:rFonts w:ascii="宋体" w:hAnsi="宋体" w:cs="宋体"/>
          <w:bCs/>
          <w:kern w:val="0"/>
          <w:sz w:val="28"/>
          <w:szCs w:val="28"/>
        </w:rPr>
      </w:pPr>
      <w:r>
        <w:rPr>
          <w:rFonts w:hint="eastAsia" w:ascii="宋体" w:hAnsi="宋体" w:cs="宋体"/>
          <w:bCs/>
          <w:kern w:val="0"/>
          <w:sz w:val="28"/>
          <w:szCs w:val="28"/>
        </w:rPr>
        <w:t>4、质保期及质保期内需履行的特殊义务：质保期2年。</w:t>
      </w:r>
    </w:p>
    <w:p>
      <w:pPr>
        <w:ind w:firstLine="562" w:firstLineChars="200"/>
        <w:rPr>
          <w:b/>
          <w:sz w:val="28"/>
          <w:szCs w:val="28"/>
        </w:rPr>
      </w:pPr>
      <w:r>
        <w:rPr>
          <w:rFonts w:hint="eastAsia"/>
          <w:b/>
          <w:sz w:val="28"/>
          <w:szCs w:val="28"/>
        </w:rPr>
        <w:t>六、工程费用及支付方式</w:t>
      </w:r>
    </w:p>
    <w:p>
      <w:pPr>
        <w:ind w:firstLine="560" w:firstLineChars="200"/>
        <w:rPr>
          <w:rFonts w:ascii="宋体" w:hAnsi="宋体" w:cs="Arial"/>
          <w:color w:val="000000"/>
          <w:sz w:val="28"/>
          <w:szCs w:val="28"/>
        </w:rPr>
      </w:pPr>
      <w:r>
        <w:rPr>
          <w:rFonts w:hint="eastAsia"/>
          <w:sz w:val="28"/>
          <w:szCs w:val="28"/>
        </w:rPr>
        <w:t>（一）本工程采用</w:t>
      </w:r>
      <w:r>
        <w:rPr>
          <w:rFonts w:hint="eastAsia" w:ascii="宋体" w:hAnsi="宋体" w:cs="宋体"/>
          <w:bCs/>
          <w:kern w:val="0"/>
          <w:sz w:val="28"/>
          <w:szCs w:val="28"/>
        </w:rPr>
        <w:t>综合单价包干</w:t>
      </w:r>
      <w:r>
        <w:rPr>
          <w:rFonts w:ascii="宋体" w:hAnsi="宋体" w:cs="Arial"/>
          <w:color w:val="000000"/>
          <w:sz w:val="28"/>
          <w:szCs w:val="28"/>
        </w:rPr>
        <w:t>，</w:t>
      </w:r>
      <w:r>
        <w:rPr>
          <w:rFonts w:hint="eastAsia"/>
          <w:sz w:val="28"/>
          <w:szCs w:val="28"/>
        </w:rPr>
        <w:t>包工、包料、包工期、包质量、包安全、包安全文明施工</w:t>
      </w:r>
      <w:r>
        <w:rPr>
          <w:rFonts w:hint="eastAsia" w:ascii="宋体" w:hAnsi="宋体" w:cs="Arial"/>
          <w:color w:val="000000"/>
          <w:sz w:val="28"/>
          <w:szCs w:val="28"/>
        </w:rPr>
        <w:t>、包验收、包调试、包结算、包资料整理、包综合治理、</w:t>
      </w:r>
      <w:r>
        <w:rPr>
          <w:rFonts w:hint="eastAsia"/>
          <w:sz w:val="28"/>
          <w:szCs w:val="28"/>
        </w:rPr>
        <w:t>包风险、包利润和管理费等完成本项目的全部费用</w:t>
      </w:r>
      <w:r>
        <w:rPr>
          <w:rFonts w:ascii="宋体" w:hAnsi="宋体" w:cs="Arial"/>
          <w:color w:val="000000"/>
          <w:sz w:val="28"/>
          <w:szCs w:val="28"/>
        </w:rPr>
        <w:t>。</w:t>
      </w:r>
    </w:p>
    <w:p>
      <w:pPr>
        <w:ind w:firstLine="560" w:firstLineChars="200"/>
        <w:rPr>
          <w:rFonts w:ascii="宋体" w:hAnsi="宋体" w:cs="Arial"/>
          <w:color w:val="000000"/>
          <w:sz w:val="28"/>
          <w:szCs w:val="28"/>
        </w:rPr>
      </w:pPr>
      <w:r>
        <w:rPr>
          <w:rFonts w:hint="eastAsia" w:ascii="宋体" w:hAnsi="宋体" w:cs="Arial"/>
          <w:color w:val="000000"/>
          <w:sz w:val="28"/>
          <w:szCs w:val="28"/>
        </w:rPr>
        <w:t>（二）本项目的投标总价应</w:t>
      </w:r>
      <w:r>
        <w:rPr>
          <w:rFonts w:ascii="宋体" w:hAnsi="宋体" w:cs="Arial"/>
          <w:color w:val="000000"/>
          <w:sz w:val="28"/>
          <w:szCs w:val="28"/>
        </w:rPr>
        <w:t>包含</w:t>
      </w:r>
      <w:r>
        <w:rPr>
          <w:rFonts w:hint="eastAsia" w:ascii="宋体" w:hAnsi="宋体" w:cs="Arial"/>
          <w:color w:val="000000"/>
          <w:sz w:val="28"/>
          <w:szCs w:val="28"/>
        </w:rPr>
        <w:t>投标人按施工现场现状及施工范围根据采购人要求</w:t>
      </w:r>
      <w:r>
        <w:rPr>
          <w:rFonts w:ascii="宋体" w:hAnsi="宋体" w:cs="Arial"/>
          <w:color w:val="000000"/>
          <w:sz w:val="28"/>
          <w:szCs w:val="28"/>
        </w:rPr>
        <w:t>完成项</w:t>
      </w:r>
      <w:r>
        <w:rPr>
          <w:rFonts w:hint="eastAsia" w:ascii="宋体" w:hAnsi="宋体" w:cs="Arial"/>
          <w:color w:val="000000"/>
          <w:sz w:val="28"/>
          <w:szCs w:val="28"/>
        </w:rPr>
        <w:t>目约定全部</w:t>
      </w:r>
      <w:r>
        <w:rPr>
          <w:rFonts w:ascii="宋体" w:hAnsi="宋体" w:cs="Arial"/>
          <w:color w:val="000000"/>
          <w:sz w:val="28"/>
          <w:szCs w:val="28"/>
        </w:rPr>
        <w:t>工作所需的</w:t>
      </w:r>
      <w:r>
        <w:rPr>
          <w:rFonts w:hint="eastAsia" w:ascii="宋体" w:hAnsi="宋体" w:cs="Arial"/>
          <w:color w:val="000000"/>
          <w:sz w:val="28"/>
          <w:szCs w:val="28"/>
        </w:rPr>
        <w:t>税费及相关措施费及合同实施过程中应预见和不可预见的费用等等。工程量清单和竞选范围内的报价如有漏计或漏项的，视为投标人单方面作出的让利，费用不另行增加。</w:t>
      </w:r>
    </w:p>
    <w:p>
      <w:pPr>
        <w:ind w:firstLine="560" w:firstLineChars="200"/>
        <w:rPr>
          <w:rFonts w:ascii="宋体" w:hAnsi="宋体" w:cs="Arial"/>
          <w:color w:val="000000"/>
          <w:sz w:val="28"/>
          <w:szCs w:val="28"/>
        </w:rPr>
      </w:pPr>
      <w:r>
        <w:rPr>
          <w:rFonts w:hint="eastAsia" w:ascii="宋体" w:hAnsi="宋体" w:cs="Arial"/>
          <w:color w:val="000000"/>
          <w:sz w:val="28"/>
          <w:szCs w:val="28"/>
        </w:rPr>
        <w:t>（三）付款方式</w:t>
      </w:r>
    </w:p>
    <w:p>
      <w:pPr>
        <w:ind w:firstLine="560" w:firstLineChars="200"/>
        <w:rPr>
          <w:rFonts w:ascii="宋体" w:hAnsi="宋体" w:cs="Arial"/>
          <w:color w:val="000000"/>
          <w:sz w:val="28"/>
          <w:szCs w:val="28"/>
        </w:rPr>
      </w:pPr>
      <w:r>
        <w:rPr>
          <w:rFonts w:hint="eastAsia" w:ascii="宋体" w:hAnsi="宋体" w:cs="Arial"/>
          <w:color w:val="000000"/>
          <w:sz w:val="28"/>
          <w:szCs w:val="28"/>
        </w:rPr>
        <w:t>在本工程合同履行期内，若国家税费调整，合同含税金额按国家规定税率作出相应调整，供方每次申请付款应按照合同内容开具相应税率的合法有效的增值税专用发票。</w:t>
      </w:r>
    </w:p>
    <w:p>
      <w:pPr>
        <w:ind w:firstLine="560" w:firstLineChars="200"/>
        <w:rPr>
          <w:rFonts w:ascii="宋体" w:hAnsi="宋体" w:cs="Arial"/>
          <w:color w:val="000000"/>
          <w:sz w:val="28"/>
          <w:szCs w:val="28"/>
        </w:rPr>
      </w:pPr>
      <w:r>
        <w:rPr>
          <w:rFonts w:hint="eastAsia" w:ascii="宋体" w:hAnsi="宋体" w:cs="Arial"/>
          <w:color w:val="000000"/>
          <w:sz w:val="28"/>
          <w:szCs w:val="28"/>
        </w:rPr>
        <w:t>合同付款按施工进度支付，具体为：</w:t>
      </w:r>
    </w:p>
    <w:p>
      <w:pPr>
        <w:ind w:firstLine="560" w:firstLineChars="200"/>
        <w:rPr>
          <w:rFonts w:ascii="宋体" w:hAnsi="宋体" w:cs="Arial"/>
          <w:color w:val="000000"/>
          <w:sz w:val="28"/>
          <w:szCs w:val="28"/>
        </w:rPr>
      </w:pPr>
      <w:r>
        <w:rPr>
          <w:rFonts w:ascii="宋体" w:hAnsi="宋体" w:cs="Arial"/>
          <w:color w:val="000000"/>
          <w:sz w:val="28"/>
          <w:szCs w:val="28"/>
        </w:rPr>
        <w:t>1、形象进度完成30%时，甲方收到乙方请款资料后15个工作日内</w:t>
      </w:r>
      <w:r>
        <w:rPr>
          <w:rFonts w:hint="eastAsia" w:ascii="宋体" w:hAnsi="宋体" w:cs="Arial"/>
          <w:color w:val="000000"/>
          <w:sz w:val="28"/>
          <w:szCs w:val="28"/>
        </w:rPr>
        <w:t>支付工程款至合同暂定总价的</w:t>
      </w:r>
      <w:r>
        <w:rPr>
          <w:rFonts w:ascii="宋体" w:hAnsi="宋体" w:cs="Arial"/>
          <w:color w:val="000000"/>
          <w:sz w:val="28"/>
          <w:szCs w:val="28"/>
        </w:rPr>
        <w:t>15%。</w:t>
      </w:r>
    </w:p>
    <w:p>
      <w:pPr>
        <w:ind w:firstLine="560" w:firstLineChars="200"/>
        <w:rPr>
          <w:rFonts w:ascii="宋体" w:hAnsi="宋体" w:cs="Arial"/>
          <w:color w:val="000000"/>
          <w:sz w:val="28"/>
          <w:szCs w:val="28"/>
        </w:rPr>
      </w:pPr>
      <w:r>
        <w:rPr>
          <w:rFonts w:ascii="宋体" w:hAnsi="宋体" w:cs="Arial"/>
          <w:color w:val="000000"/>
          <w:sz w:val="28"/>
          <w:szCs w:val="28"/>
        </w:rPr>
        <w:t>2、形象进度完成60%时，甲方收到乙方请款资料后15个工作日内</w:t>
      </w:r>
      <w:r>
        <w:rPr>
          <w:rFonts w:hint="eastAsia" w:ascii="宋体" w:hAnsi="宋体" w:cs="Arial"/>
          <w:color w:val="000000"/>
          <w:sz w:val="28"/>
          <w:szCs w:val="28"/>
        </w:rPr>
        <w:t>支付工程款至合同暂定总价的</w:t>
      </w:r>
      <w:r>
        <w:rPr>
          <w:rFonts w:ascii="宋体" w:hAnsi="宋体" w:cs="Arial"/>
          <w:color w:val="000000"/>
          <w:sz w:val="28"/>
          <w:szCs w:val="28"/>
        </w:rPr>
        <w:t>40%。</w:t>
      </w:r>
    </w:p>
    <w:p>
      <w:pPr>
        <w:ind w:firstLine="560" w:firstLineChars="200"/>
        <w:rPr>
          <w:rFonts w:ascii="宋体" w:hAnsi="宋体" w:cs="Arial"/>
          <w:color w:val="000000"/>
          <w:sz w:val="28"/>
          <w:szCs w:val="28"/>
        </w:rPr>
      </w:pPr>
      <w:r>
        <w:rPr>
          <w:rFonts w:ascii="宋体" w:hAnsi="宋体" w:cs="Arial"/>
          <w:color w:val="000000"/>
          <w:sz w:val="28"/>
          <w:szCs w:val="28"/>
        </w:rPr>
        <w:t>3、形象进度完成80%时，甲方收到乙方请款资料后15个工作日内</w:t>
      </w:r>
      <w:r>
        <w:rPr>
          <w:rFonts w:hint="eastAsia" w:ascii="宋体" w:hAnsi="宋体" w:cs="Arial"/>
          <w:color w:val="000000"/>
          <w:sz w:val="28"/>
          <w:szCs w:val="28"/>
        </w:rPr>
        <w:t>支付工程款至合同暂定总价的</w:t>
      </w:r>
      <w:r>
        <w:rPr>
          <w:rFonts w:ascii="宋体" w:hAnsi="宋体" w:cs="Arial"/>
          <w:color w:val="000000"/>
          <w:sz w:val="28"/>
          <w:szCs w:val="28"/>
        </w:rPr>
        <w:t>60%。</w:t>
      </w:r>
    </w:p>
    <w:p>
      <w:pPr>
        <w:ind w:firstLine="560" w:firstLineChars="200"/>
        <w:rPr>
          <w:rFonts w:ascii="宋体" w:hAnsi="宋体" w:cs="Arial"/>
          <w:color w:val="000000"/>
          <w:sz w:val="28"/>
          <w:szCs w:val="28"/>
        </w:rPr>
      </w:pPr>
      <w:r>
        <w:rPr>
          <w:rFonts w:ascii="宋体" w:hAnsi="宋体" w:cs="Arial"/>
          <w:color w:val="000000"/>
          <w:sz w:val="28"/>
          <w:szCs w:val="28"/>
        </w:rPr>
        <w:t>4、项目全部完工并竣工验收合格并按甲方要求</w:t>
      </w:r>
      <w:r>
        <w:rPr>
          <w:rFonts w:hint="eastAsia" w:ascii="宋体" w:hAnsi="宋体" w:cs="Arial"/>
          <w:color w:val="000000"/>
          <w:sz w:val="28"/>
          <w:szCs w:val="28"/>
        </w:rPr>
        <w:t>完成合同结算手续后，甲方收到乙方请款资料后</w:t>
      </w:r>
      <w:r>
        <w:rPr>
          <w:rFonts w:ascii="宋体" w:hAnsi="宋体" w:cs="Arial"/>
          <w:color w:val="000000"/>
          <w:sz w:val="28"/>
          <w:szCs w:val="28"/>
        </w:rPr>
        <w:t>15</w:t>
      </w:r>
      <w:r>
        <w:rPr>
          <w:rFonts w:hint="eastAsia" w:ascii="宋体" w:hAnsi="宋体" w:cs="Arial"/>
          <w:color w:val="000000"/>
          <w:sz w:val="28"/>
          <w:szCs w:val="28"/>
        </w:rPr>
        <w:t>个工作日内支付工程款至合同结算总造价的</w:t>
      </w:r>
      <w:r>
        <w:rPr>
          <w:rFonts w:ascii="宋体" w:hAnsi="宋体" w:cs="Arial"/>
          <w:color w:val="000000"/>
          <w:sz w:val="28"/>
          <w:szCs w:val="28"/>
        </w:rPr>
        <w:t>95%。</w:t>
      </w:r>
    </w:p>
    <w:p>
      <w:pPr>
        <w:ind w:firstLine="560" w:firstLineChars="200"/>
        <w:rPr>
          <w:rFonts w:ascii="宋体" w:hAnsi="宋体" w:cs="Arial"/>
          <w:color w:val="000000"/>
          <w:sz w:val="28"/>
          <w:szCs w:val="28"/>
        </w:rPr>
      </w:pPr>
      <w:r>
        <w:rPr>
          <w:rFonts w:ascii="宋体" w:hAnsi="宋体" w:cs="Arial"/>
          <w:color w:val="000000"/>
          <w:sz w:val="28"/>
          <w:szCs w:val="28"/>
        </w:rPr>
        <w:t>5、</w:t>
      </w:r>
      <w:r>
        <w:rPr>
          <w:rFonts w:hint="eastAsia" w:ascii="宋体" w:hAnsi="宋体" w:cs="Arial"/>
          <w:color w:val="000000"/>
          <w:sz w:val="28"/>
          <w:szCs w:val="28"/>
        </w:rPr>
        <w:t>质保期期满且乙方</w:t>
      </w:r>
      <w:r>
        <w:rPr>
          <w:rFonts w:ascii="宋体" w:hAnsi="宋体" w:cs="Arial"/>
          <w:color w:val="000000"/>
          <w:sz w:val="28"/>
          <w:szCs w:val="28"/>
        </w:rPr>
        <w:t>质保期义务</w:t>
      </w:r>
      <w:r>
        <w:rPr>
          <w:rFonts w:hint="eastAsia" w:ascii="宋体" w:hAnsi="宋体" w:cs="Arial"/>
          <w:color w:val="000000"/>
          <w:sz w:val="28"/>
          <w:szCs w:val="28"/>
        </w:rPr>
        <w:t>按要求</w:t>
      </w:r>
      <w:r>
        <w:rPr>
          <w:rFonts w:ascii="宋体" w:hAnsi="宋体" w:cs="Arial"/>
          <w:color w:val="000000"/>
          <w:sz w:val="28"/>
          <w:szCs w:val="28"/>
        </w:rPr>
        <w:t>履行完毕后</w:t>
      </w:r>
      <w:r>
        <w:rPr>
          <w:rFonts w:hint="eastAsia" w:ascii="宋体" w:hAnsi="宋体" w:cs="Arial"/>
          <w:color w:val="000000"/>
          <w:sz w:val="28"/>
          <w:szCs w:val="28"/>
        </w:rPr>
        <w:t>，甲方收到乙方请款资料后</w:t>
      </w:r>
      <w:r>
        <w:rPr>
          <w:rFonts w:ascii="宋体" w:hAnsi="宋体" w:cs="Arial"/>
          <w:color w:val="000000"/>
          <w:sz w:val="28"/>
          <w:szCs w:val="28"/>
        </w:rPr>
        <w:t>15</w:t>
      </w:r>
      <w:r>
        <w:rPr>
          <w:rFonts w:hint="eastAsia" w:ascii="宋体" w:hAnsi="宋体" w:cs="Arial"/>
          <w:color w:val="000000"/>
          <w:sz w:val="28"/>
          <w:szCs w:val="28"/>
        </w:rPr>
        <w:t>个工作日内</w:t>
      </w:r>
      <w:r>
        <w:rPr>
          <w:rFonts w:ascii="宋体" w:hAnsi="宋体" w:cs="Arial"/>
          <w:color w:val="000000"/>
          <w:sz w:val="28"/>
          <w:szCs w:val="28"/>
        </w:rPr>
        <w:t>付清余款</w:t>
      </w:r>
      <w:r>
        <w:rPr>
          <w:rFonts w:hint="eastAsia" w:ascii="宋体" w:hAnsi="宋体" w:cs="Arial"/>
          <w:color w:val="000000"/>
          <w:sz w:val="28"/>
          <w:szCs w:val="28"/>
        </w:rPr>
        <w:t>（不计利息）</w:t>
      </w:r>
      <w:r>
        <w:rPr>
          <w:rFonts w:ascii="宋体" w:hAnsi="宋体" w:cs="Arial"/>
          <w:color w:val="000000"/>
          <w:sz w:val="28"/>
          <w:szCs w:val="28"/>
        </w:rPr>
        <w:t>。</w:t>
      </w:r>
    </w:p>
    <w:p>
      <w:pPr>
        <w:ind w:firstLine="560" w:firstLineChars="200"/>
        <w:rPr>
          <w:rFonts w:ascii="宋体" w:hAnsi="宋体" w:cs="Arial"/>
          <w:color w:val="000000"/>
          <w:sz w:val="28"/>
          <w:szCs w:val="28"/>
          <w:highlight w:val="yellow"/>
        </w:rPr>
      </w:pPr>
      <w:r>
        <w:rPr>
          <w:rFonts w:ascii="宋体" w:hAnsi="宋体" w:cs="Arial"/>
          <w:color w:val="000000"/>
          <w:sz w:val="28"/>
          <w:szCs w:val="28"/>
        </w:rPr>
        <w:t>6</w:t>
      </w:r>
      <w:r>
        <w:rPr>
          <w:rFonts w:hint="eastAsia" w:ascii="宋体" w:hAnsi="宋体" w:cs="Arial"/>
          <w:color w:val="000000"/>
          <w:sz w:val="28"/>
          <w:szCs w:val="28"/>
        </w:rPr>
        <w:t>、每次付款前乙方开具符合国家税务规定的等额合格的增值税专用发票给甲方。乙方晚于付款期限提供的，甲方付款期限相应顺延。</w:t>
      </w:r>
    </w:p>
    <w:p>
      <w:pPr>
        <w:ind w:firstLine="562" w:firstLineChars="200"/>
        <w:rPr>
          <w:b/>
          <w:sz w:val="28"/>
          <w:szCs w:val="28"/>
        </w:rPr>
      </w:pPr>
      <w:r>
        <w:rPr>
          <w:rFonts w:hint="eastAsia"/>
          <w:b/>
          <w:sz w:val="28"/>
          <w:szCs w:val="28"/>
        </w:rPr>
        <w:t>七、投标文件</w:t>
      </w:r>
    </w:p>
    <w:p>
      <w:pPr>
        <w:ind w:firstLine="560" w:firstLineChars="200"/>
        <w:rPr>
          <w:sz w:val="28"/>
          <w:szCs w:val="28"/>
        </w:rPr>
      </w:pPr>
      <w:r>
        <w:rPr>
          <w:rFonts w:hint="eastAsia"/>
          <w:sz w:val="28"/>
          <w:szCs w:val="28"/>
        </w:rPr>
        <w:t>根据采购人要求的投标文件格式，进行密封报价（盖章）。投标文件应包含以下内容：</w:t>
      </w:r>
    </w:p>
    <w:p>
      <w:pPr>
        <w:ind w:firstLine="560" w:firstLineChars="200"/>
        <w:rPr>
          <w:sz w:val="28"/>
          <w:szCs w:val="28"/>
        </w:rPr>
      </w:pPr>
      <w:r>
        <w:rPr>
          <w:rFonts w:hint="eastAsia"/>
          <w:sz w:val="28"/>
          <w:szCs w:val="28"/>
        </w:rPr>
        <w:t>（一）商务部分（提供复印件，并加盖公章）</w:t>
      </w:r>
    </w:p>
    <w:p>
      <w:pPr>
        <w:numPr>
          <w:ilvl w:val="0"/>
          <w:numId w:val="5"/>
        </w:numPr>
        <w:ind w:left="0" w:firstLine="560" w:firstLineChars="200"/>
        <w:rPr>
          <w:rFonts w:ascii="宋体" w:hAnsi="宋体"/>
          <w:sz w:val="28"/>
          <w:szCs w:val="28"/>
        </w:rPr>
      </w:pPr>
      <w:r>
        <w:rPr>
          <w:rFonts w:hint="eastAsia" w:ascii="宋体" w:hAnsi="宋体"/>
          <w:sz w:val="28"/>
          <w:szCs w:val="28"/>
        </w:rPr>
        <w:t>有效的企业工商营业执照、企业法人组织机构代码证书、税务登记证书（或三证合一）；</w:t>
      </w:r>
    </w:p>
    <w:p>
      <w:pPr>
        <w:numPr>
          <w:ilvl w:val="0"/>
          <w:numId w:val="5"/>
        </w:numPr>
        <w:ind w:left="0" w:firstLine="560" w:firstLineChars="200"/>
        <w:rPr>
          <w:rFonts w:ascii="宋体" w:hAnsi="宋体"/>
          <w:sz w:val="28"/>
          <w:szCs w:val="28"/>
        </w:rPr>
      </w:pPr>
      <w:r>
        <w:rPr>
          <w:rFonts w:hint="eastAsia" w:ascii="宋体" w:hAnsi="宋体"/>
          <w:sz w:val="28"/>
          <w:szCs w:val="28"/>
        </w:rPr>
        <w:t>供应商调查表（格式见附件2）</w:t>
      </w:r>
    </w:p>
    <w:p>
      <w:pPr>
        <w:numPr>
          <w:ilvl w:val="0"/>
          <w:numId w:val="5"/>
        </w:numPr>
        <w:ind w:left="0" w:firstLine="560" w:firstLineChars="200"/>
        <w:rPr>
          <w:rFonts w:ascii="宋体" w:hAnsi="宋体"/>
          <w:sz w:val="28"/>
          <w:szCs w:val="28"/>
        </w:rPr>
      </w:pPr>
      <w:r>
        <w:rPr>
          <w:rFonts w:hint="eastAsia" w:ascii="宋体" w:hAnsi="宋体"/>
          <w:sz w:val="28"/>
          <w:szCs w:val="28"/>
        </w:rPr>
        <w:t>法定代表人证明书、法定代表人授权委托书原件（格式见附件3和附件4）；</w:t>
      </w:r>
    </w:p>
    <w:p>
      <w:pPr>
        <w:numPr>
          <w:ilvl w:val="0"/>
          <w:numId w:val="5"/>
        </w:numPr>
        <w:ind w:left="0" w:firstLine="560" w:firstLineChars="200"/>
        <w:rPr>
          <w:rFonts w:ascii="宋体" w:hAnsi="宋体"/>
          <w:sz w:val="28"/>
          <w:szCs w:val="28"/>
        </w:rPr>
      </w:pPr>
      <w:r>
        <w:rPr>
          <w:rFonts w:hint="eastAsia" w:ascii="宋体" w:hAnsi="宋体" w:cs="Arial"/>
          <w:color w:val="000000"/>
          <w:sz w:val="28"/>
          <w:szCs w:val="28"/>
        </w:rPr>
        <w:t>有效的资质证书和安全生产许可证；</w:t>
      </w:r>
    </w:p>
    <w:p>
      <w:pPr>
        <w:numPr>
          <w:ilvl w:val="0"/>
          <w:numId w:val="5"/>
        </w:numPr>
        <w:ind w:left="0" w:firstLine="560" w:firstLineChars="200"/>
        <w:rPr>
          <w:rFonts w:ascii="宋体" w:hAnsi="宋体"/>
          <w:sz w:val="28"/>
          <w:szCs w:val="28"/>
        </w:rPr>
      </w:pPr>
      <w:r>
        <w:rPr>
          <w:rFonts w:hint="eastAsia" w:ascii="宋体" w:hAnsi="宋体"/>
          <w:sz w:val="28"/>
          <w:szCs w:val="28"/>
        </w:rPr>
        <w:t>本工程拟派项目负责人简历表</w:t>
      </w:r>
      <w:r>
        <w:rPr>
          <w:rFonts w:ascii="宋体" w:hAnsi="宋体"/>
          <w:sz w:val="28"/>
          <w:szCs w:val="28"/>
        </w:rPr>
        <w:t>（包括姓名、部门和职务、</w:t>
      </w:r>
      <w:r>
        <w:rPr>
          <w:rFonts w:hint="eastAsia" w:ascii="宋体" w:hAnsi="宋体"/>
          <w:sz w:val="28"/>
          <w:szCs w:val="28"/>
        </w:rPr>
        <w:t>所学专业和</w:t>
      </w:r>
      <w:r>
        <w:rPr>
          <w:rFonts w:ascii="宋体" w:hAnsi="宋体"/>
          <w:sz w:val="28"/>
          <w:szCs w:val="28"/>
        </w:rPr>
        <w:t>毕业</w:t>
      </w:r>
      <w:r>
        <w:rPr>
          <w:rFonts w:hint="eastAsia" w:ascii="宋体" w:hAnsi="宋体"/>
          <w:sz w:val="28"/>
          <w:szCs w:val="28"/>
        </w:rPr>
        <w:t>院校名称及毕业</w:t>
      </w:r>
      <w:r>
        <w:rPr>
          <w:rFonts w:ascii="宋体" w:hAnsi="宋体"/>
          <w:sz w:val="28"/>
          <w:szCs w:val="28"/>
        </w:rPr>
        <w:t>时间、主要资历、经验及承担过的</w:t>
      </w:r>
      <w:r>
        <w:rPr>
          <w:rFonts w:hint="eastAsia" w:ascii="宋体" w:hAnsi="宋体"/>
          <w:sz w:val="28"/>
          <w:szCs w:val="28"/>
        </w:rPr>
        <w:t>类似</w:t>
      </w:r>
      <w:r>
        <w:rPr>
          <w:rFonts w:ascii="宋体" w:hAnsi="宋体"/>
          <w:sz w:val="28"/>
          <w:szCs w:val="28"/>
        </w:rPr>
        <w:t>项目</w:t>
      </w:r>
      <w:r>
        <w:rPr>
          <w:rFonts w:hint="eastAsia" w:ascii="宋体" w:hAnsi="宋体"/>
          <w:sz w:val="28"/>
          <w:szCs w:val="28"/>
        </w:rPr>
        <w:t>，</w:t>
      </w:r>
      <w:r>
        <w:rPr>
          <w:rFonts w:ascii="宋体" w:hAnsi="宋体"/>
          <w:sz w:val="28"/>
          <w:szCs w:val="28"/>
        </w:rPr>
        <w:t>获得认证资质证书</w:t>
      </w:r>
      <w:r>
        <w:rPr>
          <w:rFonts w:hint="eastAsia" w:ascii="宋体" w:hAnsi="宋体"/>
          <w:sz w:val="28"/>
          <w:szCs w:val="28"/>
        </w:rPr>
        <w:t>及复印件</w:t>
      </w:r>
      <w:r>
        <w:rPr>
          <w:rFonts w:ascii="宋体" w:hAnsi="宋体"/>
          <w:sz w:val="28"/>
          <w:szCs w:val="28"/>
        </w:rPr>
        <w:t>）</w:t>
      </w:r>
      <w:r>
        <w:rPr>
          <w:rFonts w:hint="eastAsia" w:ascii="宋体" w:hAnsi="宋体"/>
          <w:sz w:val="28"/>
          <w:szCs w:val="28"/>
        </w:rPr>
        <w:t>；</w:t>
      </w:r>
    </w:p>
    <w:p>
      <w:pPr>
        <w:numPr>
          <w:ilvl w:val="0"/>
          <w:numId w:val="5"/>
        </w:numPr>
        <w:ind w:left="0" w:firstLine="560" w:firstLineChars="200"/>
        <w:rPr>
          <w:rFonts w:ascii="宋体" w:hAnsi="宋体"/>
          <w:sz w:val="28"/>
          <w:szCs w:val="28"/>
        </w:rPr>
      </w:pPr>
      <w:r>
        <w:rPr>
          <w:rFonts w:hint="eastAsia" w:ascii="宋体" w:hAnsi="宋体"/>
          <w:sz w:val="28"/>
          <w:szCs w:val="28"/>
        </w:rPr>
        <w:t>近</w:t>
      </w:r>
      <w:r>
        <w:rPr>
          <w:rFonts w:hint="eastAsia"/>
          <w:sz w:val="28"/>
          <w:szCs w:val="28"/>
        </w:rPr>
        <w:t>3年内(20</w:t>
      </w:r>
      <w:r>
        <w:rPr>
          <w:sz w:val="28"/>
          <w:szCs w:val="28"/>
        </w:rPr>
        <w:t>16</w:t>
      </w:r>
      <w:r>
        <w:rPr>
          <w:rFonts w:hint="eastAsia"/>
          <w:sz w:val="28"/>
          <w:szCs w:val="28"/>
        </w:rPr>
        <w:t>年1月1日至今) 完成过质量合格的类似项目施工业绩（需提供合同和验收报告等相关证明材料复印件）；</w:t>
      </w:r>
    </w:p>
    <w:p>
      <w:pPr>
        <w:numPr>
          <w:ilvl w:val="0"/>
          <w:numId w:val="5"/>
        </w:numPr>
        <w:ind w:left="0" w:firstLine="560" w:firstLineChars="200"/>
        <w:rPr>
          <w:sz w:val="28"/>
          <w:szCs w:val="28"/>
        </w:rPr>
      </w:pPr>
      <w:r>
        <w:rPr>
          <w:rFonts w:hint="eastAsia" w:ascii="宋体" w:hAnsi="宋体"/>
          <w:sz w:val="28"/>
          <w:szCs w:val="28"/>
        </w:rPr>
        <w:t>投标人</w:t>
      </w:r>
      <w:r>
        <w:rPr>
          <w:rFonts w:hint="eastAsia" w:ascii="宋体" w:hAnsi="宋体" w:cs="Arial"/>
          <w:color w:val="000000"/>
          <w:sz w:val="28"/>
          <w:szCs w:val="28"/>
        </w:rPr>
        <w:t>认为有必要的其他材料复印件。</w:t>
      </w:r>
    </w:p>
    <w:p>
      <w:pPr>
        <w:ind w:firstLine="560" w:firstLineChars="200"/>
        <w:rPr>
          <w:sz w:val="28"/>
          <w:szCs w:val="28"/>
        </w:rPr>
      </w:pPr>
      <w:r>
        <w:rPr>
          <w:rFonts w:hint="eastAsia"/>
          <w:sz w:val="28"/>
          <w:szCs w:val="28"/>
        </w:rPr>
        <w:t>（二）技术部分（格式自定，加盖公章）</w:t>
      </w:r>
    </w:p>
    <w:p>
      <w:pPr>
        <w:ind w:firstLine="560" w:firstLineChars="20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pPr>
        <w:widowControl/>
        <w:numPr>
          <w:ilvl w:val="0"/>
          <w:numId w:val="6"/>
        </w:numPr>
        <w:tabs>
          <w:tab w:val="clear" w:pos="993"/>
        </w:tabs>
        <w:ind w:left="0" w:firstLine="560" w:firstLineChars="200"/>
        <w:rPr>
          <w:rFonts w:ascii="宋体" w:hAnsi="宋体" w:cs="Arial"/>
          <w:color w:val="000000"/>
          <w:sz w:val="28"/>
          <w:szCs w:val="28"/>
        </w:rPr>
      </w:pPr>
      <w:r>
        <w:rPr>
          <w:rFonts w:hint="eastAsia" w:ascii="宋体" w:hAnsi="宋体" w:cs="Arial"/>
          <w:color w:val="000000"/>
          <w:sz w:val="28"/>
          <w:szCs w:val="28"/>
        </w:rPr>
        <w:t>总体实施方案；</w:t>
      </w:r>
    </w:p>
    <w:p>
      <w:pPr>
        <w:widowControl/>
        <w:numPr>
          <w:ilvl w:val="0"/>
          <w:numId w:val="6"/>
        </w:numPr>
        <w:tabs>
          <w:tab w:val="clear" w:pos="993"/>
        </w:tabs>
        <w:ind w:left="0" w:firstLine="560" w:firstLineChars="200"/>
        <w:rPr>
          <w:rFonts w:ascii="宋体" w:hAnsi="宋体" w:cs="Arial"/>
          <w:color w:val="000000"/>
          <w:sz w:val="28"/>
          <w:szCs w:val="28"/>
        </w:rPr>
      </w:pPr>
      <w:r>
        <w:rPr>
          <w:rFonts w:hint="eastAsia" w:ascii="宋体" w:hAnsi="宋体" w:cs="Arial"/>
          <w:color w:val="000000"/>
          <w:sz w:val="28"/>
          <w:szCs w:val="28"/>
        </w:rPr>
        <w:t>实施进度计划和工期承诺书；</w:t>
      </w:r>
    </w:p>
    <w:p>
      <w:pPr>
        <w:widowControl/>
        <w:numPr>
          <w:ilvl w:val="0"/>
          <w:numId w:val="6"/>
        </w:numPr>
        <w:tabs>
          <w:tab w:val="clear" w:pos="993"/>
        </w:tabs>
        <w:ind w:left="0" w:firstLine="560" w:firstLineChars="200"/>
        <w:rPr>
          <w:rFonts w:ascii="宋体" w:hAnsi="宋体" w:cs="Arial"/>
          <w:color w:val="000000"/>
          <w:sz w:val="28"/>
          <w:szCs w:val="28"/>
        </w:rPr>
      </w:pPr>
      <w:r>
        <w:rPr>
          <w:rFonts w:hint="eastAsia" w:ascii="宋体" w:hAnsi="宋体" w:cs="Arial"/>
          <w:color w:val="000000"/>
          <w:sz w:val="28"/>
          <w:szCs w:val="28"/>
        </w:rPr>
        <w:t>确保实施进度的技术和组织措施；</w:t>
      </w:r>
    </w:p>
    <w:p>
      <w:pPr>
        <w:widowControl/>
        <w:numPr>
          <w:ilvl w:val="0"/>
          <w:numId w:val="6"/>
        </w:numPr>
        <w:tabs>
          <w:tab w:val="clear" w:pos="993"/>
        </w:tabs>
        <w:ind w:left="0" w:firstLine="560" w:firstLineChars="200"/>
        <w:rPr>
          <w:rFonts w:ascii="宋体" w:hAnsi="宋体" w:cs="Arial"/>
          <w:color w:val="000000"/>
          <w:sz w:val="28"/>
          <w:szCs w:val="28"/>
        </w:rPr>
      </w:pPr>
      <w:r>
        <w:rPr>
          <w:rFonts w:hint="eastAsia" w:ascii="宋体" w:hAnsi="宋体" w:cs="Arial"/>
          <w:color w:val="000000"/>
          <w:sz w:val="28"/>
          <w:szCs w:val="28"/>
        </w:rPr>
        <w:t>确保安全文明施工的技术和组织措施；</w:t>
      </w:r>
    </w:p>
    <w:p>
      <w:pPr>
        <w:widowControl/>
        <w:numPr>
          <w:ilvl w:val="0"/>
          <w:numId w:val="6"/>
        </w:numPr>
        <w:tabs>
          <w:tab w:val="clear" w:pos="993"/>
        </w:tabs>
        <w:ind w:left="0" w:firstLine="560" w:firstLineChars="200"/>
        <w:rPr>
          <w:rFonts w:ascii="宋体" w:hAnsi="宋体" w:cs="Arial"/>
          <w:color w:val="000000"/>
          <w:sz w:val="28"/>
          <w:szCs w:val="28"/>
        </w:rPr>
      </w:pPr>
      <w:r>
        <w:rPr>
          <w:rFonts w:hint="eastAsia" w:ascii="宋体" w:hAnsi="宋体" w:cs="Arial"/>
          <w:color w:val="000000"/>
          <w:sz w:val="28"/>
          <w:szCs w:val="28"/>
        </w:rPr>
        <w:t>投入的机械设备；</w:t>
      </w:r>
    </w:p>
    <w:p>
      <w:pPr>
        <w:widowControl/>
        <w:numPr>
          <w:ilvl w:val="0"/>
          <w:numId w:val="6"/>
        </w:numPr>
        <w:tabs>
          <w:tab w:val="clear" w:pos="993"/>
        </w:tabs>
        <w:ind w:left="0" w:firstLine="560" w:firstLineChars="200"/>
        <w:rPr>
          <w:sz w:val="28"/>
          <w:szCs w:val="28"/>
        </w:rPr>
      </w:pPr>
      <w:r>
        <w:rPr>
          <w:rFonts w:hint="eastAsia" w:ascii="宋体" w:hAnsi="宋体" w:cs="Arial"/>
          <w:color w:val="000000"/>
          <w:sz w:val="28"/>
          <w:szCs w:val="28"/>
        </w:rPr>
        <w:t>投标人认为其它需要说明的文字。</w:t>
      </w:r>
    </w:p>
    <w:p>
      <w:pPr>
        <w:ind w:firstLine="560" w:firstLineChars="200"/>
        <w:rPr>
          <w:sz w:val="28"/>
          <w:szCs w:val="28"/>
        </w:rPr>
      </w:pPr>
      <w:r>
        <w:rPr>
          <w:rFonts w:hint="eastAsia"/>
          <w:sz w:val="28"/>
          <w:szCs w:val="28"/>
        </w:rPr>
        <w:t>（三）价格文件（加盖公章）</w:t>
      </w:r>
    </w:p>
    <w:p>
      <w:pPr>
        <w:numPr>
          <w:ilvl w:val="0"/>
          <w:numId w:val="7"/>
        </w:numPr>
        <w:ind w:left="0" w:firstLine="560" w:firstLineChars="200"/>
        <w:rPr>
          <w:rFonts w:ascii="宋体" w:hAnsi="宋体" w:cs="Arial"/>
          <w:color w:val="000000"/>
          <w:sz w:val="28"/>
          <w:szCs w:val="28"/>
        </w:rPr>
      </w:pPr>
      <w:r>
        <w:rPr>
          <w:rFonts w:hint="eastAsia" w:ascii="宋体" w:hAnsi="宋体" w:cs="Arial"/>
          <w:color w:val="000000"/>
          <w:sz w:val="28"/>
          <w:szCs w:val="28"/>
        </w:rPr>
        <w:t>报价一览表（格式见附件1）</w:t>
      </w:r>
    </w:p>
    <w:p>
      <w:pPr>
        <w:numPr>
          <w:ilvl w:val="0"/>
          <w:numId w:val="7"/>
        </w:numPr>
        <w:ind w:left="0" w:firstLine="560" w:firstLineChars="200"/>
        <w:rPr>
          <w:rFonts w:ascii="宋体" w:hAnsi="宋体" w:cs="Arial"/>
          <w:color w:val="000000"/>
          <w:sz w:val="28"/>
          <w:szCs w:val="28"/>
        </w:rPr>
      </w:pPr>
      <w:r>
        <w:rPr>
          <w:rFonts w:hint="eastAsia" w:ascii="宋体" w:hAnsi="宋体" w:cs="Arial"/>
          <w:color w:val="000000"/>
          <w:sz w:val="28"/>
          <w:szCs w:val="28"/>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p>
    <w:p>
      <w:pPr>
        <w:ind w:firstLine="562" w:firstLineChars="200"/>
        <w:rPr>
          <w:b/>
          <w:sz w:val="28"/>
          <w:szCs w:val="28"/>
        </w:rPr>
      </w:pPr>
      <w:r>
        <w:rPr>
          <w:rFonts w:hint="eastAsia"/>
          <w:b/>
          <w:sz w:val="28"/>
          <w:szCs w:val="28"/>
        </w:rPr>
        <w:t>八、评标方法</w:t>
      </w:r>
    </w:p>
    <w:p>
      <w:pPr>
        <w:ind w:firstLine="560" w:firstLineChars="200"/>
        <w:rPr>
          <w:sz w:val="28"/>
          <w:szCs w:val="28"/>
        </w:rPr>
      </w:pPr>
      <w:r>
        <w:rPr>
          <w:rFonts w:hint="eastAsia"/>
          <w:sz w:val="28"/>
          <w:szCs w:val="28"/>
        </w:rPr>
        <w:t>本项目采用经评审的最低投标价法确定中标候选人。同时通过投标人资格审查（见附件5）和投标文件有效性审查（见附件6）后，各投标人按有效投标报价由低至高的顺序依次排列，排名第一为第一中标候选人。投标人实行信用评价管理，具体见附件7和附件8。</w:t>
      </w:r>
    </w:p>
    <w:p>
      <w:pPr>
        <w:ind w:firstLine="562" w:firstLineChars="200"/>
        <w:rPr>
          <w:rFonts w:ascii="宋体" w:hAnsi="宋体" w:cs="Arial"/>
          <w:b/>
          <w:color w:val="000000"/>
          <w:sz w:val="28"/>
          <w:szCs w:val="28"/>
        </w:rPr>
      </w:pPr>
      <w:r>
        <w:rPr>
          <w:rFonts w:hint="eastAsia" w:ascii="宋体" w:hAnsi="宋体" w:cs="Arial"/>
          <w:b/>
          <w:color w:val="000000"/>
          <w:sz w:val="28"/>
          <w:szCs w:val="28"/>
        </w:rPr>
        <w:t>九、勘踏现场</w:t>
      </w:r>
    </w:p>
    <w:p>
      <w:pPr>
        <w:ind w:firstLine="560" w:firstLineChars="20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2019年3月2</w:t>
      </w:r>
      <w:r>
        <w:rPr>
          <w:sz w:val="28"/>
          <w:szCs w:val="28"/>
        </w:rPr>
        <w:t>6</w:t>
      </w:r>
      <w:r>
        <w:rPr>
          <w:rFonts w:hint="eastAsia"/>
          <w:sz w:val="28"/>
          <w:szCs w:val="28"/>
        </w:rPr>
        <w:t>日15时，集中地点：广州市番禺区大学城明志街1号信息枢纽楼一楼西门。勘踏现场联系人工程部汤工，联系电话：020-</w:t>
      </w:r>
      <w:r>
        <w:rPr>
          <w:sz w:val="28"/>
          <w:szCs w:val="28"/>
        </w:rPr>
        <w:t>39302054</w:t>
      </w:r>
      <w:r>
        <w:rPr>
          <w:rFonts w:hint="eastAsia"/>
          <w:sz w:val="28"/>
          <w:szCs w:val="28"/>
        </w:rPr>
        <w:t>。投标人未在规定时间勘踏现场的，采购人不再另行组织，由投标人自行前往勘踏。</w:t>
      </w:r>
    </w:p>
    <w:p>
      <w:pPr>
        <w:ind w:firstLine="562" w:firstLineChars="200"/>
        <w:rPr>
          <w:rFonts w:ascii="宋体" w:hAnsi="宋体" w:cs="Arial"/>
          <w:b/>
          <w:color w:val="000000"/>
          <w:sz w:val="28"/>
          <w:szCs w:val="28"/>
        </w:rPr>
      </w:pPr>
      <w:r>
        <w:rPr>
          <w:rFonts w:hint="eastAsia" w:ascii="宋体" w:hAnsi="宋体" w:cs="Arial"/>
          <w:b/>
          <w:color w:val="000000"/>
          <w:sz w:val="28"/>
          <w:szCs w:val="28"/>
        </w:rPr>
        <w:t>十、递交投标文件</w:t>
      </w:r>
    </w:p>
    <w:p>
      <w:pPr>
        <w:ind w:firstLine="560" w:firstLineChars="200"/>
        <w:rPr>
          <w:rFonts w:ascii="宋体" w:hAnsi="宋体" w:cs="Arial"/>
          <w:color w:val="000000"/>
          <w:sz w:val="28"/>
          <w:szCs w:val="28"/>
        </w:rPr>
      </w:pPr>
      <w:r>
        <w:rPr>
          <w:rFonts w:hint="eastAsia" w:ascii="宋体" w:hAnsi="宋体" w:cs="Arial"/>
          <w:color w:val="000000"/>
          <w:sz w:val="28"/>
          <w:szCs w:val="28"/>
        </w:rPr>
        <w:t>（一）投标文件递交截止时间：2019年4月9日北京时间15时00分前。</w:t>
      </w:r>
      <w:r>
        <w:rPr>
          <w:rFonts w:hint="eastAsia"/>
          <w:sz w:val="28"/>
          <w:szCs w:val="28"/>
        </w:rPr>
        <w:t>以密封的形式提供投标文件到：广州市番禺区大学城明志街1号信息枢纽楼前台。</w:t>
      </w:r>
      <w:r>
        <w:rPr>
          <w:rFonts w:hint="eastAsia" w:asciiTheme="minorEastAsia" w:hAnsiTheme="minorEastAsia"/>
          <w:sz w:val="28"/>
          <w:szCs w:val="28"/>
        </w:rPr>
        <w:t>投标文件信封或外包装上应当注明采购项目名称、投标人名称和“在（竞选文件中规定的开标日期）之前不得启封”的字样，封口处应加盖投标人印章。</w:t>
      </w:r>
      <w:r>
        <w:rPr>
          <w:rFonts w:hint="eastAsia"/>
          <w:sz w:val="28"/>
          <w:szCs w:val="28"/>
        </w:rPr>
        <w:t>采购人接受现场递交或邮寄两种方式。</w:t>
      </w:r>
      <w:r>
        <w:rPr>
          <w:rFonts w:hint="eastAsia" w:ascii="宋体" w:hAnsi="宋体" w:cs="Arial"/>
          <w:color w:val="000000"/>
          <w:kern w:val="0"/>
          <w:sz w:val="28"/>
          <w:szCs w:val="28"/>
        </w:rPr>
        <w:t>采用邮寄方式的，应在邮寄外包装袋上注明“XX项目投标文件”字样。</w:t>
      </w:r>
      <w:r>
        <w:rPr>
          <w:rFonts w:hint="eastAsia" w:asciiTheme="minorEastAsia" w:hAnsiTheme="minorEastAsia"/>
          <w:sz w:val="28"/>
          <w:szCs w:val="28"/>
        </w:rPr>
        <w:t>投标人递交投标文件后，请联系采购人确认。</w:t>
      </w:r>
    </w:p>
    <w:p>
      <w:pPr>
        <w:ind w:firstLine="560" w:firstLineChars="200"/>
        <w:rPr>
          <w:rFonts w:ascii="宋体" w:hAnsi="宋体" w:cs="Arial"/>
          <w:color w:val="000000"/>
          <w:sz w:val="28"/>
          <w:szCs w:val="28"/>
        </w:rPr>
      </w:pPr>
      <w:r>
        <w:rPr>
          <w:rFonts w:hint="eastAsia" w:ascii="宋体" w:hAnsi="宋体" w:cs="Arial"/>
          <w:color w:val="000000"/>
          <w:sz w:val="28"/>
          <w:szCs w:val="28"/>
        </w:rPr>
        <w:t>（二）</w:t>
      </w:r>
      <w:r>
        <w:rPr>
          <w:sz w:val="28"/>
          <w:szCs w:val="28"/>
        </w:rPr>
        <w:t>投标文</w:t>
      </w:r>
      <w:r>
        <w:rPr>
          <w:rFonts w:hint="eastAsia"/>
          <w:sz w:val="28"/>
          <w:szCs w:val="28"/>
        </w:rPr>
        <w:t>件逾期递交、未送达指定地点的、或未按要求密封的，采购人有权不予受理</w:t>
      </w:r>
      <w:r>
        <w:rPr>
          <w:sz w:val="28"/>
          <w:szCs w:val="28"/>
        </w:rPr>
        <w:t>。</w:t>
      </w:r>
    </w:p>
    <w:p>
      <w:pPr>
        <w:ind w:firstLine="562" w:firstLineChars="200"/>
        <w:rPr>
          <w:rFonts w:ascii="宋体" w:hAnsi="宋体" w:cs="Arial"/>
          <w:b/>
          <w:color w:val="000000"/>
          <w:sz w:val="28"/>
          <w:szCs w:val="28"/>
        </w:rPr>
      </w:pPr>
      <w:r>
        <w:rPr>
          <w:rFonts w:ascii="宋体" w:hAnsi="宋体" w:cs="Arial"/>
          <w:b/>
          <w:color w:val="000000"/>
          <w:sz w:val="28"/>
          <w:szCs w:val="28"/>
        </w:rPr>
        <w:t>十一</w:t>
      </w:r>
      <w:r>
        <w:rPr>
          <w:rFonts w:hint="eastAsia" w:ascii="宋体" w:hAnsi="宋体" w:cs="Arial"/>
          <w:b/>
          <w:color w:val="000000"/>
          <w:sz w:val="28"/>
          <w:szCs w:val="28"/>
        </w:rPr>
        <w:t>、</w:t>
      </w:r>
      <w:r>
        <w:rPr>
          <w:rFonts w:hint="eastAsia" w:ascii="宋体" w:hAnsi="宋体" w:cs="Arial"/>
          <w:color w:val="000000"/>
          <w:sz w:val="28"/>
          <w:szCs w:val="28"/>
        </w:rPr>
        <w:t>本竞选文件在广东省招标投标监管网（网址：</w:t>
      </w:r>
      <w:r>
        <w:fldChar w:fldCharType="begin"/>
      </w:r>
      <w:r>
        <w:instrText xml:space="preserve"> HYPERLINK "http://www.gdzbtb.gov.cn/" </w:instrText>
      </w:r>
      <w:r>
        <w:fldChar w:fldCharType="separate"/>
      </w:r>
      <w:r>
        <w:rPr>
          <w:rStyle w:val="12"/>
          <w:rFonts w:ascii="宋体" w:hAnsi="宋体" w:cs="Arial"/>
          <w:sz w:val="28"/>
          <w:szCs w:val="28"/>
        </w:rPr>
        <w:t>http://www.gdzbtb.gov.cn/</w:t>
      </w:r>
      <w:r>
        <w:rPr>
          <w:rStyle w:val="12"/>
          <w:rFonts w:ascii="宋体" w:hAnsi="宋体" w:cs="Arial"/>
          <w:sz w:val="28"/>
          <w:szCs w:val="28"/>
        </w:rPr>
        <w:fldChar w:fldCharType="end"/>
      </w:r>
      <w:r>
        <w:rPr>
          <w:rFonts w:ascii="宋体" w:hAnsi="宋体" w:cs="Arial"/>
          <w:color w:val="000000"/>
          <w:sz w:val="28"/>
          <w:szCs w:val="28"/>
        </w:rPr>
        <w:t>）</w:t>
      </w:r>
      <w:r>
        <w:rPr>
          <w:rFonts w:hint="eastAsia" w:ascii="宋体" w:hAnsi="宋体" w:cs="Arial"/>
          <w:color w:val="000000"/>
          <w:sz w:val="28"/>
          <w:szCs w:val="28"/>
        </w:rPr>
        <w:t>、广州大学城投资经营管理有限公司网站（网址：</w:t>
      </w:r>
      <w:r>
        <w:rPr>
          <w:rFonts w:ascii="宋体" w:hAnsi="宋体" w:cs="Arial"/>
          <w:color w:val="000000"/>
          <w:sz w:val="28"/>
          <w:szCs w:val="28"/>
        </w:rPr>
        <w:t>https://www.gzuci.com/</w:t>
      </w:r>
      <w:r>
        <w:rPr>
          <w:rFonts w:hint="eastAsia" w:ascii="宋体" w:hAnsi="宋体" w:cs="Arial"/>
          <w:color w:val="000000"/>
          <w:sz w:val="28"/>
          <w:szCs w:val="28"/>
        </w:rPr>
        <w:t>）同时发布。本竞选文件在各媒体发布的文本如有不同之处，以在广州大学城投资经营管理有限公司网站发布的文本为准。</w:t>
      </w:r>
    </w:p>
    <w:p>
      <w:pPr>
        <w:ind w:firstLine="562" w:firstLineChars="200"/>
        <w:rPr>
          <w:rFonts w:ascii="宋体" w:hAnsi="宋体" w:cs="Arial"/>
          <w:b/>
          <w:color w:val="000000"/>
          <w:sz w:val="28"/>
          <w:szCs w:val="28"/>
        </w:rPr>
      </w:pPr>
      <w:r>
        <w:rPr>
          <w:rFonts w:hint="eastAsia" w:ascii="宋体" w:hAnsi="宋体" w:cs="Arial"/>
          <w:b/>
          <w:color w:val="000000"/>
          <w:sz w:val="28"/>
          <w:szCs w:val="28"/>
        </w:rPr>
        <w:t>十二、采购人地址和联系方式</w:t>
      </w:r>
    </w:p>
    <w:p>
      <w:pPr>
        <w:ind w:firstLine="560" w:firstLineChars="200"/>
        <w:rPr>
          <w:rFonts w:ascii="宋体" w:hAnsi="宋体" w:cs="Arial"/>
          <w:color w:val="000000"/>
          <w:sz w:val="28"/>
          <w:szCs w:val="28"/>
        </w:rPr>
      </w:pPr>
      <w:r>
        <w:rPr>
          <w:rFonts w:hint="eastAsia" w:ascii="宋体" w:hAnsi="宋体" w:cs="Arial"/>
          <w:color w:val="000000"/>
          <w:sz w:val="28"/>
          <w:szCs w:val="28"/>
        </w:rPr>
        <w:t>采购单位：广州大学城投资经营管理有限公司</w:t>
      </w:r>
    </w:p>
    <w:p>
      <w:pPr>
        <w:ind w:firstLine="560" w:firstLineChars="200"/>
        <w:rPr>
          <w:rFonts w:ascii="宋体" w:hAnsi="宋体" w:cs="Arial"/>
          <w:color w:val="000000"/>
          <w:sz w:val="28"/>
          <w:szCs w:val="28"/>
        </w:rPr>
      </w:pPr>
      <w:r>
        <w:rPr>
          <w:rFonts w:hint="eastAsia" w:ascii="宋体" w:hAnsi="宋体" w:cs="Arial"/>
          <w:color w:val="000000"/>
          <w:sz w:val="28"/>
          <w:szCs w:val="28"/>
        </w:rPr>
        <w:t>联系地址：广州市番禺区大学城明志街</w:t>
      </w:r>
      <w:r>
        <w:rPr>
          <w:rFonts w:ascii="Arial" w:hAnsi="Arial" w:cs="Arial"/>
          <w:color w:val="000000"/>
          <w:sz w:val="28"/>
          <w:szCs w:val="28"/>
        </w:rPr>
        <w:t>1</w:t>
      </w:r>
      <w:r>
        <w:rPr>
          <w:rFonts w:hint="eastAsia" w:ascii="宋体" w:hAnsi="宋体" w:cs="Arial"/>
          <w:color w:val="000000"/>
          <w:sz w:val="28"/>
          <w:szCs w:val="28"/>
        </w:rPr>
        <w:t>号信息枢纽楼9楼</w:t>
      </w:r>
    </w:p>
    <w:p>
      <w:pPr>
        <w:ind w:firstLine="560" w:firstLineChars="200"/>
        <w:rPr>
          <w:rFonts w:ascii="Arial" w:hAnsi="Arial" w:cs="Arial"/>
          <w:color w:val="000000"/>
          <w:sz w:val="28"/>
          <w:szCs w:val="28"/>
        </w:rPr>
      </w:pPr>
      <w:r>
        <w:rPr>
          <w:rFonts w:hint="eastAsia" w:ascii="宋体" w:hAnsi="宋体" w:cs="Arial"/>
          <w:color w:val="000000"/>
          <w:sz w:val="28"/>
          <w:szCs w:val="28"/>
        </w:rPr>
        <w:t>联系人：廖先生</w:t>
      </w:r>
    </w:p>
    <w:p>
      <w:pPr>
        <w:ind w:firstLine="560" w:firstLineChars="200"/>
        <w:rPr>
          <w:rFonts w:ascii="Arial" w:hAnsi="Arial" w:cs="Arial"/>
          <w:color w:val="000000"/>
          <w:sz w:val="28"/>
          <w:szCs w:val="28"/>
        </w:rPr>
      </w:pPr>
      <w:r>
        <w:rPr>
          <w:rFonts w:hint="eastAsia" w:ascii="宋体" w:hAnsi="宋体" w:cs="Arial"/>
          <w:color w:val="000000"/>
          <w:sz w:val="28"/>
          <w:szCs w:val="28"/>
        </w:rPr>
        <w:t>联系电话：0</w:t>
      </w:r>
      <w:r>
        <w:rPr>
          <w:rFonts w:ascii="宋体" w:hAnsi="宋体" w:cs="Arial"/>
          <w:color w:val="000000"/>
          <w:sz w:val="28"/>
          <w:szCs w:val="28"/>
        </w:rPr>
        <w:t>20</w:t>
      </w:r>
      <w:r>
        <w:rPr>
          <w:rFonts w:hint="eastAsia" w:ascii="宋体" w:hAnsi="宋体" w:cs="Arial"/>
          <w:color w:val="000000"/>
          <w:sz w:val="28"/>
          <w:szCs w:val="28"/>
        </w:rPr>
        <w:t>-</w:t>
      </w:r>
      <w:r>
        <w:rPr>
          <w:rFonts w:ascii="宋体" w:hAnsi="宋体" w:cs="Arial"/>
          <w:color w:val="000000"/>
          <w:sz w:val="28"/>
          <w:szCs w:val="28"/>
        </w:rPr>
        <w:t>39302079</w:t>
      </w:r>
    </w:p>
    <w:p>
      <w:pPr>
        <w:ind w:firstLine="560" w:firstLineChars="200"/>
        <w:rPr>
          <w:rFonts w:ascii="Arial" w:hAnsi="Arial" w:cs="Arial"/>
          <w:color w:val="000000"/>
          <w:sz w:val="28"/>
          <w:szCs w:val="28"/>
        </w:rPr>
      </w:pPr>
    </w:p>
    <w:p>
      <w:pPr>
        <w:ind w:firstLine="560" w:firstLineChars="200"/>
        <w:rPr>
          <w:rFonts w:ascii="宋体" w:hAnsi="宋体" w:cs="Arial"/>
          <w:color w:val="000000"/>
          <w:sz w:val="28"/>
          <w:szCs w:val="28"/>
        </w:rPr>
      </w:pPr>
      <w:r>
        <w:rPr>
          <w:rFonts w:hint="eastAsia" w:ascii="宋体" w:hAnsi="宋体" w:cs="Arial"/>
          <w:color w:val="000000"/>
          <w:sz w:val="28"/>
          <w:szCs w:val="28"/>
        </w:rPr>
        <w:t>附件1：报价一览表</w:t>
      </w:r>
    </w:p>
    <w:p>
      <w:pPr>
        <w:ind w:firstLine="560" w:firstLineChars="200"/>
        <w:rPr>
          <w:rFonts w:ascii="宋体" w:hAnsi="宋体" w:cs="Arial"/>
          <w:color w:val="000000"/>
          <w:sz w:val="28"/>
          <w:szCs w:val="28"/>
        </w:rPr>
      </w:pPr>
      <w:r>
        <w:rPr>
          <w:rFonts w:hint="eastAsia" w:ascii="宋体" w:hAnsi="宋体" w:cs="Arial"/>
          <w:color w:val="000000"/>
          <w:sz w:val="28"/>
          <w:szCs w:val="28"/>
        </w:rPr>
        <w:t>附件2：供应商调查</w:t>
      </w:r>
    </w:p>
    <w:p>
      <w:pPr>
        <w:ind w:firstLine="560" w:firstLineChars="200"/>
        <w:rPr>
          <w:rFonts w:ascii="宋体" w:hAnsi="宋体" w:cs="Arial"/>
          <w:color w:val="000000"/>
          <w:sz w:val="28"/>
          <w:szCs w:val="28"/>
        </w:rPr>
      </w:pPr>
      <w:r>
        <w:rPr>
          <w:rFonts w:hint="eastAsia" w:ascii="宋体" w:hAnsi="宋体" w:cs="Arial"/>
          <w:color w:val="000000"/>
          <w:sz w:val="28"/>
          <w:szCs w:val="28"/>
        </w:rPr>
        <w:t>附件3：法定代表人身份证明书</w:t>
      </w:r>
    </w:p>
    <w:p>
      <w:pPr>
        <w:ind w:firstLine="560" w:firstLineChars="200"/>
        <w:rPr>
          <w:rFonts w:ascii="宋体" w:hAnsi="宋体" w:cs="Arial"/>
          <w:color w:val="000000"/>
          <w:sz w:val="28"/>
          <w:szCs w:val="28"/>
        </w:rPr>
      </w:pPr>
      <w:r>
        <w:rPr>
          <w:rFonts w:hint="eastAsia" w:ascii="宋体" w:hAnsi="宋体" w:cs="Arial"/>
          <w:color w:val="000000"/>
          <w:sz w:val="28"/>
          <w:szCs w:val="28"/>
        </w:rPr>
        <w:t>附件4：法定代表人授权委托证明书</w:t>
      </w:r>
    </w:p>
    <w:p>
      <w:pPr>
        <w:ind w:firstLine="560" w:firstLineChars="200"/>
        <w:rPr>
          <w:rFonts w:ascii="宋体" w:hAnsi="宋体" w:cs="Arial"/>
          <w:color w:val="000000"/>
          <w:sz w:val="28"/>
          <w:szCs w:val="28"/>
        </w:rPr>
      </w:pPr>
      <w:r>
        <w:rPr>
          <w:rFonts w:hint="eastAsia" w:ascii="宋体" w:hAnsi="宋体" w:cs="Arial"/>
          <w:color w:val="000000"/>
          <w:sz w:val="28"/>
          <w:szCs w:val="28"/>
        </w:rPr>
        <w:t>附件5：投标人资格审查表</w:t>
      </w:r>
    </w:p>
    <w:p>
      <w:pPr>
        <w:ind w:firstLine="560" w:firstLineChars="200"/>
        <w:rPr>
          <w:rFonts w:ascii="宋体" w:hAnsi="宋体" w:cs="Arial"/>
          <w:color w:val="000000"/>
          <w:sz w:val="28"/>
          <w:szCs w:val="28"/>
        </w:rPr>
      </w:pPr>
      <w:r>
        <w:rPr>
          <w:rFonts w:hint="eastAsia" w:ascii="宋体" w:hAnsi="宋体" w:cs="Arial"/>
          <w:color w:val="000000"/>
          <w:sz w:val="28"/>
          <w:szCs w:val="28"/>
        </w:rPr>
        <w:t>附件6：投标文件有效性审查表</w:t>
      </w:r>
    </w:p>
    <w:p>
      <w:pPr>
        <w:ind w:firstLine="560" w:firstLineChars="200"/>
        <w:rPr>
          <w:rFonts w:ascii="宋体" w:hAnsi="宋体" w:cs="Arial"/>
          <w:color w:val="000000"/>
          <w:sz w:val="28"/>
          <w:szCs w:val="28"/>
        </w:rPr>
      </w:pPr>
      <w:r>
        <w:rPr>
          <w:rFonts w:hint="eastAsia" w:ascii="宋体" w:hAnsi="宋体" w:cs="Arial"/>
          <w:color w:val="000000"/>
          <w:sz w:val="28"/>
          <w:szCs w:val="28"/>
        </w:rPr>
        <w:t>附件7：公开竞选供应商信用评价</w:t>
      </w:r>
    </w:p>
    <w:p>
      <w:pPr>
        <w:ind w:firstLine="560" w:firstLineChars="200"/>
        <w:rPr>
          <w:rFonts w:ascii="宋体" w:hAnsi="宋体" w:cs="Arial"/>
          <w:color w:val="000000"/>
          <w:sz w:val="28"/>
          <w:szCs w:val="28"/>
        </w:rPr>
      </w:pPr>
      <w:r>
        <w:rPr>
          <w:rFonts w:hint="eastAsia" w:ascii="宋体" w:hAnsi="宋体" w:cs="Arial"/>
          <w:color w:val="000000"/>
          <w:sz w:val="28"/>
          <w:szCs w:val="28"/>
        </w:rPr>
        <w:t>附件8：供应商信用指标及评价标准</w:t>
      </w:r>
    </w:p>
    <w:p>
      <w:pPr>
        <w:ind w:firstLine="560" w:firstLineChars="200"/>
        <w:rPr>
          <w:rFonts w:ascii="宋体" w:hAnsi="宋体" w:cs="Arial"/>
          <w:color w:val="000000"/>
          <w:sz w:val="28"/>
          <w:szCs w:val="28"/>
        </w:rPr>
      </w:pPr>
      <w:r>
        <w:rPr>
          <w:rFonts w:hint="eastAsia" w:ascii="宋体" w:hAnsi="宋体" w:cs="Arial"/>
          <w:color w:val="000000"/>
          <w:sz w:val="28"/>
          <w:szCs w:val="28"/>
        </w:rPr>
        <w:t>附件9：附图</w:t>
      </w:r>
    </w:p>
    <w:p>
      <w:pPr>
        <w:pStyle w:val="3"/>
        <w:ind w:left="0" w:leftChars="0" w:firstLine="560" w:firstLineChars="200"/>
        <w:rPr>
          <w:sz w:val="28"/>
          <w:szCs w:val="28"/>
        </w:rPr>
      </w:pPr>
    </w:p>
    <w:p>
      <w:pPr>
        <w:pStyle w:val="3"/>
        <w:spacing w:line="360" w:lineRule="auto"/>
        <w:ind w:left="0" w:leftChars="0" w:right="560"/>
        <w:jc w:val="center"/>
        <w:rPr>
          <w:sz w:val="28"/>
          <w:szCs w:val="28"/>
        </w:rPr>
      </w:pPr>
      <w:r>
        <w:rPr>
          <w:rFonts w:hint="eastAsia"/>
          <w:sz w:val="28"/>
          <w:szCs w:val="28"/>
        </w:rPr>
        <w:t xml:space="preserve">               采购人：广州大学城投资经营管理有限公司</w:t>
      </w:r>
    </w:p>
    <w:p>
      <w:pPr>
        <w:spacing w:line="360" w:lineRule="auto"/>
        <w:rPr>
          <w:sz w:val="28"/>
          <w:szCs w:val="28"/>
        </w:rPr>
      </w:pPr>
      <w:r>
        <w:rPr>
          <w:rFonts w:hint="eastAsia"/>
          <w:sz w:val="28"/>
          <w:szCs w:val="28"/>
        </w:rPr>
        <w:t xml:space="preserve">                                 20</w:t>
      </w:r>
      <w:r>
        <w:rPr>
          <w:sz w:val="28"/>
          <w:szCs w:val="28"/>
        </w:rPr>
        <w:t>19</w:t>
      </w:r>
      <w:r>
        <w:rPr>
          <w:rFonts w:hint="eastAsia"/>
          <w:sz w:val="28"/>
          <w:szCs w:val="28"/>
        </w:rPr>
        <w:t>年3月2</w:t>
      </w:r>
      <w:r>
        <w:rPr>
          <w:sz w:val="28"/>
          <w:szCs w:val="28"/>
        </w:rPr>
        <w:t>1</w:t>
      </w:r>
      <w:r>
        <w:rPr>
          <w:rFonts w:hint="eastAsia"/>
          <w:sz w:val="28"/>
          <w:szCs w:val="28"/>
        </w:rPr>
        <w:t>日</w:t>
      </w:r>
    </w:p>
    <w:p>
      <w:pPr>
        <w:spacing w:line="400" w:lineRule="exact"/>
        <w:rPr>
          <w:rFonts w:hAnsi="宋体"/>
          <w:b/>
          <w:sz w:val="28"/>
          <w:szCs w:val="28"/>
        </w:rPr>
      </w:pPr>
      <w:r>
        <w:rPr>
          <w:sz w:val="28"/>
          <w:szCs w:val="28"/>
        </w:rPr>
        <w:br w:type="page"/>
      </w:r>
      <w:r>
        <w:rPr>
          <w:rFonts w:hint="eastAsia" w:ascii="宋体" w:hAnsi="宋体" w:cs="Arial"/>
          <w:color w:val="000000"/>
          <w:sz w:val="30"/>
          <w:szCs w:val="30"/>
        </w:rPr>
        <w:t>附件1</w:t>
      </w:r>
    </w:p>
    <w:p>
      <w:pPr>
        <w:pStyle w:val="4"/>
        <w:ind w:firstLine="0" w:firstLineChars="0"/>
        <w:jc w:val="center"/>
        <w:rPr>
          <w:rFonts w:hAnsi="宋体"/>
          <w:b/>
          <w:sz w:val="28"/>
          <w:szCs w:val="28"/>
        </w:rPr>
      </w:pPr>
      <w:r>
        <w:rPr>
          <w:rFonts w:hAnsi="宋体"/>
          <w:b/>
          <w:sz w:val="28"/>
          <w:szCs w:val="28"/>
        </w:rPr>
        <w:t>报价一览表</w:t>
      </w:r>
    </w:p>
    <w:p>
      <w:pPr>
        <w:spacing w:line="360" w:lineRule="auto"/>
        <w:rPr>
          <w:rFonts w:hAnsi="宋体"/>
          <w:szCs w:val="21"/>
        </w:rPr>
      </w:pPr>
      <w:r>
        <w:rPr>
          <w:rFonts w:hint="eastAsia" w:hAnsi="宋体"/>
          <w:szCs w:val="21"/>
        </w:rPr>
        <w:t>项目名称：广州大学城区域供冷中山大学化学与材料楼接口预留工程</w:t>
      </w:r>
    </w:p>
    <w:tbl>
      <w:tblPr>
        <w:tblStyle w:val="9"/>
        <w:tblW w:w="8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886"/>
        <w:gridCol w:w="1701"/>
        <w:gridCol w:w="4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737" w:type="dxa"/>
            <w:vAlign w:val="center"/>
          </w:tcPr>
          <w:p>
            <w:pPr>
              <w:jc w:val="center"/>
              <w:rPr>
                <w:rFonts w:hAnsi="宋体"/>
                <w:bCs/>
                <w:sz w:val="24"/>
              </w:rPr>
            </w:pPr>
            <w:r>
              <w:rPr>
                <w:rFonts w:hint="eastAsia" w:hAnsi="宋体"/>
                <w:bCs/>
                <w:sz w:val="24"/>
              </w:rPr>
              <w:t>序号</w:t>
            </w:r>
          </w:p>
        </w:tc>
        <w:tc>
          <w:tcPr>
            <w:tcW w:w="1886" w:type="dxa"/>
            <w:vAlign w:val="center"/>
          </w:tcPr>
          <w:p>
            <w:pPr>
              <w:jc w:val="center"/>
              <w:rPr>
                <w:rFonts w:hAnsi="宋体"/>
                <w:bCs/>
                <w:sz w:val="24"/>
              </w:rPr>
            </w:pPr>
            <w:r>
              <w:rPr>
                <w:rFonts w:hint="eastAsia" w:hAnsi="宋体"/>
                <w:bCs/>
                <w:sz w:val="24"/>
              </w:rPr>
              <w:t>项目名称</w:t>
            </w:r>
          </w:p>
        </w:tc>
        <w:tc>
          <w:tcPr>
            <w:tcW w:w="6305" w:type="dxa"/>
            <w:gridSpan w:val="2"/>
            <w:vAlign w:val="center"/>
          </w:tcPr>
          <w:p>
            <w:pPr>
              <w:rPr>
                <w:rFonts w:hAnsi="宋体"/>
                <w:bCs/>
                <w:sz w:val="24"/>
              </w:rPr>
            </w:pPr>
            <w:r>
              <w:rPr>
                <w:rFonts w:hint="eastAsia" w:hAnsi="宋体"/>
                <w:bCs/>
                <w:sz w:val="24"/>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jc w:val="center"/>
              <w:rPr>
                <w:rFonts w:hAnsi="宋体"/>
                <w:sz w:val="24"/>
              </w:rPr>
            </w:pPr>
            <w:r>
              <w:rPr>
                <w:rFonts w:hint="eastAsia" w:hAnsi="宋体"/>
                <w:sz w:val="24"/>
              </w:rPr>
              <w:t>1</w:t>
            </w:r>
          </w:p>
        </w:tc>
        <w:tc>
          <w:tcPr>
            <w:tcW w:w="1886" w:type="dxa"/>
            <w:vAlign w:val="center"/>
          </w:tcPr>
          <w:p>
            <w:pPr>
              <w:jc w:val="center"/>
              <w:rPr>
                <w:rFonts w:hAnsi="宋体"/>
                <w:sz w:val="24"/>
              </w:rPr>
            </w:pPr>
            <w:r>
              <w:rPr>
                <w:rFonts w:hint="eastAsia" w:hAnsi="宋体"/>
                <w:sz w:val="24"/>
              </w:rPr>
              <w:t>投标总价</w:t>
            </w:r>
          </w:p>
        </w:tc>
        <w:tc>
          <w:tcPr>
            <w:tcW w:w="6305"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jc w:val="center"/>
              <w:rPr>
                <w:rFonts w:hAnsi="宋体"/>
                <w:sz w:val="24"/>
              </w:rPr>
            </w:pPr>
            <w:r>
              <w:rPr>
                <w:rFonts w:hint="eastAsia" w:hAnsi="宋体"/>
                <w:sz w:val="24"/>
              </w:rPr>
              <w:t>其中</w:t>
            </w:r>
          </w:p>
        </w:tc>
        <w:tc>
          <w:tcPr>
            <w:tcW w:w="1886" w:type="dxa"/>
            <w:vAlign w:val="center"/>
          </w:tcPr>
          <w:p>
            <w:pPr>
              <w:jc w:val="center"/>
              <w:rPr>
                <w:rFonts w:hAnsi="宋体"/>
                <w:sz w:val="24"/>
              </w:rPr>
            </w:pPr>
            <w:r>
              <w:rPr>
                <w:rFonts w:hint="eastAsia" w:hAnsi="宋体"/>
                <w:sz w:val="24"/>
              </w:rPr>
              <w:t>不含税总价</w:t>
            </w:r>
          </w:p>
        </w:tc>
        <w:tc>
          <w:tcPr>
            <w:tcW w:w="6305"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ascii="宋体"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jc w:val="center"/>
              <w:rPr>
                <w:rFonts w:hAnsi="宋体"/>
                <w:sz w:val="24"/>
              </w:rPr>
            </w:pPr>
            <w:r>
              <w:rPr>
                <w:rFonts w:hint="eastAsia" w:hAnsi="宋体"/>
                <w:sz w:val="24"/>
              </w:rPr>
              <w:t>2</w:t>
            </w:r>
          </w:p>
        </w:tc>
        <w:tc>
          <w:tcPr>
            <w:tcW w:w="1886" w:type="dxa"/>
            <w:vAlign w:val="center"/>
          </w:tcPr>
          <w:p>
            <w:pPr>
              <w:jc w:val="center"/>
              <w:rPr>
                <w:rFonts w:hAnsi="宋体"/>
                <w:sz w:val="24"/>
              </w:rPr>
            </w:pPr>
            <w:r>
              <w:rPr>
                <w:rFonts w:hint="eastAsia" w:hAnsi="宋体"/>
                <w:sz w:val="24"/>
              </w:rPr>
              <w:t>投标工期</w:t>
            </w:r>
          </w:p>
        </w:tc>
        <w:tc>
          <w:tcPr>
            <w:tcW w:w="6305"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jc w:val="center"/>
              <w:rPr>
                <w:rFonts w:hAnsi="宋体"/>
                <w:sz w:val="24"/>
              </w:rPr>
            </w:pPr>
            <w:r>
              <w:rPr>
                <w:rFonts w:hint="eastAsia" w:hAnsi="宋体"/>
                <w:sz w:val="24"/>
              </w:rPr>
              <w:t>3</w:t>
            </w:r>
          </w:p>
        </w:tc>
        <w:tc>
          <w:tcPr>
            <w:tcW w:w="1886" w:type="dxa"/>
            <w:vAlign w:val="center"/>
          </w:tcPr>
          <w:p>
            <w:pPr>
              <w:jc w:val="center"/>
              <w:rPr>
                <w:rFonts w:hAnsi="宋体"/>
                <w:sz w:val="24"/>
              </w:rPr>
            </w:pPr>
            <w:r>
              <w:rPr>
                <w:rFonts w:hint="eastAsia" w:hAnsi="宋体"/>
                <w:sz w:val="24"/>
              </w:rPr>
              <w:t>工程质量标准</w:t>
            </w:r>
          </w:p>
        </w:tc>
        <w:tc>
          <w:tcPr>
            <w:tcW w:w="6305"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jc w:val="center"/>
              <w:rPr>
                <w:rFonts w:hAnsi="宋体"/>
                <w:sz w:val="24"/>
              </w:rPr>
            </w:pPr>
            <w:r>
              <w:rPr>
                <w:rFonts w:hint="eastAsia" w:hAnsi="宋体"/>
                <w:sz w:val="24"/>
              </w:rPr>
              <w:t>4</w:t>
            </w:r>
          </w:p>
        </w:tc>
        <w:tc>
          <w:tcPr>
            <w:tcW w:w="1886" w:type="dxa"/>
            <w:vAlign w:val="center"/>
          </w:tcPr>
          <w:p>
            <w:pPr>
              <w:jc w:val="center"/>
              <w:rPr>
                <w:rFonts w:hAnsi="宋体"/>
                <w:sz w:val="24"/>
              </w:rPr>
            </w:pPr>
            <w:r>
              <w:rPr>
                <w:rFonts w:hint="eastAsia" w:hAnsi="宋体"/>
                <w:sz w:val="24"/>
              </w:rPr>
              <w:t>保修期限</w:t>
            </w:r>
          </w:p>
        </w:tc>
        <w:tc>
          <w:tcPr>
            <w:tcW w:w="6305"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737" w:type="dxa"/>
            <w:vMerge w:val="restart"/>
            <w:vAlign w:val="center"/>
          </w:tcPr>
          <w:p>
            <w:pPr>
              <w:jc w:val="center"/>
              <w:rPr>
                <w:rFonts w:hAnsi="宋体"/>
                <w:sz w:val="24"/>
              </w:rPr>
            </w:pPr>
            <w:r>
              <w:rPr>
                <w:rFonts w:hint="eastAsia" w:hAnsi="宋体"/>
                <w:sz w:val="24"/>
              </w:rPr>
              <w:t>5</w:t>
            </w:r>
          </w:p>
        </w:tc>
        <w:tc>
          <w:tcPr>
            <w:tcW w:w="1886" w:type="dxa"/>
            <w:vMerge w:val="restart"/>
            <w:vAlign w:val="center"/>
          </w:tcPr>
          <w:p>
            <w:pPr>
              <w:jc w:val="center"/>
              <w:rPr>
                <w:rFonts w:hAnsi="宋体"/>
                <w:sz w:val="24"/>
              </w:rPr>
            </w:pPr>
            <w:r>
              <w:rPr>
                <w:rFonts w:hint="eastAsia" w:hAnsi="宋体"/>
                <w:sz w:val="24"/>
              </w:rPr>
              <w:t>拟委派的项目负责人</w:t>
            </w:r>
          </w:p>
        </w:tc>
        <w:tc>
          <w:tcPr>
            <w:tcW w:w="1701" w:type="dxa"/>
            <w:vAlign w:val="center"/>
          </w:tcPr>
          <w:p>
            <w:pPr>
              <w:rPr>
                <w:rFonts w:hAnsi="宋体"/>
                <w:sz w:val="24"/>
              </w:rPr>
            </w:pPr>
            <w:r>
              <w:rPr>
                <w:rFonts w:hint="eastAsia" w:hAnsi="宋体"/>
                <w:sz w:val="24"/>
              </w:rPr>
              <w:t>姓名</w:t>
            </w:r>
          </w:p>
        </w:tc>
        <w:tc>
          <w:tcPr>
            <w:tcW w:w="4604"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737" w:type="dxa"/>
            <w:vMerge w:val="continue"/>
            <w:vAlign w:val="center"/>
          </w:tcPr>
          <w:p>
            <w:pPr>
              <w:rPr>
                <w:rFonts w:hAnsi="宋体"/>
                <w:sz w:val="24"/>
              </w:rPr>
            </w:pPr>
          </w:p>
        </w:tc>
        <w:tc>
          <w:tcPr>
            <w:tcW w:w="1886" w:type="dxa"/>
            <w:vMerge w:val="continue"/>
            <w:vAlign w:val="center"/>
          </w:tcPr>
          <w:p>
            <w:pPr>
              <w:rPr>
                <w:rFonts w:hAnsi="宋体"/>
                <w:sz w:val="24"/>
              </w:rPr>
            </w:pPr>
          </w:p>
        </w:tc>
        <w:tc>
          <w:tcPr>
            <w:tcW w:w="1701" w:type="dxa"/>
            <w:vAlign w:val="center"/>
          </w:tcPr>
          <w:p>
            <w:pPr>
              <w:rPr>
                <w:rFonts w:hAnsi="宋体"/>
                <w:sz w:val="24"/>
              </w:rPr>
            </w:pPr>
            <w:r>
              <w:rPr>
                <w:rFonts w:hint="eastAsia" w:hAnsi="宋体"/>
                <w:sz w:val="24"/>
              </w:rPr>
              <w:t>技术职称</w:t>
            </w:r>
          </w:p>
        </w:tc>
        <w:tc>
          <w:tcPr>
            <w:tcW w:w="4604"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737" w:type="dxa"/>
            <w:vMerge w:val="continue"/>
            <w:vAlign w:val="center"/>
          </w:tcPr>
          <w:p>
            <w:pPr>
              <w:rPr>
                <w:rFonts w:hAnsi="宋体"/>
                <w:sz w:val="24"/>
              </w:rPr>
            </w:pPr>
          </w:p>
        </w:tc>
        <w:tc>
          <w:tcPr>
            <w:tcW w:w="1886" w:type="dxa"/>
            <w:vMerge w:val="continue"/>
            <w:vAlign w:val="center"/>
          </w:tcPr>
          <w:p>
            <w:pPr>
              <w:rPr>
                <w:rFonts w:hAnsi="宋体"/>
                <w:sz w:val="24"/>
              </w:rPr>
            </w:pPr>
          </w:p>
        </w:tc>
        <w:tc>
          <w:tcPr>
            <w:tcW w:w="1701" w:type="dxa"/>
            <w:vAlign w:val="center"/>
          </w:tcPr>
          <w:p>
            <w:pPr>
              <w:rPr>
                <w:rFonts w:hAnsi="宋体"/>
                <w:sz w:val="24"/>
              </w:rPr>
            </w:pPr>
            <w:r>
              <w:rPr>
                <w:rFonts w:hint="eastAsia" w:hAnsi="宋体"/>
                <w:sz w:val="24"/>
              </w:rPr>
              <w:t>联系电话</w:t>
            </w:r>
          </w:p>
        </w:tc>
        <w:tc>
          <w:tcPr>
            <w:tcW w:w="4604" w:type="dxa"/>
            <w:vAlign w:val="center"/>
          </w:tcPr>
          <w:p>
            <w:pPr>
              <w:rPr>
                <w:rFonts w:hAnsi="宋体"/>
                <w:sz w:val="24"/>
              </w:rPr>
            </w:pPr>
          </w:p>
        </w:tc>
      </w:tr>
    </w:tbl>
    <w:p>
      <w:pPr>
        <w:rPr>
          <w:rFonts w:hAnsi="宋体"/>
        </w:rPr>
      </w:pPr>
    </w:p>
    <w:p>
      <w:pPr>
        <w:spacing w:line="360" w:lineRule="auto"/>
        <w:rPr>
          <w:rFonts w:hAnsi="宋体"/>
        </w:rPr>
      </w:pPr>
      <w:r>
        <w:rPr>
          <w:rFonts w:hint="eastAsia" w:hAnsi="宋体"/>
        </w:rPr>
        <w:t>注：（1）投标总价为人民币报价。</w:t>
      </w:r>
    </w:p>
    <w:p>
      <w:pPr>
        <w:tabs>
          <w:tab w:val="left" w:pos="8364"/>
        </w:tabs>
        <w:spacing w:line="360" w:lineRule="auto"/>
        <w:rPr>
          <w:rFonts w:hAnsi="宋体"/>
        </w:rPr>
      </w:pPr>
      <w:r>
        <w:rPr>
          <w:rFonts w:hint="eastAsia" w:hAnsi="宋体"/>
        </w:rPr>
        <w:t>（2）投标总价是所有需采购人支付的本次项目采购的金额总数，应包括竞选文件要求的全部内容，投标人完成本项目（如果中标）所必须的</w:t>
      </w:r>
      <w:r>
        <w:rPr>
          <w:rFonts w:hint="eastAsia" w:hAnsi="宋体"/>
          <w:bCs/>
        </w:rPr>
        <w:t>所有成本费用和投标人应承担的一切税费</w:t>
      </w:r>
      <w:r>
        <w:rPr>
          <w:rFonts w:hint="eastAsia" w:hAnsi="宋体"/>
        </w:rPr>
        <w:t>，包括但不限于全部人工费、材料、设备、工具、机具、安装运输、规费、措施费、合理利润、管理费、税费等及清理现场的费用、合同实施过程中应预见和不可预见的费用等等。</w:t>
      </w:r>
    </w:p>
    <w:p>
      <w:pPr>
        <w:tabs>
          <w:tab w:val="left" w:pos="8364"/>
        </w:tabs>
        <w:spacing w:line="360" w:lineRule="auto"/>
        <w:rPr>
          <w:rFonts w:hAnsi="宋体"/>
        </w:rPr>
      </w:pPr>
      <w:r>
        <w:rPr>
          <w:rFonts w:hint="eastAsia" w:hAnsi="宋体"/>
        </w:rPr>
        <w:t>（3）若用小写表示的金额和用大写表示的金额不一致，以大写表示的金额为准。</w:t>
      </w:r>
    </w:p>
    <w:p>
      <w:pPr>
        <w:tabs>
          <w:tab w:val="left" w:pos="8364"/>
        </w:tabs>
        <w:spacing w:line="360" w:lineRule="auto"/>
        <w:rPr>
          <w:rFonts w:hAnsi="宋体"/>
        </w:rPr>
      </w:pPr>
    </w:p>
    <w:p>
      <w:pPr>
        <w:tabs>
          <w:tab w:val="left" w:pos="8364"/>
        </w:tabs>
        <w:spacing w:line="360" w:lineRule="auto"/>
        <w:rPr>
          <w:rFonts w:hAnsi="宋体"/>
          <w:bCs/>
        </w:rPr>
      </w:pPr>
    </w:p>
    <w:p>
      <w:pPr>
        <w:spacing w:line="400" w:lineRule="exact"/>
        <w:rPr>
          <w:rFonts w:hAnsi="宋体"/>
          <w:szCs w:val="21"/>
        </w:rPr>
      </w:pPr>
      <w:r>
        <w:rPr>
          <w:rFonts w:hint="eastAsia" w:hAnsi="宋体"/>
          <w:szCs w:val="21"/>
        </w:rPr>
        <w:t>投标人名称（盖章）：</w:t>
      </w:r>
    </w:p>
    <w:p>
      <w:pPr>
        <w:rPr>
          <w:rFonts w:hAnsi="宋体"/>
          <w:szCs w:val="21"/>
        </w:rPr>
      </w:pPr>
    </w:p>
    <w:p>
      <w:pPr>
        <w:rPr>
          <w:rFonts w:ascii="仿宋" w:hAnsi="仿宋" w:eastAsia="仿宋" w:cs="仿宋"/>
          <w:szCs w:val="21"/>
        </w:rPr>
      </w:pPr>
      <w:r>
        <w:rPr>
          <w:rFonts w:hint="eastAsia" w:hAnsi="宋体"/>
          <w:szCs w:val="21"/>
        </w:rPr>
        <w:t>日期：年月日</w:t>
      </w:r>
      <w:r>
        <w:rPr>
          <w:rFonts w:ascii="仿宋" w:hAnsi="仿宋" w:eastAsia="仿宋" w:cs="仿宋"/>
          <w:szCs w:val="21"/>
        </w:rPr>
        <w:br w:type="page"/>
      </w:r>
    </w:p>
    <w:p>
      <w:pPr>
        <w:spacing w:line="400" w:lineRule="exact"/>
        <w:ind w:left="562"/>
        <w:rPr>
          <w:rFonts w:ascii="宋体" w:hAnsi="宋体" w:cs="Arial"/>
          <w:b/>
          <w:color w:val="000000"/>
          <w:sz w:val="28"/>
          <w:szCs w:val="28"/>
        </w:rPr>
      </w:pPr>
      <w:r>
        <w:rPr>
          <w:rFonts w:hint="eastAsia" w:ascii="宋体" w:hAnsi="宋体" w:cs="Arial"/>
          <w:b/>
          <w:color w:val="000000"/>
          <w:sz w:val="28"/>
          <w:szCs w:val="28"/>
        </w:rPr>
        <w:t>附件2</w:t>
      </w:r>
    </w:p>
    <w:tbl>
      <w:tblPr>
        <w:tblStyle w:val="9"/>
        <w:tblW w:w="9760" w:type="dxa"/>
        <w:tblInd w:w="95" w:type="dxa"/>
        <w:tblLayout w:type="fixed"/>
        <w:tblCellMar>
          <w:top w:w="0" w:type="dxa"/>
          <w:left w:w="108" w:type="dxa"/>
          <w:bottom w:w="0" w:type="dxa"/>
          <w:right w:w="108" w:type="dxa"/>
        </w:tblCellMar>
      </w:tblPr>
      <w:tblGrid>
        <w:gridCol w:w="1289"/>
        <w:gridCol w:w="91"/>
        <w:gridCol w:w="193"/>
        <w:gridCol w:w="342"/>
        <w:gridCol w:w="1585"/>
        <w:gridCol w:w="1060"/>
        <w:gridCol w:w="740"/>
        <w:gridCol w:w="1180"/>
        <w:gridCol w:w="440"/>
        <w:gridCol w:w="236"/>
        <w:gridCol w:w="723"/>
        <w:gridCol w:w="1881"/>
      </w:tblGrid>
      <w:tr>
        <w:tblPrEx>
          <w:tblLayout w:type="fixed"/>
          <w:tblCellMar>
            <w:top w:w="0" w:type="dxa"/>
            <w:left w:w="108" w:type="dxa"/>
            <w:bottom w:w="0" w:type="dxa"/>
            <w:right w:w="108" w:type="dxa"/>
          </w:tblCellMar>
        </w:tblPrEx>
        <w:trPr>
          <w:trHeight w:val="444" w:hRule="atLeast"/>
        </w:trPr>
        <w:tc>
          <w:tcPr>
            <w:tcW w:w="9760" w:type="dxa"/>
            <w:gridSpan w:val="12"/>
            <w:tcBorders>
              <w:top w:val="nil"/>
              <w:left w:val="nil"/>
              <w:bottom w:val="nil"/>
              <w:right w:val="nil"/>
            </w:tcBorders>
            <w:shd w:val="clear" w:color="auto" w:fill="auto"/>
            <w:vAlign w:val="center"/>
          </w:tcPr>
          <w:p>
            <w:pPr>
              <w:widowControl/>
              <w:ind w:firstLine="3445" w:firstLineChars="783"/>
              <w:rPr>
                <w:rFonts w:ascii="黑体" w:hAnsi="黑体" w:eastAsia="黑体" w:cs="宋体"/>
                <w:kern w:val="0"/>
                <w:sz w:val="44"/>
                <w:szCs w:val="44"/>
              </w:rPr>
            </w:pPr>
            <w:r>
              <w:rPr>
                <w:rFonts w:hint="eastAsia" w:ascii="黑体" w:hAnsi="黑体" w:eastAsia="黑体" w:cs="宋体"/>
                <w:kern w:val="0"/>
                <w:sz w:val="44"/>
                <w:szCs w:val="44"/>
              </w:rPr>
              <w:t>供应商调查表</w:t>
            </w:r>
          </w:p>
        </w:tc>
      </w:tr>
      <w:tr>
        <w:tblPrEx>
          <w:tblLayout w:type="fixed"/>
          <w:tblCellMar>
            <w:top w:w="0" w:type="dxa"/>
            <w:left w:w="108" w:type="dxa"/>
            <w:bottom w:w="0" w:type="dxa"/>
            <w:right w:w="108" w:type="dxa"/>
          </w:tblCellMar>
        </w:tblPrEx>
        <w:trPr>
          <w:trHeight w:val="399" w:hRule="atLeast"/>
        </w:trPr>
        <w:tc>
          <w:tcPr>
            <w:tcW w:w="9760" w:type="dxa"/>
            <w:gridSpan w:val="12"/>
            <w:tcBorders>
              <w:top w:val="nil"/>
              <w:left w:val="nil"/>
              <w:bottom w:val="single" w:color="auto" w:sz="8" w:space="0"/>
              <w:right w:val="nil"/>
            </w:tcBorders>
            <w:shd w:val="clear" w:color="auto" w:fill="auto"/>
            <w:vAlign w:val="center"/>
          </w:tcPr>
          <w:p>
            <w:pPr>
              <w:widowControl/>
              <w:ind w:firstLine="200"/>
              <w:rPr>
                <w:rFonts w:ascii="宋体" w:hAnsi="宋体" w:cs="宋体"/>
                <w:kern w:val="0"/>
                <w:sz w:val="28"/>
                <w:szCs w:val="28"/>
              </w:rPr>
            </w:pPr>
            <w:r>
              <w:rPr>
                <w:rFonts w:hint="eastAsia" w:ascii="宋体" w:hAnsi="宋体" w:cs="宋体"/>
                <w:kern w:val="0"/>
                <w:sz w:val="28"/>
                <w:szCs w:val="28"/>
              </w:rPr>
              <w:t>项目名称：广州大学城区域供冷中山大学化学与材料楼接口预留工程</w:t>
            </w:r>
          </w:p>
        </w:tc>
      </w:tr>
      <w:tr>
        <w:tblPrEx>
          <w:tblLayout w:type="fixed"/>
          <w:tblCellMar>
            <w:top w:w="0" w:type="dxa"/>
            <w:left w:w="108" w:type="dxa"/>
            <w:bottom w:w="0" w:type="dxa"/>
            <w:right w:w="108" w:type="dxa"/>
          </w:tblCellMar>
        </w:tblPrEx>
        <w:trPr>
          <w:trHeight w:val="399" w:hRule="atLeast"/>
        </w:trPr>
        <w:tc>
          <w:tcPr>
            <w:tcW w:w="1573"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xml:space="preserve">供应商名称 </w:t>
            </w:r>
          </w:p>
        </w:tc>
        <w:tc>
          <w:tcPr>
            <w:tcW w:w="4907"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法人代表</w:t>
            </w:r>
          </w:p>
        </w:tc>
        <w:tc>
          <w:tcPr>
            <w:tcW w:w="18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573"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详细地址</w:t>
            </w:r>
          </w:p>
        </w:tc>
        <w:tc>
          <w:tcPr>
            <w:tcW w:w="4907"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邮    编</w:t>
            </w:r>
          </w:p>
        </w:tc>
        <w:tc>
          <w:tcPr>
            <w:tcW w:w="18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876" w:hRule="atLeast"/>
        </w:trPr>
        <w:tc>
          <w:tcPr>
            <w:tcW w:w="1573"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成立日期</w:t>
            </w:r>
          </w:p>
        </w:tc>
        <w:tc>
          <w:tcPr>
            <w:tcW w:w="192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营业执照号码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发证机构</w:t>
            </w:r>
          </w:p>
        </w:tc>
        <w:tc>
          <w:tcPr>
            <w:tcW w:w="18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573"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固定电话号码</w:t>
            </w:r>
          </w:p>
        </w:tc>
        <w:tc>
          <w:tcPr>
            <w:tcW w:w="192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传真号码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注册资金</w:t>
            </w:r>
          </w:p>
        </w:tc>
        <w:tc>
          <w:tcPr>
            <w:tcW w:w="18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915"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公司类型</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机构性质</w:t>
            </w:r>
          </w:p>
        </w:tc>
        <w:tc>
          <w:tcPr>
            <w:tcW w:w="2840"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915"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项目联系人</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联系电话</w:t>
            </w:r>
          </w:p>
        </w:tc>
        <w:tc>
          <w:tcPr>
            <w:tcW w:w="2840"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915"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经营范围</w:t>
            </w:r>
          </w:p>
        </w:tc>
        <w:tc>
          <w:tcPr>
            <w:tcW w:w="7845" w:type="dxa"/>
            <w:gridSpan w:val="8"/>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28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资质证书（认证项目）名称</w:t>
            </w:r>
          </w:p>
        </w:tc>
        <w:tc>
          <w:tcPr>
            <w:tcW w:w="3280"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发证机关</w:t>
            </w:r>
          </w:p>
        </w:tc>
      </w:tr>
      <w:tr>
        <w:tblPrEx>
          <w:tblLayout w:type="fixed"/>
          <w:tblCellMar>
            <w:top w:w="0" w:type="dxa"/>
            <w:left w:w="108" w:type="dxa"/>
            <w:bottom w:w="0" w:type="dxa"/>
            <w:right w:w="108" w:type="dxa"/>
          </w:tblCellMar>
        </w:tblPrEx>
        <w:trPr>
          <w:trHeight w:val="397" w:hRule="atLeast"/>
        </w:trPr>
        <w:tc>
          <w:tcPr>
            <w:tcW w:w="128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280"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28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280"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28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280"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28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280"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915"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主要服务行业</w:t>
            </w:r>
          </w:p>
        </w:tc>
        <w:tc>
          <w:tcPr>
            <w:tcW w:w="264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主要客户</w:t>
            </w:r>
          </w:p>
        </w:tc>
        <w:tc>
          <w:tcPr>
            <w:tcW w:w="3280"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760" w:type="dxa"/>
            <w:gridSpan w:val="1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近三年类似业绩</w:t>
            </w:r>
          </w:p>
        </w:tc>
      </w:tr>
      <w:tr>
        <w:tblPrEx>
          <w:tblLayout w:type="fixed"/>
          <w:tblCellMar>
            <w:top w:w="0" w:type="dxa"/>
            <w:left w:w="108" w:type="dxa"/>
            <w:bottom w:w="0" w:type="dxa"/>
            <w:right w:w="108" w:type="dxa"/>
          </w:tblCellMar>
        </w:tblPrEx>
        <w:trPr>
          <w:trHeight w:val="397" w:hRule="atLeast"/>
        </w:trPr>
        <w:tc>
          <w:tcPr>
            <w:tcW w:w="128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服务单位</w:t>
            </w:r>
          </w:p>
        </w:tc>
        <w:tc>
          <w:tcPr>
            <w:tcW w:w="5200"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项目内容</w:t>
            </w:r>
          </w:p>
        </w:tc>
      </w:tr>
      <w:tr>
        <w:tblPrEx>
          <w:tblLayout w:type="fixed"/>
          <w:tblCellMar>
            <w:top w:w="0" w:type="dxa"/>
            <w:left w:w="108" w:type="dxa"/>
            <w:bottom w:w="0" w:type="dxa"/>
            <w:right w:w="108" w:type="dxa"/>
          </w:tblCellMar>
        </w:tblPrEx>
        <w:trPr>
          <w:trHeight w:val="397" w:hRule="atLeast"/>
        </w:trPr>
        <w:tc>
          <w:tcPr>
            <w:tcW w:w="128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200"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28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200"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28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200" w:type="dxa"/>
            <w:gridSpan w:val="6"/>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rPr>
            </w:pPr>
          </w:p>
        </w:tc>
      </w:tr>
      <w:tr>
        <w:tblPrEx>
          <w:tblLayout w:type="fixed"/>
          <w:tblCellMar>
            <w:top w:w="0" w:type="dxa"/>
            <w:left w:w="108" w:type="dxa"/>
            <w:bottom w:w="0" w:type="dxa"/>
            <w:right w:w="108" w:type="dxa"/>
          </w:tblCellMar>
        </w:tblPrEx>
        <w:trPr>
          <w:trHeight w:val="399" w:hRule="atLeast"/>
        </w:trPr>
        <w:tc>
          <w:tcPr>
            <w:tcW w:w="1380"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535"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5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06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7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18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4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236"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723"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881"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r>
      <w:tr>
        <w:tblPrEx>
          <w:tblLayout w:type="fixed"/>
          <w:tblCellMar>
            <w:top w:w="0" w:type="dxa"/>
            <w:left w:w="108" w:type="dxa"/>
            <w:bottom w:w="0" w:type="dxa"/>
            <w:right w:w="108" w:type="dxa"/>
          </w:tblCellMar>
        </w:tblPrEx>
        <w:trPr>
          <w:trHeight w:val="399" w:hRule="atLeast"/>
        </w:trPr>
        <w:tc>
          <w:tcPr>
            <w:tcW w:w="9760" w:type="dxa"/>
            <w:gridSpan w:val="12"/>
            <w:tcBorders>
              <w:top w:val="nil"/>
              <w:left w:val="nil"/>
              <w:bottom w:val="nil"/>
              <w:right w:val="nil"/>
            </w:tcBorders>
            <w:shd w:val="clear" w:color="auto" w:fill="auto"/>
            <w:vAlign w:val="center"/>
          </w:tcPr>
          <w:p>
            <w:pPr>
              <w:spacing w:line="400" w:lineRule="exact"/>
              <w:ind w:firstLine="200"/>
              <w:rPr>
                <w:sz w:val="28"/>
                <w:szCs w:val="28"/>
              </w:rPr>
            </w:pPr>
          </w:p>
          <w:p>
            <w:pPr>
              <w:spacing w:line="400" w:lineRule="exact"/>
              <w:rPr>
                <w:sz w:val="28"/>
                <w:szCs w:val="28"/>
              </w:rPr>
            </w:pPr>
            <w:r>
              <w:rPr>
                <w:rFonts w:hint="eastAsia"/>
                <w:sz w:val="28"/>
                <w:szCs w:val="28"/>
              </w:rPr>
              <w:t>报名单位（盖章）：</w:t>
            </w:r>
          </w:p>
        </w:tc>
      </w:tr>
    </w:tbl>
    <w:p>
      <w:pPr>
        <w:spacing w:line="400" w:lineRule="exact"/>
        <w:ind w:left="560" w:hanging="560" w:hangingChars="200"/>
        <w:rPr>
          <w:sz w:val="28"/>
          <w:szCs w:val="28"/>
        </w:rPr>
      </w:pPr>
    </w:p>
    <w:p>
      <w:pPr>
        <w:spacing w:line="400" w:lineRule="exact"/>
        <w:ind w:left="560" w:hanging="560" w:hangingChars="200"/>
        <w:rPr>
          <w:sz w:val="28"/>
          <w:szCs w:val="28"/>
        </w:rPr>
      </w:pPr>
      <w:r>
        <w:rPr>
          <w:rFonts w:hint="eastAsia"/>
          <w:sz w:val="28"/>
          <w:szCs w:val="28"/>
        </w:rPr>
        <w:t>日期：20年月日</w:t>
      </w:r>
    </w:p>
    <w:p>
      <w:pPr>
        <w:spacing w:line="400" w:lineRule="exact"/>
        <w:ind w:left="560" w:hanging="560" w:hangingChars="200"/>
        <w:rPr>
          <w:rFonts w:ascii="宋体" w:hAnsi="宋体"/>
          <w:b/>
          <w:bCs/>
          <w:sz w:val="28"/>
          <w:szCs w:val="28"/>
        </w:rPr>
      </w:pPr>
      <w:r>
        <w:rPr>
          <w:sz w:val="28"/>
          <w:szCs w:val="28"/>
        </w:rPr>
        <w:br w:type="page"/>
      </w:r>
      <w:r>
        <w:rPr>
          <w:rFonts w:hint="eastAsia" w:ascii="宋体" w:hAnsi="宋体"/>
          <w:b/>
          <w:bCs/>
          <w:sz w:val="28"/>
          <w:szCs w:val="28"/>
        </w:rPr>
        <w:t>附件3</w:t>
      </w:r>
    </w:p>
    <w:p>
      <w:pPr>
        <w:spacing w:line="500" w:lineRule="exact"/>
        <w:jc w:val="center"/>
        <w:rPr>
          <w:rFonts w:eastAsia="黑体"/>
          <w:b/>
          <w:bCs/>
          <w:sz w:val="36"/>
        </w:rPr>
      </w:pPr>
      <w:r>
        <w:rPr>
          <w:rFonts w:hint="eastAsia" w:eastAsia="黑体"/>
          <w:b/>
          <w:bCs/>
          <w:sz w:val="36"/>
        </w:rPr>
        <w:t>法定代表人身份证明书</w:t>
      </w:r>
    </w:p>
    <w:p>
      <w:pPr>
        <w:spacing w:line="500" w:lineRule="exact"/>
        <w:jc w:val="center"/>
        <w:rPr>
          <w:b/>
          <w:bCs/>
          <w:szCs w:val="21"/>
        </w:rPr>
      </w:pPr>
    </w:p>
    <w:p>
      <w:pPr>
        <w:spacing w:line="500" w:lineRule="exact"/>
        <w:ind w:firstLine="1260" w:firstLineChars="450"/>
        <w:rPr>
          <w:rFonts w:ascii="宋体" w:hAnsi="宋体" w:cs="宋体"/>
          <w:sz w:val="28"/>
        </w:rPr>
      </w:pPr>
      <w:r>
        <w:rPr>
          <w:rFonts w:hint="eastAsia" w:ascii="宋体" w:hAnsi="宋体" w:cs="宋体"/>
          <w:sz w:val="28"/>
        </w:rPr>
        <w:t>在我单位任职务，是我单位法定代表人，身份证号为，特此证明。</w:t>
      </w:r>
    </w:p>
    <w:p>
      <w:pPr>
        <w:spacing w:line="500" w:lineRule="exact"/>
        <w:ind w:firstLine="627" w:firstLineChars="224"/>
        <w:rPr>
          <w:rFonts w:ascii="宋体" w:hAnsi="宋体" w:cs="宋体"/>
          <w:sz w:val="28"/>
        </w:rPr>
      </w:pPr>
    </w:p>
    <w:p>
      <w:pPr>
        <w:spacing w:line="500" w:lineRule="exact"/>
        <w:jc w:val="left"/>
        <w:rPr>
          <w:rFonts w:ascii="宋体" w:hAnsi="宋体" w:cs="宋体"/>
          <w:sz w:val="28"/>
        </w:rPr>
      </w:pPr>
      <w:r>
        <w:rPr>
          <w:rFonts w:hint="eastAsia" w:ascii="宋体" w:hAnsi="宋体" w:cs="宋体"/>
          <w:sz w:val="28"/>
        </w:rPr>
        <w:t>（单位盖章）</w:t>
      </w:r>
    </w:p>
    <w:p>
      <w:pPr>
        <w:spacing w:line="500" w:lineRule="exact"/>
        <w:ind w:firstLine="627" w:firstLineChars="224"/>
        <w:rPr>
          <w:rFonts w:hAnsi="宋体" w:cs="宋体"/>
          <w:sz w:val="28"/>
          <w:szCs w:val="28"/>
        </w:rPr>
      </w:pPr>
    </w:p>
    <w:p>
      <w:pPr>
        <w:spacing w:line="500" w:lineRule="exact"/>
        <w:rPr>
          <w:rFonts w:ascii="宋体" w:hAnsi="宋体" w:cs="宋体"/>
          <w:sz w:val="28"/>
        </w:rPr>
      </w:pPr>
      <w:r>
        <w:rPr>
          <w:rFonts w:hint="eastAsia" w:hAnsi="宋体" w:cs="宋体"/>
          <w:sz w:val="28"/>
          <w:szCs w:val="28"/>
        </w:rPr>
        <w:t>日期：20年月日</w:t>
      </w:r>
    </w:p>
    <w:p>
      <w:pPr>
        <w:spacing w:line="500" w:lineRule="exact"/>
        <w:rPr>
          <w:rFonts w:ascii="宋体" w:hAnsi="宋体" w:cs="宋体"/>
          <w:sz w:val="28"/>
        </w:rPr>
      </w:pPr>
      <w:r>
        <w:rPr>
          <w:rFonts w:hint="eastAsia" w:ascii="宋体" w:hAnsi="宋体" w:cs="宋体"/>
          <w:sz w:val="28"/>
        </w:rPr>
        <w:t xml:space="preserve">单位通信地址：                                </w:t>
      </w:r>
    </w:p>
    <w:p>
      <w:pPr>
        <w:spacing w:line="500" w:lineRule="exact"/>
        <w:rPr>
          <w:rFonts w:ascii="宋体" w:hAnsi="宋体" w:cs="宋体"/>
          <w:sz w:val="28"/>
        </w:rPr>
      </w:pPr>
    </w:p>
    <w:p>
      <w:pPr>
        <w:spacing w:line="500" w:lineRule="exact"/>
        <w:rPr>
          <w:rFonts w:ascii="宋体" w:hAnsi="宋体" w:cs="宋体"/>
          <w:sz w:val="28"/>
        </w:rPr>
      </w:pPr>
      <w:r>
        <w:rPr>
          <w:rFonts w:hint="eastAsia" w:ascii="宋体" w:hAnsi="宋体" w:cs="宋体"/>
          <w:sz w:val="28"/>
        </w:rPr>
        <w:t xml:space="preserve">邮政编码：                 单位联系电话：   </w:t>
      </w:r>
    </w:p>
    <w:p/>
    <w:p>
      <w:pPr>
        <w:spacing w:line="360" w:lineRule="auto"/>
        <w:rPr>
          <w:rFonts w:ascii="宋体" w:hAnsi="宋体" w:cs="Arial"/>
          <w:color w:val="000000"/>
          <w:sz w:val="28"/>
          <w:szCs w:val="28"/>
        </w:rPr>
      </w:pPr>
      <w:r>
        <w:rPr>
          <w:rFonts w:hint="eastAsia" w:ascii="宋体" w:hAnsi="宋体" w:cs="Arial"/>
          <w:color w:val="000000"/>
          <w:sz w:val="28"/>
          <w:szCs w:val="28"/>
        </w:rPr>
        <w:t>附：法人代表身份证正反面或其他身份证明材料复印件</w:t>
      </w:r>
    </w:p>
    <w:p>
      <w:pPr>
        <w:spacing w:line="360" w:lineRule="auto"/>
        <w:rPr>
          <w:rFonts w:ascii="宋体" w:hAnsi="宋体" w:cs="Arial"/>
          <w:color w:val="000000"/>
          <w:sz w:val="28"/>
          <w:szCs w:val="28"/>
        </w:rPr>
      </w:pPr>
    </w:p>
    <w:p>
      <w:pPr>
        <w:spacing w:line="360" w:lineRule="auto"/>
        <w:rPr>
          <w:rFonts w:ascii="宋体" w:hAnsi="宋体" w:cs="Arial"/>
          <w:b/>
          <w:color w:val="000000"/>
          <w:sz w:val="28"/>
          <w:szCs w:val="28"/>
        </w:rPr>
      </w:pPr>
      <w:r>
        <w:rPr>
          <w:rFonts w:hint="eastAsia" w:ascii="宋体" w:hAnsi="宋体" w:cs="Arial"/>
          <w:color w:val="000000"/>
          <w:sz w:val="28"/>
          <w:szCs w:val="28"/>
        </w:rPr>
        <w:br w:type="page"/>
      </w:r>
      <w:r>
        <w:rPr>
          <w:rFonts w:hint="eastAsia" w:ascii="宋体" w:hAnsi="宋体" w:cs="黑体"/>
          <w:b/>
          <w:color w:val="000000"/>
          <w:sz w:val="28"/>
          <w:szCs w:val="28"/>
        </w:rPr>
        <w:t>附件4</w:t>
      </w:r>
    </w:p>
    <w:p>
      <w:pPr>
        <w:spacing w:line="500" w:lineRule="exact"/>
        <w:ind w:firstLine="723"/>
        <w:jc w:val="center"/>
        <w:rPr>
          <w:rFonts w:eastAsia="黑体"/>
          <w:b/>
          <w:bCs/>
          <w:sz w:val="36"/>
        </w:rPr>
      </w:pPr>
      <w:r>
        <w:rPr>
          <w:rFonts w:hint="eastAsia" w:eastAsia="黑体"/>
          <w:b/>
          <w:bCs/>
          <w:sz w:val="36"/>
        </w:rPr>
        <w:t>法定代表人授权委托证明书</w:t>
      </w:r>
    </w:p>
    <w:p>
      <w:pPr>
        <w:pStyle w:val="15"/>
        <w:spacing w:line="360" w:lineRule="auto"/>
        <w:ind w:firstLine="424" w:firstLineChars="177"/>
        <w:rPr>
          <w:rFonts w:hAnsi="宋体"/>
          <w:bCs/>
          <w:sz w:val="24"/>
          <w:szCs w:val="24"/>
        </w:rPr>
      </w:pPr>
    </w:p>
    <w:p>
      <w:pPr>
        <w:pStyle w:val="15"/>
        <w:spacing w:line="360" w:lineRule="auto"/>
        <w:ind w:firstLine="480" w:firstLineChars="200"/>
        <w:rPr>
          <w:rFonts w:hAnsi="宋体"/>
          <w:sz w:val="24"/>
          <w:szCs w:val="24"/>
        </w:rPr>
      </w:pPr>
      <w:r>
        <w:rPr>
          <w:rFonts w:hint="eastAsia" w:hAnsi="宋体"/>
          <w:bCs/>
          <w:sz w:val="24"/>
          <w:szCs w:val="24"/>
        </w:rPr>
        <w:t>兹授权（委托代理人姓名）为我方委托代理人，其权限是：</w:t>
      </w:r>
      <w:r>
        <w:rPr>
          <w:rFonts w:hint="eastAsia" w:hAnsi="宋体"/>
          <w:sz w:val="24"/>
          <w:szCs w:val="24"/>
        </w:rPr>
        <w:t>办理                       （采购单位名称）组织的“                （项目名称）”的投标和合同执行，以我方的名义处理一切与之有关的事宜。</w:t>
      </w:r>
    </w:p>
    <w:p>
      <w:pPr>
        <w:pStyle w:val="15"/>
        <w:spacing w:line="360" w:lineRule="auto"/>
        <w:ind w:firstLine="480" w:firstLineChars="200"/>
        <w:rPr>
          <w:rFonts w:hAnsi="宋体"/>
          <w:bCs/>
          <w:sz w:val="24"/>
          <w:szCs w:val="24"/>
        </w:rPr>
      </w:pPr>
      <w:r>
        <w:rPr>
          <w:rFonts w:hint="eastAsia" w:hAnsi="宋体"/>
          <w:sz w:val="24"/>
          <w:szCs w:val="24"/>
          <w:lang w:val="en-GB"/>
        </w:rPr>
        <w:t>本</w:t>
      </w:r>
      <w:r>
        <w:rPr>
          <w:rFonts w:hint="eastAsia" w:hAnsi="宋体"/>
          <w:sz w:val="24"/>
          <w:szCs w:val="24"/>
        </w:rPr>
        <w:t>授权书</w:t>
      </w:r>
      <w:r>
        <w:rPr>
          <w:rFonts w:hint="eastAsia" w:hAnsi="宋体"/>
          <w:sz w:val="24"/>
          <w:szCs w:val="24"/>
          <w:lang w:val="en-GB"/>
        </w:rPr>
        <w:t>自</w:t>
      </w:r>
      <w:r>
        <w:rPr>
          <w:rFonts w:hint="eastAsia" w:hAnsi="宋体"/>
          <w:sz w:val="24"/>
          <w:szCs w:val="24"/>
        </w:rPr>
        <w:t>年月日</w:t>
      </w:r>
      <w:r>
        <w:rPr>
          <w:rFonts w:hint="eastAsia" w:hAnsi="宋体"/>
          <w:sz w:val="24"/>
          <w:szCs w:val="24"/>
          <w:lang w:val="en-GB"/>
        </w:rPr>
        <w:t>签章之日起生效，特此声明。</w:t>
      </w:r>
    </w:p>
    <w:p>
      <w:pPr>
        <w:pStyle w:val="15"/>
        <w:spacing w:line="360" w:lineRule="auto"/>
        <w:ind w:firstLine="480" w:firstLineChars="200"/>
        <w:rPr>
          <w:rFonts w:hAnsi="宋体"/>
          <w:sz w:val="24"/>
          <w:szCs w:val="24"/>
          <w:u w:val="single"/>
        </w:rPr>
      </w:pPr>
      <w:r>
        <w:rPr>
          <w:rFonts w:hint="eastAsia" w:hAnsi="宋体"/>
          <w:sz w:val="24"/>
          <w:szCs w:val="24"/>
        </w:rPr>
        <w:t>附：代理人性别：   年龄：   职务：</w:t>
      </w:r>
    </w:p>
    <w:p>
      <w:pPr>
        <w:pStyle w:val="15"/>
        <w:spacing w:line="360" w:lineRule="auto"/>
        <w:ind w:firstLine="480" w:firstLineChars="200"/>
        <w:rPr>
          <w:rFonts w:hAnsi="宋体"/>
          <w:sz w:val="24"/>
          <w:szCs w:val="24"/>
          <w:u w:val="single"/>
        </w:rPr>
      </w:pPr>
      <w:r>
        <w:rPr>
          <w:rFonts w:hint="eastAsia" w:hAnsi="宋体"/>
          <w:sz w:val="24"/>
          <w:szCs w:val="24"/>
        </w:rPr>
        <w:t>　　身份证号码：</w:t>
      </w:r>
    </w:p>
    <w:p>
      <w:pPr>
        <w:pStyle w:val="15"/>
        <w:spacing w:line="360" w:lineRule="auto"/>
        <w:ind w:firstLine="480" w:firstLineChars="200"/>
        <w:rPr>
          <w:rFonts w:hAnsi="宋体"/>
          <w:sz w:val="24"/>
          <w:szCs w:val="24"/>
          <w:u w:val="single"/>
        </w:rPr>
      </w:pPr>
      <w:r>
        <w:rPr>
          <w:rFonts w:hint="eastAsia" w:hAnsi="宋体"/>
          <w:sz w:val="24"/>
          <w:szCs w:val="24"/>
        </w:rPr>
        <w:t>　　（营业执照等）注册号码：</w:t>
      </w:r>
    </w:p>
    <w:p>
      <w:pPr>
        <w:pStyle w:val="15"/>
        <w:spacing w:line="360" w:lineRule="auto"/>
        <w:ind w:firstLine="480" w:firstLineChars="200"/>
        <w:rPr>
          <w:rFonts w:hAnsi="宋体"/>
          <w:sz w:val="24"/>
          <w:szCs w:val="24"/>
          <w:u w:val="single"/>
        </w:rPr>
      </w:pPr>
      <w:r>
        <w:rPr>
          <w:rFonts w:hint="eastAsia" w:hAnsi="宋体"/>
          <w:sz w:val="24"/>
          <w:szCs w:val="24"/>
        </w:rPr>
        <w:t>　　企业类型：</w:t>
      </w:r>
    </w:p>
    <w:p>
      <w:pPr>
        <w:pStyle w:val="15"/>
        <w:spacing w:line="360" w:lineRule="auto"/>
        <w:ind w:firstLine="480" w:firstLineChars="200"/>
        <w:rPr>
          <w:rFonts w:hAnsi="宋体"/>
          <w:sz w:val="24"/>
          <w:szCs w:val="24"/>
          <w:u w:val="single"/>
        </w:rPr>
      </w:pPr>
      <w:r>
        <w:rPr>
          <w:rFonts w:hint="eastAsia" w:hAnsi="宋体"/>
          <w:sz w:val="24"/>
          <w:szCs w:val="24"/>
        </w:rPr>
        <w:t>　　经营范围：</w:t>
      </w:r>
    </w:p>
    <w:p>
      <w:pPr>
        <w:pStyle w:val="15"/>
        <w:spacing w:line="360" w:lineRule="auto"/>
        <w:rPr>
          <w:rFonts w:hAnsi="宋体"/>
          <w:sz w:val="24"/>
          <w:szCs w:val="24"/>
        </w:rPr>
      </w:pPr>
      <w:r>
        <w:rPr>
          <w:rFonts w:hint="eastAsia" w:hAnsi="宋体"/>
          <w:sz w:val="24"/>
          <w:szCs w:val="24"/>
        </w:rPr>
        <w:t>附：被授权人有效身份证正反面或其他身份证明材料复印　　　　　　　</w:t>
      </w:r>
    </w:p>
    <w:p>
      <w:pPr>
        <w:pStyle w:val="14"/>
        <w:spacing w:line="360" w:lineRule="auto"/>
        <w:jc w:val="both"/>
        <w:rPr>
          <w:rFonts w:hAnsi="宋体"/>
          <w:sz w:val="24"/>
          <w:szCs w:val="24"/>
        </w:rPr>
      </w:pPr>
    </w:p>
    <w:p>
      <w:pPr>
        <w:pStyle w:val="14"/>
        <w:spacing w:line="360" w:lineRule="auto"/>
        <w:jc w:val="both"/>
        <w:rPr>
          <w:rFonts w:hAnsi="宋体" w:eastAsia="宋体" w:cs="宋体"/>
          <w:sz w:val="28"/>
        </w:rPr>
      </w:pPr>
    </w:p>
    <w:p>
      <w:pPr>
        <w:pStyle w:val="14"/>
        <w:spacing w:line="360" w:lineRule="auto"/>
        <w:jc w:val="both"/>
        <w:rPr>
          <w:rFonts w:hAnsi="宋体" w:eastAsia="宋体" w:cs="宋体"/>
          <w:sz w:val="28"/>
        </w:rPr>
      </w:pPr>
    </w:p>
    <w:p>
      <w:pPr>
        <w:pStyle w:val="14"/>
        <w:spacing w:line="360" w:lineRule="auto"/>
        <w:jc w:val="both"/>
        <w:rPr>
          <w:rFonts w:hAnsi="宋体" w:eastAsia="宋体" w:cs="宋体"/>
          <w:sz w:val="28"/>
        </w:rPr>
      </w:pPr>
    </w:p>
    <w:p>
      <w:pPr>
        <w:pStyle w:val="14"/>
        <w:spacing w:line="360" w:lineRule="auto"/>
        <w:jc w:val="both"/>
        <w:rPr>
          <w:rFonts w:hAnsi="宋体" w:eastAsia="宋体" w:cs="宋体"/>
          <w:sz w:val="28"/>
        </w:rPr>
      </w:pPr>
    </w:p>
    <w:p>
      <w:pPr>
        <w:pStyle w:val="14"/>
        <w:spacing w:line="360" w:lineRule="auto"/>
        <w:jc w:val="both"/>
        <w:rPr>
          <w:rFonts w:hAnsi="宋体" w:eastAsia="宋体" w:cs="宋体"/>
          <w:sz w:val="28"/>
        </w:rPr>
      </w:pPr>
    </w:p>
    <w:p>
      <w:pPr>
        <w:pStyle w:val="14"/>
        <w:spacing w:line="360" w:lineRule="auto"/>
        <w:jc w:val="both"/>
        <w:rPr>
          <w:rFonts w:hAnsi="宋体" w:eastAsia="宋体" w:cs="宋体"/>
          <w:sz w:val="24"/>
          <w:szCs w:val="24"/>
        </w:rPr>
      </w:pPr>
      <w:r>
        <w:rPr>
          <w:rFonts w:hint="eastAsia" w:hAnsi="宋体" w:eastAsia="宋体" w:cs="宋体"/>
          <w:sz w:val="24"/>
          <w:szCs w:val="24"/>
        </w:rPr>
        <w:t>（单位盖章）：</w:t>
      </w:r>
    </w:p>
    <w:p>
      <w:pPr>
        <w:pStyle w:val="14"/>
        <w:spacing w:line="360" w:lineRule="auto"/>
        <w:jc w:val="both"/>
        <w:rPr>
          <w:rFonts w:hAnsi="宋体" w:eastAsia="宋体" w:cs="宋体"/>
          <w:sz w:val="24"/>
          <w:szCs w:val="24"/>
        </w:rPr>
      </w:pPr>
    </w:p>
    <w:p>
      <w:pPr>
        <w:pStyle w:val="14"/>
        <w:spacing w:line="360" w:lineRule="auto"/>
        <w:jc w:val="both"/>
        <w:rPr>
          <w:rFonts w:hAnsi="宋体" w:eastAsia="宋体" w:cs="宋体"/>
          <w:sz w:val="24"/>
          <w:szCs w:val="24"/>
        </w:rPr>
      </w:pPr>
      <w:r>
        <w:rPr>
          <w:rFonts w:hint="eastAsia" w:hAnsi="宋体" w:eastAsia="宋体" w:cs="宋体"/>
          <w:sz w:val="24"/>
          <w:szCs w:val="24"/>
        </w:rPr>
        <w:t>法定代表人（签字或盖章）：</w:t>
      </w:r>
    </w:p>
    <w:p>
      <w:pPr>
        <w:pStyle w:val="14"/>
        <w:spacing w:line="360" w:lineRule="auto"/>
        <w:jc w:val="both"/>
        <w:rPr>
          <w:rFonts w:hAnsi="宋体" w:eastAsia="宋体" w:cs="宋体"/>
          <w:sz w:val="24"/>
          <w:szCs w:val="24"/>
        </w:rPr>
      </w:pPr>
      <w:r>
        <w:rPr>
          <w:rFonts w:hint="eastAsia" w:hAnsi="宋体" w:eastAsia="宋体" w:cs="宋体"/>
          <w:sz w:val="24"/>
          <w:szCs w:val="24"/>
        </w:rPr>
        <w:t>被授权人（签字或盖章）：</w:t>
      </w:r>
    </w:p>
    <w:p>
      <w:pPr>
        <w:pStyle w:val="14"/>
        <w:spacing w:line="360" w:lineRule="auto"/>
        <w:jc w:val="both"/>
        <w:rPr>
          <w:rFonts w:hAnsi="宋体" w:eastAsia="宋体" w:cs="宋体"/>
          <w:sz w:val="24"/>
          <w:szCs w:val="24"/>
        </w:rPr>
      </w:pPr>
      <w:r>
        <w:rPr>
          <w:rFonts w:hint="eastAsia" w:hAnsi="宋体" w:eastAsia="宋体" w:cs="宋体"/>
          <w:sz w:val="24"/>
          <w:szCs w:val="24"/>
        </w:rPr>
        <w:t>日期： 20  年   月   日</w:t>
      </w:r>
    </w:p>
    <w:p>
      <w:pPr>
        <w:rPr>
          <w:sz w:val="24"/>
        </w:rPr>
      </w:pPr>
      <w:r>
        <w:rPr>
          <w:rFonts w:hint="eastAsia" w:hAnsi="宋体" w:cs="宋体"/>
          <w:sz w:val="24"/>
          <w:lang w:val="zh-CN"/>
        </w:rPr>
        <w:t>说明：法定代表人亲自办理投标事宜的，无需提交本证明书。</w:t>
      </w:r>
    </w:p>
    <w:p>
      <w:pPr>
        <w:spacing w:line="360" w:lineRule="auto"/>
        <w:rPr>
          <w:sz w:val="28"/>
          <w:szCs w:val="28"/>
        </w:rPr>
      </w:pPr>
    </w:p>
    <w:p>
      <w:pPr>
        <w:rPr>
          <w:rFonts w:ascii="仿宋" w:hAnsi="仿宋" w:eastAsia="仿宋" w:cs="仿宋"/>
          <w:szCs w:val="21"/>
        </w:rPr>
      </w:pPr>
      <w:r>
        <w:rPr>
          <w:rFonts w:ascii="仿宋" w:hAnsi="仿宋" w:eastAsia="仿宋" w:cs="仿宋"/>
          <w:szCs w:val="21"/>
        </w:rPr>
        <w:br w:type="page"/>
      </w:r>
    </w:p>
    <w:p>
      <w:pPr>
        <w:rPr>
          <w:rFonts w:hAnsi="宋体"/>
          <w:b/>
          <w:sz w:val="28"/>
          <w:szCs w:val="28"/>
        </w:rPr>
      </w:pPr>
      <w:r>
        <w:rPr>
          <w:rFonts w:hint="eastAsia" w:ascii="宋体" w:hAnsi="宋体" w:cs="Arial"/>
          <w:b/>
          <w:color w:val="000000"/>
          <w:sz w:val="28"/>
          <w:szCs w:val="28"/>
        </w:rPr>
        <w:t>附件5</w:t>
      </w:r>
    </w:p>
    <w:p>
      <w:pPr>
        <w:jc w:val="center"/>
        <w:rPr>
          <w:rFonts w:ascii="宋体" w:hAnsi="宋体" w:cs="宋体"/>
          <w:b/>
          <w:bCs/>
          <w:sz w:val="36"/>
          <w:szCs w:val="36"/>
        </w:rPr>
      </w:pPr>
      <w:r>
        <w:rPr>
          <w:rFonts w:hint="eastAsia" w:ascii="宋体" w:hAnsi="宋体" w:cs="宋体"/>
          <w:b/>
          <w:bCs/>
          <w:sz w:val="36"/>
          <w:szCs w:val="36"/>
        </w:rPr>
        <w:t>投标人资格审查表</w:t>
      </w:r>
    </w:p>
    <w:p>
      <w:pPr>
        <w:spacing w:line="360" w:lineRule="auto"/>
        <w:rPr>
          <w:rFonts w:ascii="宋体" w:hAnsi="宋体"/>
          <w:bCs/>
          <w:szCs w:val="21"/>
        </w:rPr>
      </w:pPr>
      <w:r>
        <w:rPr>
          <w:rFonts w:hint="eastAsia" w:ascii="宋体" w:hAnsi="宋体"/>
          <w:bCs/>
          <w:szCs w:val="21"/>
        </w:rPr>
        <w:t>项目名称：广州大学城区域供冷中山大学化学与材料楼接口预留工程</w:t>
      </w:r>
    </w:p>
    <w:tbl>
      <w:tblPr>
        <w:tblStyle w:val="9"/>
        <w:tblW w:w="806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2"/>
        <w:gridCol w:w="6225"/>
        <w:gridCol w:w="11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vAlign w:val="center"/>
          </w:tcPr>
          <w:p>
            <w:pPr>
              <w:rPr>
                <w:rFonts w:ascii="宋体" w:hAnsi="宋体"/>
                <w:b/>
                <w:szCs w:val="21"/>
              </w:rPr>
            </w:pPr>
            <w:r>
              <w:rPr>
                <w:rFonts w:hint="eastAsia" w:ascii="宋体" w:hAnsi="宋体" w:cs="宋体"/>
                <w:b/>
                <w:bCs/>
                <w:szCs w:val="21"/>
              </w:rPr>
              <w:t>序号</w:t>
            </w:r>
          </w:p>
        </w:tc>
        <w:tc>
          <w:tcPr>
            <w:tcW w:w="6225" w:type="dxa"/>
            <w:vAlign w:val="center"/>
          </w:tcPr>
          <w:p>
            <w:pPr>
              <w:ind w:firstLine="422"/>
              <w:jc w:val="center"/>
              <w:rPr>
                <w:rFonts w:ascii="宋体" w:hAnsi="宋体"/>
                <w:b/>
                <w:sz w:val="22"/>
                <w:szCs w:val="21"/>
              </w:rPr>
            </w:pPr>
            <w:r>
              <w:rPr>
                <w:rFonts w:hint="eastAsia" w:ascii="宋体" w:hAnsi="宋体" w:cs="宋体"/>
                <w:b/>
                <w:bCs/>
                <w:szCs w:val="21"/>
              </w:rPr>
              <w:t>评审内容</w:t>
            </w:r>
          </w:p>
        </w:tc>
        <w:tc>
          <w:tcPr>
            <w:tcW w:w="1183" w:type="dxa"/>
            <w:vAlign w:val="center"/>
          </w:tcPr>
          <w:p>
            <w:pPr>
              <w:rPr>
                <w:rFonts w:ascii="宋体" w:hAnsi="宋体"/>
                <w:b/>
                <w:szCs w:val="21"/>
              </w:rPr>
            </w:pPr>
            <w:r>
              <w:rPr>
                <w:rFonts w:hint="eastAsia" w:ascii="宋体" w:hAnsi="宋体" w:cs="宋体"/>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1</w:t>
            </w:r>
          </w:p>
        </w:tc>
        <w:tc>
          <w:tcPr>
            <w:tcW w:w="6225" w:type="dxa"/>
            <w:shd w:val="clear" w:color="auto" w:fill="auto"/>
            <w:vAlign w:val="center"/>
          </w:tcPr>
          <w:p>
            <w:pPr>
              <w:rPr>
                <w:rFonts w:ascii="宋体" w:hAnsi="宋体"/>
                <w:szCs w:val="21"/>
              </w:rPr>
            </w:pPr>
            <w:r>
              <w:rPr>
                <w:rFonts w:hint="eastAsia" w:ascii="宋体" w:hAnsi="宋体"/>
                <w:szCs w:val="21"/>
              </w:rPr>
              <w:t>具备有效的工商营业执照、企业法人组织机构代码证书、税务登记证书（或三证合一）（复印件盖章）</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cs="宋体"/>
                <w:szCs w:val="21"/>
              </w:rPr>
            </w:pPr>
            <w:r>
              <w:rPr>
                <w:rFonts w:ascii="宋体" w:hAnsi="宋体" w:cs="宋体"/>
                <w:szCs w:val="21"/>
              </w:rPr>
              <w:t>2</w:t>
            </w:r>
          </w:p>
        </w:tc>
        <w:tc>
          <w:tcPr>
            <w:tcW w:w="6225" w:type="dxa"/>
            <w:shd w:val="clear" w:color="auto" w:fill="auto"/>
            <w:vAlign w:val="center"/>
          </w:tcPr>
          <w:p>
            <w:pPr>
              <w:rPr>
                <w:rFonts w:ascii="宋体" w:hAnsi="宋体" w:cs="宋体"/>
                <w:szCs w:val="21"/>
              </w:rPr>
            </w:pPr>
            <w:r>
              <w:rPr>
                <w:rFonts w:hint="eastAsia" w:ascii="宋体" w:hAnsi="宋体" w:cs="宋体"/>
                <w:szCs w:val="21"/>
              </w:rPr>
              <w:t>法定代表人证明书原件或法定代表人授权委托书原件</w:t>
            </w:r>
          </w:p>
        </w:tc>
        <w:tc>
          <w:tcPr>
            <w:tcW w:w="1183"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cs="宋体"/>
                <w:szCs w:val="21"/>
              </w:rPr>
            </w:pPr>
            <w:r>
              <w:rPr>
                <w:rFonts w:hint="eastAsia" w:ascii="宋体" w:hAnsi="宋体" w:cs="宋体"/>
                <w:szCs w:val="21"/>
              </w:rPr>
              <w:t>3</w:t>
            </w:r>
          </w:p>
        </w:tc>
        <w:tc>
          <w:tcPr>
            <w:tcW w:w="6225" w:type="dxa"/>
            <w:shd w:val="clear" w:color="auto" w:fill="auto"/>
            <w:vAlign w:val="center"/>
          </w:tcPr>
          <w:p>
            <w:pPr>
              <w:tabs>
                <w:tab w:val="left" w:pos="0"/>
                <w:tab w:val="left" w:pos="720"/>
              </w:tabs>
              <w:rPr>
                <w:rFonts w:ascii="宋体" w:hAnsi="宋体" w:cs="宋体"/>
                <w:szCs w:val="21"/>
              </w:rPr>
            </w:pPr>
            <w:r>
              <w:rPr>
                <w:rFonts w:hint="eastAsia" w:ascii="宋体" w:hAnsi="宋体" w:cs="宋体"/>
                <w:szCs w:val="21"/>
              </w:rPr>
              <w:t>持有建设行政主管部门颁发的以下资质之一（复印件盖章）：</w:t>
            </w:r>
          </w:p>
          <w:p>
            <w:pPr>
              <w:tabs>
                <w:tab w:val="left" w:pos="0"/>
                <w:tab w:val="left" w:pos="720"/>
              </w:tabs>
              <w:ind w:firstLine="420" w:firstLineChars="200"/>
              <w:rPr>
                <w:rFonts w:ascii="宋体" w:hAnsi="宋体" w:cs="宋体"/>
                <w:szCs w:val="21"/>
              </w:rPr>
            </w:pPr>
            <w:r>
              <w:rPr>
                <w:rFonts w:hint="eastAsia" w:ascii="宋体" w:hAnsi="宋体" w:cs="宋体"/>
                <w:szCs w:val="21"/>
              </w:rPr>
              <w:t>1、建筑机电安装工程专业承包三级或以上资质；</w:t>
            </w:r>
          </w:p>
          <w:p>
            <w:pPr>
              <w:tabs>
                <w:tab w:val="left" w:pos="0"/>
                <w:tab w:val="left" w:pos="720"/>
              </w:tabs>
              <w:ind w:firstLine="420" w:firstLineChars="200"/>
              <w:rPr>
                <w:rFonts w:ascii="宋体" w:hAnsi="宋体" w:cs="宋体"/>
                <w:szCs w:val="21"/>
              </w:rPr>
            </w:pPr>
            <w:r>
              <w:rPr>
                <w:rFonts w:hint="eastAsia" w:ascii="宋体" w:hAnsi="宋体" w:cs="宋体"/>
                <w:szCs w:val="21"/>
              </w:rPr>
              <w:t>2、市政公用工程施工总承包三级或以上资质；</w:t>
            </w:r>
          </w:p>
          <w:p>
            <w:pPr>
              <w:ind w:firstLine="420" w:firstLineChars="200"/>
              <w:rPr>
                <w:rFonts w:ascii="宋体" w:hAnsi="宋体" w:cs="宋体"/>
                <w:szCs w:val="21"/>
              </w:rPr>
            </w:pPr>
            <w:r>
              <w:rPr>
                <w:rFonts w:hint="eastAsia" w:ascii="宋体" w:hAnsi="宋体" w:cs="宋体"/>
                <w:szCs w:val="21"/>
              </w:rPr>
              <w:t>3、建筑工程施工总承包三级或以上资质。</w:t>
            </w:r>
          </w:p>
        </w:tc>
        <w:tc>
          <w:tcPr>
            <w:tcW w:w="1183"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vAlign w:val="center"/>
          </w:tcPr>
          <w:p>
            <w:pPr>
              <w:rPr>
                <w:rFonts w:ascii="宋体" w:hAnsi="宋体"/>
                <w:bCs/>
                <w:szCs w:val="21"/>
              </w:rPr>
            </w:pPr>
            <w:r>
              <w:rPr>
                <w:rFonts w:hint="eastAsia" w:ascii="宋体" w:hAnsi="宋体"/>
                <w:bCs/>
                <w:szCs w:val="21"/>
              </w:rPr>
              <w:t>4</w:t>
            </w:r>
          </w:p>
        </w:tc>
        <w:tc>
          <w:tcPr>
            <w:tcW w:w="6225" w:type="dxa"/>
            <w:vAlign w:val="center"/>
          </w:tcPr>
          <w:p>
            <w:pPr>
              <w:rPr>
                <w:rFonts w:ascii="宋体" w:hAnsi="宋体" w:cs="宋体"/>
                <w:bCs/>
                <w:szCs w:val="21"/>
              </w:rPr>
            </w:pPr>
            <w:r>
              <w:rPr>
                <w:rFonts w:hint="eastAsia" w:ascii="宋体" w:hAnsi="宋体" w:cs="宋体"/>
                <w:bCs/>
                <w:szCs w:val="21"/>
              </w:rPr>
              <w:t>有效的</w:t>
            </w:r>
            <w:r>
              <w:rPr>
                <w:rFonts w:ascii="宋体" w:hAnsi="宋体" w:cs="宋体"/>
                <w:bCs/>
                <w:szCs w:val="21"/>
              </w:rPr>
              <w:t>安全生产许可证</w:t>
            </w:r>
            <w:r>
              <w:rPr>
                <w:rFonts w:hint="eastAsia" w:ascii="宋体" w:hAnsi="宋体" w:cs="宋体"/>
                <w:bCs/>
                <w:szCs w:val="21"/>
              </w:rPr>
              <w:t>（复印件盖章）</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vAlign w:val="center"/>
          </w:tcPr>
          <w:p>
            <w:pPr>
              <w:rPr>
                <w:rFonts w:ascii="宋体" w:hAnsi="宋体"/>
                <w:bCs/>
                <w:szCs w:val="21"/>
              </w:rPr>
            </w:pPr>
            <w:r>
              <w:rPr>
                <w:rFonts w:hint="eastAsia" w:ascii="宋体" w:hAnsi="宋体"/>
                <w:bCs/>
                <w:szCs w:val="21"/>
              </w:rPr>
              <w:t>5</w:t>
            </w:r>
          </w:p>
        </w:tc>
        <w:tc>
          <w:tcPr>
            <w:tcW w:w="6225" w:type="dxa"/>
            <w:vAlign w:val="center"/>
          </w:tcPr>
          <w:p>
            <w:pPr>
              <w:rPr>
                <w:rFonts w:ascii="宋体" w:hAnsi="宋体" w:cs="宋体"/>
                <w:bCs/>
                <w:szCs w:val="21"/>
              </w:rPr>
            </w:pPr>
            <w:r>
              <w:rPr>
                <w:rFonts w:hint="eastAsia" w:ascii="宋体" w:hAnsi="宋体" w:cs="宋体"/>
                <w:szCs w:val="21"/>
              </w:rPr>
              <w:t>近3年内(20</w:t>
            </w:r>
            <w:r>
              <w:rPr>
                <w:rFonts w:ascii="宋体" w:hAnsi="宋体" w:cs="宋体"/>
                <w:szCs w:val="21"/>
              </w:rPr>
              <w:t>16</w:t>
            </w:r>
            <w:r>
              <w:rPr>
                <w:rFonts w:hint="eastAsia" w:ascii="宋体" w:hAnsi="宋体" w:cs="宋体"/>
                <w:szCs w:val="21"/>
              </w:rPr>
              <w:t>年1月1日至今) 完成过质量合格的类似项目施工业绩（需提供合同和验收报告等相关证明材料复印件）</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vAlign w:val="center"/>
          </w:tcPr>
          <w:p>
            <w:pPr>
              <w:rPr>
                <w:rFonts w:ascii="宋体" w:hAnsi="宋体"/>
                <w:bCs/>
                <w:szCs w:val="21"/>
              </w:rPr>
            </w:pPr>
          </w:p>
        </w:tc>
        <w:tc>
          <w:tcPr>
            <w:tcW w:w="6225" w:type="dxa"/>
            <w:vAlign w:val="center"/>
          </w:tcPr>
          <w:p>
            <w:pPr>
              <w:rPr>
                <w:rFonts w:ascii="宋体" w:hAnsi="宋体"/>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1183" w:type="dxa"/>
            <w:vAlign w:val="center"/>
          </w:tcPr>
          <w:p>
            <w:pPr>
              <w:spacing w:line="360" w:lineRule="auto"/>
              <w:rPr>
                <w:rFonts w:ascii="宋体" w:hAnsi="宋体"/>
                <w:b/>
                <w:szCs w:val="21"/>
              </w:rPr>
            </w:pPr>
          </w:p>
        </w:tc>
      </w:tr>
    </w:tbl>
    <w:p>
      <w:pPr>
        <w:spacing w:line="400" w:lineRule="exact"/>
        <w:rPr>
          <w:rFonts w:ascii="宋体" w:hAnsi="宋体"/>
          <w:szCs w:val="21"/>
        </w:rPr>
      </w:pPr>
      <w:r>
        <w:rPr>
          <w:rFonts w:hint="eastAsia" w:ascii="宋体" w:hAnsi="宋体"/>
          <w:szCs w:val="21"/>
        </w:rPr>
        <w:t>注：</w:t>
      </w:r>
    </w:p>
    <w:p>
      <w:pPr>
        <w:numPr>
          <w:ilvl w:val="0"/>
          <w:numId w:val="8"/>
        </w:numPr>
        <w:adjustRightInd w:val="0"/>
        <w:snapToGrid w:val="0"/>
        <w:spacing w:line="400" w:lineRule="exact"/>
        <w:rPr>
          <w:rFonts w:ascii="宋体" w:hAnsi="宋体"/>
          <w:szCs w:val="21"/>
        </w:rPr>
      </w:pPr>
      <w:r>
        <w:rPr>
          <w:rFonts w:hint="eastAsia" w:ascii="宋体" w:hAnsi="宋体"/>
          <w:szCs w:val="21"/>
        </w:rPr>
        <w:t>投标人分栏中填写“√”表示该项符合竞选文件要求，“×”表示该项不符合竞选文件要求，“○”表示无该项内容；</w:t>
      </w:r>
    </w:p>
    <w:p>
      <w:pPr>
        <w:numPr>
          <w:ilvl w:val="0"/>
          <w:numId w:val="8"/>
        </w:numPr>
        <w:adjustRightInd w:val="0"/>
        <w:snapToGrid w:val="0"/>
        <w:spacing w:line="400" w:lineRule="exact"/>
        <w:rPr>
          <w:rFonts w:ascii="宋体" w:hAnsi="宋体"/>
          <w:szCs w:val="21"/>
        </w:rPr>
      </w:pPr>
      <w:r>
        <w:rPr>
          <w:rFonts w:hint="eastAsia" w:ascii="宋体" w:hAnsi="宋体"/>
          <w:szCs w:val="21"/>
        </w:rPr>
        <w:t>经评标委员会审核后，出现一个“×”的结论为“不通过”，即按废标处理。</w:t>
      </w:r>
    </w:p>
    <w:p>
      <w:pPr>
        <w:numPr>
          <w:ilvl w:val="0"/>
          <w:numId w:val="8"/>
        </w:numPr>
        <w:adjustRightInd w:val="0"/>
        <w:snapToGrid w:val="0"/>
        <w:spacing w:line="400" w:lineRule="exact"/>
        <w:rPr>
          <w:rFonts w:ascii="宋体" w:hAnsi="宋体"/>
          <w:szCs w:val="21"/>
        </w:rPr>
      </w:pPr>
      <w:r>
        <w:rPr>
          <w:rFonts w:hint="eastAsia" w:ascii="宋体" w:hAnsi="宋体"/>
          <w:szCs w:val="21"/>
        </w:rPr>
        <w:t>表中全部条件满足为“通过”，同意进入下一阶段评审。</w:t>
      </w:r>
    </w:p>
    <w:p>
      <w:pPr>
        <w:numPr>
          <w:ilvl w:val="0"/>
          <w:numId w:val="8"/>
        </w:numPr>
        <w:adjustRightInd w:val="0"/>
        <w:snapToGrid w:val="0"/>
        <w:spacing w:line="400" w:lineRule="exact"/>
        <w:rPr>
          <w:rFonts w:ascii="宋体" w:hAnsi="宋体"/>
          <w:szCs w:val="21"/>
        </w:rPr>
      </w:pPr>
      <w:r>
        <w:rPr>
          <w:rFonts w:hint="eastAsia"/>
          <w:szCs w:val="21"/>
        </w:rPr>
        <w:t>如对本表中某种情形的</w:t>
      </w:r>
      <w:r>
        <w:rPr>
          <w:rFonts w:hint="eastAsia" w:ascii="宋体" w:hAnsi="宋体"/>
          <w:szCs w:val="21"/>
        </w:rPr>
        <w:t>评委意见不一致时，</w:t>
      </w:r>
      <w:r>
        <w:rPr>
          <w:rFonts w:hint="eastAsia"/>
          <w:szCs w:val="21"/>
        </w:rPr>
        <w:t>以评标委员会过半数成员的意见作为评标委员会对该情形的认定结论。</w:t>
      </w:r>
    </w:p>
    <w:p>
      <w:pPr>
        <w:adjustRightInd w:val="0"/>
        <w:snapToGrid w:val="0"/>
        <w:spacing w:line="400" w:lineRule="exact"/>
        <w:rPr>
          <w:rFonts w:ascii="宋体" w:hAnsi="宋体"/>
          <w:szCs w:val="21"/>
        </w:rPr>
      </w:pPr>
    </w:p>
    <w:p>
      <w:pPr>
        <w:spacing w:line="400" w:lineRule="exact"/>
        <w:ind w:left="420"/>
        <w:rPr>
          <w:rFonts w:ascii="宋体" w:hAnsi="宋体"/>
          <w:bCs/>
          <w:szCs w:val="21"/>
        </w:rPr>
      </w:pPr>
      <w:r>
        <w:rPr>
          <w:rFonts w:hint="eastAsia" w:ascii="宋体" w:hAnsi="宋体"/>
          <w:bCs/>
          <w:szCs w:val="21"/>
        </w:rPr>
        <w:t xml:space="preserve">评委签名：    </w:t>
      </w:r>
    </w:p>
    <w:p>
      <w:pPr>
        <w:spacing w:line="400" w:lineRule="exact"/>
        <w:ind w:left="420"/>
        <w:rPr>
          <w:rFonts w:ascii="宋体" w:hAnsi="宋体"/>
          <w:bCs/>
          <w:szCs w:val="21"/>
        </w:rPr>
      </w:pPr>
    </w:p>
    <w:p>
      <w:pPr>
        <w:spacing w:line="400" w:lineRule="exact"/>
        <w:ind w:left="420"/>
        <w:rPr>
          <w:rFonts w:ascii="宋体" w:hAnsi="宋体"/>
          <w:szCs w:val="21"/>
        </w:rPr>
      </w:pPr>
      <w:r>
        <w:rPr>
          <w:rFonts w:hint="eastAsia" w:ascii="宋体" w:hAnsi="宋体"/>
          <w:bCs/>
          <w:szCs w:val="21"/>
        </w:rPr>
        <w:t>日 期：</w:t>
      </w:r>
      <w:r>
        <w:rPr>
          <w:rFonts w:hint="eastAsia" w:ascii="宋体" w:hAnsi="宋体"/>
          <w:szCs w:val="21"/>
        </w:rPr>
        <w:t xml:space="preserve">    年   月   日</w:t>
      </w:r>
    </w:p>
    <w:p>
      <w:pPr>
        <w:rPr>
          <w:rFonts w:ascii="仿宋" w:hAnsi="仿宋" w:eastAsia="仿宋" w:cs="仿宋"/>
          <w:szCs w:val="21"/>
        </w:rPr>
      </w:pPr>
      <w:r>
        <w:rPr>
          <w:rFonts w:ascii="仿宋" w:hAnsi="仿宋" w:eastAsia="仿宋" w:cs="仿宋"/>
          <w:szCs w:val="21"/>
        </w:rPr>
        <w:br w:type="page"/>
      </w:r>
    </w:p>
    <w:p>
      <w:pPr>
        <w:spacing w:line="400" w:lineRule="exact"/>
        <w:rPr>
          <w:rFonts w:hAnsi="宋体"/>
          <w:szCs w:val="21"/>
        </w:rPr>
      </w:pPr>
      <w:r>
        <w:rPr>
          <w:rFonts w:hint="eastAsia" w:ascii="宋体" w:hAnsi="宋体" w:cs="Arial"/>
          <w:color w:val="000000"/>
          <w:sz w:val="30"/>
          <w:szCs w:val="30"/>
        </w:rPr>
        <w:t>附件6</w:t>
      </w:r>
    </w:p>
    <w:p>
      <w:pPr>
        <w:jc w:val="center"/>
        <w:rPr>
          <w:rFonts w:ascii="宋体" w:hAnsi="宋体" w:cs="宋体"/>
          <w:b/>
          <w:bCs/>
          <w:sz w:val="24"/>
        </w:rPr>
      </w:pPr>
      <w:r>
        <w:rPr>
          <w:rFonts w:hint="eastAsia" w:ascii="宋体" w:hAnsi="宋体" w:cs="宋体"/>
          <w:b/>
          <w:bCs/>
          <w:sz w:val="36"/>
          <w:szCs w:val="36"/>
        </w:rPr>
        <w:t>投标文件有效性审查表</w:t>
      </w:r>
    </w:p>
    <w:p>
      <w:pPr>
        <w:rPr>
          <w:rFonts w:ascii="宋体" w:hAnsi="宋体"/>
          <w:bCs/>
          <w:szCs w:val="21"/>
        </w:rPr>
      </w:pPr>
    </w:p>
    <w:p>
      <w:pPr>
        <w:spacing w:line="360" w:lineRule="auto"/>
        <w:rPr>
          <w:rFonts w:ascii="宋体" w:hAnsi="宋体"/>
          <w:bCs/>
          <w:szCs w:val="21"/>
        </w:rPr>
      </w:pPr>
      <w:r>
        <w:rPr>
          <w:rFonts w:hint="eastAsia" w:ascii="宋体" w:hAnsi="宋体"/>
          <w:bCs/>
          <w:szCs w:val="21"/>
        </w:rPr>
        <w:t>项目名称：广州大学城区域供冷中山大学化学与材料楼接口预留工程</w:t>
      </w:r>
    </w:p>
    <w:tbl>
      <w:tblPr>
        <w:tblStyle w:val="9"/>
        <w:tblW w:w="806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2"/>
        <w:gridCol w:w="6225"/>
        <w:gridCol w:w="11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vAlign w:val="center"/>
          </w:tcPr>
          <w:p>
            <w:pPr>
              <w:rPr>
                <w:rFonts w:ascii="宋体" w:hAnsi="宋体"/>
                <w:b/>
                <w:szCs w:val="21"/>
              </w:rPr>
            </w:pPr>
            <w:r>
              <w:rPr>
                <w:rFonts w:hint="eastAsia" w:ascii="宋体" w:hAnsi="宋体" w:cs="宋体"/>
                <w:b/>
                <w:bCs/>
                <w:szCs w:val="21"/>
              </w:rPr>
              <w:t>序号</w:t>
            </w:r>
          </w:p>
        </w:tc>
        <w:tc>
          <w:tcPr>
            <w:tcW w:w="6225" w:type="dxa"/>
            <w:vAlign w:val="center"/>
          </w:tcPr>
          <w:p>
            <w:pPr>
              <w:jc w:val="center"/>
              <w:rPr>
                <w:rFonts w:ascii="宋体" w:hAnsi="宋体"/>
                <w:b/>
                <w:szCs w:val="21"/>
              </w:rPr>
            </w:pPr>
            <w:r>
              <w:rPr>
                <w:rFonts w:hint="eastAsia" w:ascii="宋体" w:hAnsi="宋体" w:cs="宋体"/>
                <w:b/>
                <w:bCs/>
                <w:szCs w:val="21"/>
              </w:rPr>
              <w:t>评审内容</w:t>
            </w:r>
          </w:p>
        </w:tc>
        <w:tc>
          <w:tcPr>
            <w:tcW w:w="1183" w:type="dxa"/>
            <w:vAlign w:val="center"/>
          </w:tcPr>
          <w:p>
            <w:pPr>
              <w:rPr>
                <w:rFonts w:ascii="宋体" w:hAnsi="宋体"/>
                <w:b/>
                <w:szCs w:val="21"/>
              </w:rPr>
            </w:pPr>
            <w:r>
              <w:rPr>
                <w:rFonts w:hint="eastAsia" w:ascii="宋体" w:hAnsi="宋体" w:cs="宋体"/>
                <w:b/>
                <w:bCs/>
                <w:szCs w:val="21"/>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1</w:t>
            </w:r>
          </w:p>
        </w:tc>
        <w:tc>
          <w:tcPr>
            <w:tcW w:w="6225" w:type="dxa"/>
            <w:shd w:val="clear" w:color="auto" w:fill="auto"/>
            <w:vAlign w:val="center"/>
          </w:tcPr>
          <w:p>
            <w:pPr>
              <w:rPr>
                <w:rFonts w:ascii="宋体" w:hAnsi="宋体"/>
                <w:szCs w:val="21"/>
              </w:rPr>
            </w:pPr>
            <w:r>
              <w:rPr>
                <w:rFonts w:hint="eastAsia" w:ascii="宋体" w:hAnsi="宋体"/>
                <w:szCs w:val="21"/>
              </w:rPr>
              <w:t>投标文件未按竞选文件的规定密封、盖章和签署；</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2</w:t>
            </w:r>
          </w:p>
        </w:tc>
        <w:tc>
          <w:tcPr>
            <w:tcW w:w="6225" w:type="dxa"/>
            <w:shd w:val="clear" w:color="auto" w:fill="auto"/>
            <w:vAlign w:val="center"/>
          </w:tcPr>
          <w:p>
            <w:pPr>
              <w:rPr>
                <w:rFonts w:ascii="宋体" w:hAnsi="宋体"/>
                <w:szCs w:val="21"/>
              </w:rPr>
            </w:pPr>
            <w:r>
              <w:rPr>
                <w:rFonts w:hint="eastAsia" w:ascii="宋体" w:hAnsi="宋体"/>
                <w:szCs w:val="21"/>
              </w:rPr>
              <w:t>投标文件未按竞选文件规定的格式填写，内容不全或关键字迹模糊、无法辩认；</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3</w:t>
            </w:r>
          </w:p>
        </w:tc>
        <w:tc>
          <w:tcPr>
            <w:tcW w:w="6225" w:type="dxa"/>
            <w:shd w:val="clear" w:color="auto" w:fill="auto"/>
            <w:vAlign w:val="center"/>
          </w:tcPr>
          <w:p>
            <w:pPr>
              <w:rPr>
                <w:rFonts w:ascii="宋体" w:hAnsi="宋体"/>
                <w:szCs w:val="21"/>
              </w:rPr>
            </w:pPr>
            <w:r>
              <w:rPr>
                <w:rFonts w:hint="eastAsia" w:ascii="宋体" w:hAnsi="宋体" w:cs="宋体"/>
                <w:szCs w:val="21"/>
              </w:rPr>
              <w:t>对同一竞选项目出现两个或以上的投标报价，且没声明哪个有效；</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4</w:t>
            </w:r>
          </w:p>
        </w:tc>
        <w:tc>
          <w:tcPr>
            <w:tcW w:w="6225" w:type="dxa"/>
            <w:shd w:val="clear" w:color="auto" w:fill="auto"/>
            <w:vAlign w:val="center"/>
          </w:tcPr>
          <w:p>
            <w:pPr>
              <w:rPr>
                <w:rFonts w:ascii="宋体" w:hAnsi="宋体"/>
                <w:szCs w:val="21"/>
              </w:rPr>
            </w:pPr>
            <w:r>
              <w:rPr>
                <w:rFonts w:hint="eastAsia" w:ascii="宋体" w:hAnsi="宋体" w:cs="宋体"/>
                <w:szCs w:val="21"/>
              </w:rPr>
              <w:t>投标总报价低于企业自身成本；</w:t>
            </w:r>
          </w:p>
        </w:tc>
        <w:tc>
          <w:tcPr>
            <w:tcW w:w="1183" w:type="dxa"/>
            <w:vAlign w:val="center"/>
          </w:tcPr>
          <w:p>
            <w:pPr>
              <w:tabs>
                <w:tab w:val="left" w:pos="553"/>
              </w:tabs>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5</w:t>
            </w:r>
          </w:p>
        </w:tc>
        <w:tc>
          <w:tcPr>
            <w:tcW w:w="6225" w:type="dxa"/>
            <w:shd w:val="clear" w:color="auto" w:fill="auto"/>
            <w:vAlign w:val="center"/>
          </w:tcPr>
          <w:p>
            <w:pPr>
              <w:rPr>
                <w:rFonts w:ascii="宋体" w:hAnsi="宋体"/>
                <w:szCs w:val="21"/>
              </w:rPr>
            </w:pPr>
            <w:r>
              <w:rPr>
                <w:rFonts w:hint="eastAsia" w:ascii="宋体" w:hAnsi="宋体" w:cs="宋体"/>
                <w:szCs w:val="21"/>
              </w:rPr>
              <w:t>投标报价超过</w:t>
            </w:r>
            <w:r>
              <w:rPr>
                <w:rFonts w:hint="eastAsia" w:ascii="宋体" w:hAnsi="宋体"/>
                <w:szCs w:val="21"/>
              </w:rPr>
              <w:t>采购限价</w:t>
            </w:r>
            <w:r>
              <w:rPr>
                <w:rFonts w:hint="eastAsia" w:ascii="宋体" w:hAnsi="宋体" w:cs="宋体"/>
                <w:szCs w:val="21"/>
              </w:rPr>
              <w:t>；</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6</w:t>
            </w:r>
          </w:p>
        </w:tc>
        <w:tc>
          <w:tcPr>
            <w:tcW w:w="6225" w:type="dxa"/>
            <w:shd w:val="clear" w:color="auto" w:fill="auto"/>
            <w:vAlign w:val="center"/>
          </w:tcPr>
          <w:p>
            <w:pPr>
              <w:rPr>
                <w:szCs w:val="21"/>
              </w:rPr>
            </w:pPr>
            <w:r>
              <w:rPr>
                <w:rFonts w:hint="eastAsia" w:ascii="宋体" w:hAnsi="宋体" w:cs="宋体"/>
                <w:szCs w:val="21"/>
              </w:rPr>
              <w:t>工期不满足竞选文件要求的；</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7</w:t>
            </w:r>
          </w:p>
        </w:tc>
        <w:tc>
          <w:tcPr>
            <w:tcW w:w="6225" w:type="dxa"/>
            <w:shd w:val="clear" w:color="auto" w:fill="auto"/>
            <w:vAlign w:val="center"/>
          </w:tcPr>
          <w:p>
            <w:pPr>
              <w:rPr>
                <w:szCs w:val="21"/>
              </w:rPr>
            </w:pPr>
            <w:r>
              <w:rPr>
                <w:rFonts w:hint="eastAsia" w:ascii="宋体" w:hAnsi="宋体" w:cs="宋体"/>
                <w:szCs w:val="21"/>
              </w:rPr>
              <w:t>施工方案或施工组织设计未响应竞选文件中已明确必须要作实质性响应的内容；</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8</w:t>
            </w:r>
          </w:p>
        </w:tc>
        <w:tc>
          <w:tcPr>
            <w:tcW w:w="6225" w:type="dxa"/>
            <w:shd w:val="clear" w:color="auto" w:fill="auto"/>
            <w:vAlign w:val="center"/>
          </w:tcPr>
          <w:p>
            <w:pPr>
              <w:rPr>
                <w:szCs w:val="21"/>
              </w:rPr>
            </w:pPr>
            <w:r>
              <w:rPr>
                <w:rFonts w:hint="eastAsia" w:ascii="宋体" w:hAnsi="宋体" w:cs="宋体"/>
                <w:szCs w:val="21"/>
              </w:rPr>
              <w:t>投标文件附有采购人不能接受的条件；</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9</w:t>
            </w:r>
          </w:p>
        </w:tc>
        <w:tc>
          <w:tcPr>
            <w:tcW w:w="6225" w:type="dxa"/>
            <w:shd w:val="clear" w:color="auto" w:fill="auto"/>
            <w:vAlign w:val="center"/>
          </w:tcPr>
          <w:p>
            <w:pPr>
              <w:rPr>
                <w:szCs w:val="21"/>
              </w:rPr>
            </w:pPr>
            <w:r>
              <w:rPr>
                <w:rFonts w:hint="eastAsia" w:ascii="宋体" w:hAnsi="宋体" w:cs="宋体"/>
                <w:szCs w:val="21"/>
              </w:rPr>
              <w:t>不符合竞选文件中规定的其他实质性要求。</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vAlign w:val="center"/>
          </w:tcPr>
          <w:p>
            <w:pPr>
              <w:rPr>
                <w:rFonts w:ascii="宋体" w:hAnsi="宋体"/>
                <w:bCs/>
                <w:szCs w:val="21"/>
              </w:rPr>
            </w:pPr>
          </w:p>
        </w:tc>
        <w:tc>
          <w:tcPr>
            <w:tcW w:w="6225" w:type="dxa"/>
            <w:vAlign w:val="center"/>
          </w:tcPr>
          <w:p>
            <w:pPr>
              <w:rPr>
                <w:rFonts w:ascii="宋体" w:hAnsi="宋体"/>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1183" w:type="dxa"/>
            <w:vAlign w:val="center"/>
          </w:tcPr>
          <w:p>
            <w:pPr>
              <w:spacing w:line="360" w:lineRule="auto"/>
              <w:rPr>
                <w:rFonts w:ascii="宋体" w:hAnsi="宋体"/>
                <w:b/>
                <w:szCs w:val="21"/>
              </w:rPr>
            </w:pPr>
          </w:p>
        </w:tc>
      </w:tr>
    </w:tbl>
    <w:p>
      <w:pPr>
        <w:spacing w:line="400" w:lineRule="exact"/>
        <w:rPr>
          <w:rFonts w:ascii="宋体" w:hAnsi="宋体"/>
          <w:szCs w:val="21"/>
        </w:rPr>
      </w:pPr>
      <w:r>
        <w:rPr>
          <w:rFonts w:hint="eastAsia" w:ascii="宋体" w:hAnsi="宋体"/>
          <w:szCs w:val="21"/>
        </w:rPr>
        <w:t>注：</w:t>
      </w:r>
    </w:p>
    <w:p>
      <w:pPr>
        <w:numPr>
          <w:ilvl w:val="0"/>
          <w:numId w:val="8"/>
        </w:numPr>
        <w:adjustRightInd w:val="0"/>
        <w:snapToGrid w:val="0"/>
        <w:spacing w:line="400" w:lineRule="exact"/>
        <w:rPr>
          <w:rFonts w:ascii="宋体" w:hAnsi="宋体"/>
          <w:szCs w:val="21"/>
        </w:rPr>
      </w:pPr>
      <w:r>
        <w:rPr>
          <w:rFonts w:hint="eastAsia" w:ascii="宋体" w:hAnsi="宋体"/>
          <w:szCs w:val="21"/>
        </w:rPr>
        <w:t>投标人分栏中填写“√”表示该项符合竞选文件要求，“×”表示该项不符合竞选文件要求，“○”表示无该项内容；</w:t>
      </w:r>
    </w:p>
    <w:p>
      <w:pPr>
        <w:numPr>
          <w:ilvl w:val="0"/>
          <w:numId w:val="8"/>
        </w:numPr>
        <w:adjustRightInd w:val="0"/>
        <w:snapToGrid w:val="0"/>
        <w:spacing w:line="400" w:lineRule="exact"/>
        <w:rPr>
          <w:rFonts w:ascii="宋体" w:hAnsi="宋体"/>
          <w:szCs w:val="21"/>
        </w:rPr>
      </w:pPr>
      <w:r>
        <w:rPr>
          <w:rFonts w:hint="eastAsia" w:ascii="宋体" w:hAnsi="宋体"/>
          <w:szCs w:val="21"/>
        </w:rPr>
        <w:t>经评标委员会审核后，出现一个“×”的结论为“不通过”，即按废标处理。</w:t>
      </w:r>
    </w:p>
    <w:p>
      <w:pPr>
        <w:numPr>
          <w:ilvl w:val="0"/>
          <w:numId w:val="8"/>
        </w:numPr>
        <w:adjustRightInd w:val="0"/>
        <w:snapToGrid w:val="0"/>
        <w:spacing w:line="400" w:lineRule="exact"/>
        <w:rPr>
          <w:rFonts w:ascii="宋体" w:hAnsi="宋体"/>
          <w:szCs w:val="21"/>
        </w:rPr>
      </w:pPr>
      <w:r>
        <w:rPr>
          <w:rFonts w:hint="eastAsia" w:ascii="宋体" w:hAnsi="宋体"/>
          <w:szCs w:val="21"/>
        </w:rPr>
        <w:t>表中全部条件满足为“通过”，同意进入下一阶段评审。</w:t>
      </w:r>
    </w:p>
    <w:p>
      <w:pPr>
        <w:numPr>
          <w:ilvl w:val="0"/>
          <w:numId w:val="8"/>
        </w:numPr>
        <w:adjustRightInd w:val="0"/>
        <w:snapToGrid w:val="0"/>
        <w:spacing w:line="400" w:lineRule="exact"/>
        <w:rPr>
          <w:rFonts w:ascii="宋体" w:hAnsi="宋体"/>
          <w:szCs w:val="21"/>
        </w:rPr>
      </w:pPr>
      <w:r>
        <w:rPr>
          <w:rFonts w:hint="eastAsia"/>
          <w:szCs w:val="21"/>
        </w:rPr>
        <w:t>如对本表中某种情形的</w:t>
      </w:r>
      <w:r>
        <w:rPr>
          <w:rFonts w:hint="eastAsia" w:ascii="宋体" w:hAnsi="宋体"/>
          <w:szCs w:val="21"/>
        </w:rPr>
        <w:t>评委意见不一致时，</w:t>
      </w:r>
      <w:r>
        <w:rPr>
          <w:rFonts w:hint="eastAsia"/>
          <w:szCs w:val="21"/>
        </w:rPr>
        <w:t>以评标委员会过半数成员的意见作为评标委员会对该情形的认定结论。</w:t>
      </w:r>
    </w:p>
    <w:p>
      <w:pPr>
        <w:spacing w:line="400" w:lineRule="exact"/>
        <w:ind w:left="420"/>
        <w:rPr>
          <w:rFonts w:ascii="宋体" w:hAnsi="宋体"/>
          <w:bCs/>
          <w:szCs w:val="21"/>
        </w:rPr>
      </w:pPr>
      <w:r>
        <w:rPr>
          <w:rFonts w:hint="eastAsia" w:ascii="宋体" w:hAnsi="宋体"/>
          <w:bCs/>
          <w:szCs w:val="21"/>
        </w:rPr>
        <w:t xml:space="preserve">评委签名：                                                                                </w:t>
      </w:r>
    </w:p>
    <w:p>
      <w:pPr>
        <w:spacing w:line="400" w:lineRule="exact"/>
        <w:ind w:left="420"/>
        <w:rPr>
          <w:rFonts w:ascii="宋体" w:hAnsi="宋体"/>
          <w:szCs w:val="21"/>
        </w:rPr>
      </w:pPr>
      <w:r>
        <w:rPr>
          <w:rFonts w:hint="eastAsia" w:ascii="宋体" w:hAnsi="宋体"/>
          <w:bCs/>
          <w:szCs w:val="21"/>
        </w:rPr>
        <w:t>日 期：</w:t>
      </w:r>
      <w:r>
        <w:rPr>
          <w:rFonts w:hint="eastAsia" w:ascii="宋体" w:hAnsi="宋体"/>
          <w:szCs w:val="21"/>
        </w:rPr>
        <w:t xml:space="preserve">    年   月   日</w:t>
      </w:r>
    </w:p>
    <w:p>
      <w:pPr>
        <w:spacing w:line="360" w:lineRule="auto"/>
        <w:rPr>
          <w:rFonts w:ascii="等线" w:hAnsi="等线" w:cs="宋体"/>
          <w:sz w:val="24"/>
        </w:rPr>
      </w:pPr>
      <w:r>
        <w:rPr>
          <w:sz w:val="28"/>
          <w:szCs w:val="28"/>
        </w:rPr>
        <w:br w:type="page"/>
      </w:r>
      <w:r>
        <w:rPr>
          <w:rFonts w:hint="eastAsia" w:ascii="宋体" w:hAnsi="宋体"/>
          <w:sz w:val="32"/>
          <w:szCs w:val="32"/>
        </w:rPr>
        <w:t>附件</w:t>
      </w:r>
      <w:r>
        <w:rPr>
          <w:rFonts w:ascii="宋体" w:hAnsi="宋体"/>
          <w:sz w:val="32"/>
          <w:szCs w:val="32"/>
        </w:rPr>
        <w:t>7</w:t>
      </w:r>
      <w:r>
        <w:rPr>
          <w:rFonts w:hint="eastAsia" w:ascii="宋体" w:hAnsi="宋体"/>
          <w:sz w:val="32"/>
          <w:szCs w:val="32"/>
        </w:rPr>
        <w:t>、</w:t>
      </w:r>
      <w:r>
        <w:rPr>
          <w:rFonts w:hint="eastAsia" w:ascii="宋体" w:hAnsi="宋体"/>
          <w:sz w:val="32"/>
          <w:szCs w:val="32"/>
        </w:rPr>
        <w:tab/>
      </w:r>
    </w:p>
    <w:p>
      <w:pPr>
        <w:spacing w:line="360" w:lineRule="auto"/>
        <w:jc w:val="center"/>
        <w:rPr>
          <w:rFonts w:ascii="等线" w:hAnsi="等线" w:cs="宋体"/>
          <w:b/>
          <w:sz w:val="30"/>
          <w:szCs w:val="30"/>
        </w:rPr>
      </w:pPr>
      <w:r>
        <w:rPr>
          <w:rFonts w:hint="eastAsia" w:ascii="等线" w:hAnsi="等线" w:cs="宋体"/>
          <w:b/>
          <w:sz w:val="30"/>
          <w:szCs w:val="30"/>
        </w:rPr>
        <w:t>公开竞选供应商信用评价</w:t>
      </w:r>
    </w:p>
    <w:p>
      <w:pPr>
        <w:spacing w:line="360" w:lineRule="auto"/>
        <w:rPr>
          <w:rFonts w:ascii="等线" w:hAnsi="等线" w:cs="宋体"/>
          <w:sz w:val="24"/>
        </w:rPr>
      </w:pPr>
    </w:p>
    <w:p>
      <w:pPr>
        <w:spacing w:line="360" w:lineRule="auto"/>
        <w:ind w:firstLine="480" w:firstLineChars="200"/>
        <w:rPr>
          <w:rFonts w:ascii="等线" w:hAnsi="等线" w:cs="宋体"/>
          <w:sz w:val="24"/>
        </w:rPr>
      </w:pPr>
      <w:r>
        <w:rPr>
          <w:rFonts w:hint="eastAsia" w:ascii="等线" w:hAnsi="等线" w:cs="宋体"/>
          <w:sz w:val="24"/>
        </w:rPr>
        <w:t>一.、</w:t>
      </w:r>
      <w:r>
        <w:rPr>
          <w:rFonts w:hint="eastAsia" w:ascii="等线" w:hAnsi="等线" w:cs="宋体"/>
          <w:b/>
          <w:sz w:val="24"/>
        </w:rPr>
        <w:t>信用评价</w:t>
      </w:r>
      <w:r>
        <w:rPr>
          <w:rFonts w:hint="eastAsia" w:ascii="等线" w:hAnsi="等线" w:cs="宋体"/>
          <w:sz w:val="24"/>
        </w:rPr>
        <w:t>，是指采购人对参加公开竞选采购的供应商的诚信度和履约进行鉴别和打分。</w:t>
      </w:r>
    </w:p>
    <w:p>
      <w:pPr>
        <w:spacing w:line="360" w:lineRule="auto"/>
        <w:ind w:firstLine="480" w:firstLineChars="200"/>
        <w:rPr>
          <w:rFonts w:ascii="等线" w:hAnsi="等线" w:cs="宋体"/>
          <w:sz w:val="24"/>
        </w:rPr>
      </w:pPr>
      <w:r>
        <w:rPr>
          <w:rFonts w:hint="eastAsia" w:ascii="等线" w:hAnsi="等线" w:cs="宋体"/>
          <w:sz w:val="24"/>
        </w:rPr>
        <w:t>二</w:t>
      </w:r>
      <w:r>
        <w:rPr>
          <w:rFonts w:ascii="等线" w:hAnsi="等线" w:cs="宋体"/>
          <w:sz w:val="24"/>
        </w:rPr>
        <w:t>.、</w:t>
      </w:r>
      <w:r>
        <w:rPr>
          <w:rFonts w:hint="eastAsia" w:ascii="等线" w:hAnsi="等线" w:cs="宋体"/>
          <w:b/>
          <w:sz w:val="24"/>
        </w:rPr>
        <w:t>供应商信用评价内容</w:t>
      </w:r>
    </w:p>
    <w:p>
      <w:pPr>
        <w:spacing w:line="360" w:lineRule="auto"/>
        <w:ind w:firstLine="480" w:firstLineChars="200"/>
        <w:rPr>
          <w:rFonts w:ascii="等线" w:hAnsi="等线" w:cs="宋体"/>
          <w:sz w:val="24"/>
        </w:rPr>
      </w:pPr>
      <w:r>
        <w:rPr>
          <w:rFonts w:hint="eastAsia" w:ascii="等线" w:hAnsi="等线" w:cs="宋体"/>
          <w:sz w:val="24"/>
        </w:rPr>
        <w:t>供应商信用综合评价根据《供应商信用指标和评价标准》（附件</w:t>
      </w:r>
      <w:r>
        <w:rPr>
          <w:rFonts w:ascii="等线" w:hAnsi="等线" w:cs="宋体"/>
          <w:sz w:val="24"/>
        </w:rPr>
        <w:t>8</w:t>
      </w:r>
      <w:r>
        <w:rPr>
          <w:rFonts w:hint="eastAsia" w:ascii="等线" w:hAnsi="等线" w:cs="宋体"/>
          <w:sz w:val="24"/>
        </w:rPr>
        <w:t>）进行评价。信用综合评价内容为评价年度周期内供应商的信用表现，包括良好行为和不良行为两个方面。</w:t>
      </w:r>
    </w:p>
    <w:p>
      <w:pPr>
        <w:spacing w:line="360" w:lineRule="auto"/>
        <w:ind w:firstLine="482" w:firstLineChars="200"/>
        <w:rPr>
          <w:rFonts w:ascii="等线" w:hAnsi="等线" w:cs="宋体"/>
          <w:b/>
          <w:sz w:val="24"/>
        </w:rPr>
      </w:pPr>
      <w:r>
        <w:rPr>
          <w:rFonts w:hint="eastAsia" w:ascii="等线" w:hAnsi="等线" w:cs="宋体"/>
          <w:b/>
          <w:sz w:val="24"/>
        </w:rPr>
        <w:t>三、评价结果应用</w:t>
      </w:r>
    </w:p>
    <w:p>
      <w:pPr>
        <w:spacing w:line="360" w:lineRule="auto"/>
        <w:ind w:firstLine="480" w:firstLineChars="200"/>
        <w:rPr>
          <w:rFonts w:ascii="等线" w:hAnsi="等线" w:cs="宋体"/>
          <w:bCs/>
          <w:sz w:val="24"/>
        </w:rPr>
      </w:pPr>
      <w:r>
        <w:rPr>
          <w:rFonts w:hint="eastAsia" w:ascii="等线" w:hAnsi="等线" w:cs="宋体"/>
          <w:bCs/>
          <w:sz w:val="24"/>
        </w:rPr>
        <w:t>（一）公开竞选采购项目可在各评标办法中应用供应商信用评价评标。</w:t>
      </w:r>
    </w:p>
    <w:p>
      <w:pPr>
        <w:spacing w:line="360" w:lineRule="auto"/>
        <w:ind w:firstLine="480" w:firstLineChars="200"/>
        <w:rPr>
          <w:rFonts w:ascii="等线" w:hAnsi="等线" w:cs="宋体"/>
          <w:bCs/>
          <w:sz w:val="24"/>
        </w:rPr>
      </w:pPr>
      <w:r>
        <w:rPr>
          <w:rFonts w:hint="eastAsia" w:ascii="等线" w:hAnsi="等线" w:cs="宋体"/>
          <w:bCs/>
          <w:sz w:val="24"/>
        </w:rPr>
        <w:t>（二）采用经评审的最低价投标法评标的，在推荐中标候选人时，应对通过资格和有效性评审的投标人按照评标价进行排序，即：评标价＝有效报价×(1－信用系数），信用系数计取方法见附件1，供应商第一次参与投标的，信用系数按0计算。当出现二个或二个以上投标人的评标价的取值相同时，由评委会随机抽取确定。</w:t>
      </w:r>
    </w:p>
    <w:p>
      <w:pPr>
        <w:spacing w:line="360" w:lineRule="auto"/>
        <w:ind w:firstLine="480" w:firstLineChars="200"/>
        <w:rPr>
          <w:rFonts w:ascii="等线" w:hAnsi="等线" w:cs="宋体"/>
          <w:bCs/>
          <w:sz w:val="24"/>
        </w:rPr>
      </w:pPr>
      <w:r>
        <w:rPr>
          <w:rFonts w:hint="eastAsia" w:ascii="等线" w:hAnsi="等线" w:cs="宋体"/>
          <w:bCs/>
          <w:sz w:val="24"/>
        </w:rPr>
        <w:t>（三）综合评分法</w:t>
      </w:r>
    </w:p>
    <w:p>
      <w:pPr>
        <w:spacing w:line="360" w:lineRule="auto"/>
        <w:ind w:firstLine="480" w:firstLineChars="200"/>
        <w:rPr>
          <w:rFonts w:ascii="等线" w:hAnsi="等线" w:cs="宋体"/>
          <w:bCs/>
          <w:sz w:val="24"/>
        </w:rPr>
      </w:pPr>
      <w:r>
        <w:rPr>
          <w:rFonts w:hint="eastAsia" w:ascii="等线" w:hAnsi="等线" w:cs="宋体"/>
          <w:bCs/>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pPr>
        <w:spacing w:line="360" w:lineRule="auto"/>
        <w:ind w:firstLine="480" w:firstLineChars="200"/>
        <w:rPr>
          <w:rFonts w:ascii="等线" w:hAnsi="等线" w:cs="宋体"/>
          <w:bCs/>
          <w:sz w:val="24"/>
        </w:rPr>
      </w:pPr>
      <w:r>
        <w:rPr>
          <w:rFonts w:hint="eastAsia" w:ascii="等线" w:hAnsi="等线" w:cs="宋体"/>
          <w:bCs/>
          <w:sz w:val="24"/>
        </w:rPr>
        <w:t>2、当出现二个或二个以上投标人的总得分相同时，由评委会随机抽取确定。</w:t>
      </w:r>
    </w:p>
    <w:p>
      <w:pPr>
        <w:spacing w:line="360" w:lineRule="auto"/>
        <w:ind w:left="482"/>
        <w:rPr>
          <w:rFonts w:ascii="等线" w:hAnsi="等线" w:cs="宋体"/>
          <w:b/>
          <w:sz w:val="24"/>
        </w:rPr>
      </w:pPr>
      <w:r>
        <w:rPr>
          <w:rFonts w:hint="eastAsia" w:ascii="等线" w:hAnsi="等线" w:cs="宋体"/>
          <w:b/>
          <w:sz w:val="24"/>
        </w:rPr>
        <w:t>四、违约处理</w:t>
      </w:r>
    </w:p>
    <w:p>
      <w:pPr>
        <w:spacing w:line="360" w:lineRule="auto"/>
        <w:ind w:firstLine="480" w:firstLineChars="200"/>
        <w:rPr>
          <w:rFonts w:ascii="等线" w:hAnsi="等线" w:cs="宋体"/>
          <w:sz w:val="24"/>
        </w:rPr>
      </w:pPr>
      <w:r>
        <w:rPr>
          <w:rFonts w:hint="eastAsia" w:ascii="等线" w:hAnsi="等线" w:cs="宋体"/>
          <w:sz w:val="24"/>
        </w:rPr>
        <w:t>（一）</w:t>
      </w:r>
      <w:r>
        <w:rPr>
          <w:rFonts w:hint="eastAsia" w:ascii="等线" w:hAnsi="等线" w:cs="宋体"/>
          <w:sz w:val="24"/>
        </w:rPr>
        <w:tab/>
      </w:r>
      <w:r>
        <w:rPr>
          <w:rFonts w:hint="eastAsia" w:ascii="等线" w:hAnsi="等线" w:cs="宋体"/>
          <w:sz w:val="24"/>
        </w:rPr>
        <w:t>排序第1位的供应商出现以下情形的，将暂停其公开竞选资格6个月：中标、确定为合同供方/承包人后，无正当理由拒绝履行合同和有关承诺的，或擅自变更、中止（终止）合同的。</w:t>
      </w:r>
    </w:p>
    <w:p>
      <w:pPr>
        <w:spacing w:line="360" w:lineRule="auto"/>
        <w:ind w:firstLine="480" w:firstLineChars="200"/>
        <w:rPr>
          <w:rFonts w:ascii="等线" w:hAnsi="等线" w:cs="宋体"/>
          <w:sz w:val="24"/>
        </w:rPr>
      </w:pPr>
      <w:r>
        <w:rPr>
          <w:rFonts w:hint="eastAsia" w:ascii="等线" w:hAnsi="等线" w:cs="宋体"/>
          <w:sz w:val="24"/>
        </w:rPr>
        <w:t>（二）供应商出现下列情形之一的，采购人有权暂停其公开竞选资格1年：</w:t>
      </w:r>
    </w:p>
    <w:p>
      <w:pPr>
        <w:spacing w:line="360" w:lineRule="auto"/>
        <w:ind w:firstLine="480" w:firstLineChars="200"/>
        <w:rPr>
          <w:rFonts w:ascii="等线" w:hAnsi="等线" w:cs="宋体"/>
          <w:sz w:val="24"/>
        </w:rPr>
      </w:pPr>
      <w:r>
        <w:rPr>
          <w:rFonts w:hint="eastAsia" w:ascii="等线" w:hAnsi="等线" w:cs="宋体"/>
          <w:sz w:val="24"/>
        </w:rPr>
        <w:t>1、实际提供的有关产品性能指标或技术服务能力或施工质量明显低于报价响应时承诺的；</w:t>
      </w:r>
    </w:p>
    <w:p>
      <w:pPr>
        <w:spacing w:line="360" w:lineRule="auto"/>
        <w:ind w:firstLine="480" w:firstLineChars="200"/>
        <w:rPr>
          <w:rFonts w:ascii="等线" w:hAnsi="等线" w:cs="宋体"/>
          <w:sz w:val="24"/>
        </w:rPr>
      </w:pPr>
      <w:r>
        <w:rPr>
          <w:rFonts w:hint="eastAsia" w:ascii="等线" w:hAnsi="等线" w:cs="宋体"/>
          <w:sz w:val="24"/>
        </w:rPr>
        <w:t>3、一年内供应商在采购项目中累计履约评价为不合格2次的；</w:t>
      </w:r>
    </w:p>
    <w:p>
      <w:pPr>
        <w:spacing w:line="360" w:lineRule="auto"/>
        <w:ind w:firstLine="480" w:firstLineChars="200"/>
        <w:rPr>
          <w:rFonts w:ascii="等线" w:hAnsi="等线" w:cs="宋体"/>
          <w:sz w:val="24"/>
        </w:rPr>
      </w:pPr>
      <w:r>
        <w:rPr>
          <w:rFonts w:hint="eastAsia" w:ascii="等线" w:hAnsi="等线" w:cs="宋体"/>
          <w:sz w:val="24"/>
        </w:rPr>
        <w:t>3、供应商提供虚假材料或与其它供应商恶意串通谋取成交的；</w:t>
      </w:r>
    </w:p>
    <w:p>
      <w:pPr>
        <w:spacing w:line="360" w:lineRule="auto"/>
        <w:ind w:firstLine="480" w:firstLineChars="200"/>
        <w:rPr>
          <w:rFonts w:ascii="等线" w:hAnsi="等线" w:cs="宋体"/>
          <w:sz w:val="24"/>
        </w:rPr>
      </w:pPr>
      <w:r>
        <w:rPr>
          <w:rFonts w:hint="eastAsia" w:ascii="等线" w:hAnsi="等线" w:cs="宋体"/>
          <w:sz w:val="24"/>
        </w:rPr>
        <w:t>4、发生其他违规或违约情况，造成严重损害的；</w:t>
      </w:r>
    </w:p>
    <w:p>
      <w:pPr>
        <w:spacing w:line="360" w:lineRule="auto"/>
        <w:ind w:firstLine="480" w:firstLineChars="200"/>
        <w:rPr>
          <w:rFonts w:ascii="等线" w:hAnsi="等线" w:cs="宋体"/>
          <w:sz w:val="24"/>
        </w:rPr>
      </w:pPr>
      <w:r>
        <w:rPr>
          <w:rFonts w:hint="eastAsia" w:ascii="等线" w:hAnsi="等线" w:cs="宋体"/>
          <w:sz w:val="24"/>
        </w:rPr>
        <w:t>5、其它经采购人认定的。</w:t>
      </w:r>
    </w:p>
    <w:p>
      <w:pPr>
        <w:spacing w:line="360" w:lineRule="auto"/>
        <w:rPr>
          <w:rFonts w:ascii="等线" w:hAnsi="等线" w:cs="宋体"/>
          <w:sz w:val="24"/>
        </w:rPr>
      </w:pPr>
      <w:r>
        <w:rPr>
          <w:rFonts w:ascii="等线" w:hAnsi="等线" w:cs="宋体"/>
          <w:sz w:val="24"/>
        </w:rPr>
        <w:br w:type="page"/>
      </w:r>
    </w:p>
    <w:p>
      <w:pPr>
        <w:spacing w:line="360" w:lineRule="auto"/>
        <w:rPr>
          <w:rFonts w:ascii="宋体" w:hAnsi="宋体"/>
          <w:sz w:val="32"/>
          <w:szCs w:val="32"/>
        </w:rPr>
      </w:pPr>
      <w:r>
        <w:rPr>
          <w:rFonts w:hint="eastAsia" w:ascii="宋体" w:hAnsi="宋体"/>
          <w:sz w:val="32"/>
          <w:szCs w:val="32"/>
        </w:rPr>
        <w:t>附件</w:t>
      </w:r>
      <w:r>
        <w:rPr>
          <w:rFonts w:ascii="宋体" w:hAnsi="宋体"/>
          <w:sz w:val="32"/>
          <w:szCs w:val="32"/>
        </w:rPr>
        <w:t>8</w:t>
      </w:r>
    </w:p>
    <w:p>
      <w:pPr>
        <w:jc w:val="center"/>
        <w:rPr>
          <w:rFonts w:ascii="宋体" w:hAnsi="宋体" w:cs="宋体"/>
          <w:b/>
          <w:bCs/>
          <w:sz w:val="30"/>
          <w:szCs w:val="30"/>
        </w:rPr>
      </w:pPr>
      <w:r>
        <w:rPr>
          <w:rFonts w:ascii="宋体" w:hAnsi="宋体" w:cs="宋体"/>
          <w:b/>
          <w:bCs/>
          <w:sz w:val="30"/>
          <w:szCs w:val="30"/>
        </w:rPr>
        <w:t>供应商信用指标及评价标准</w:t>
      </w:r>
    </w:p>
    <w:tbl>
      <w:tblPr>
        <w:tblStyle w:val="9"/>
        <w:tblW w:w="92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4175"/>
        <w:gridCol w:w="3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246" w:type="dxa"/>
            <w:vAlign w:val="center"/>
          </w:tcPr>
          <w:p>
            <w:pPr>
              <w:pStyle w:val="16"/>
              <w:widowControl w:val="0"/>
              <w:jc w:val="center"/>
              <w:rPr>
                <w:rFonts w:ascii="宋体" w:hAnsi="宋体" w:eastAsia="宋体" w:cs="宋体"/>
                <w:color w:val="000000"/>
                <w:sz w:val="21"/>
                <w:szCs w:val="21"/>
              </w:rPr>
            </w:pPr>
            <w:r>
              <w:rPr>
                <w:rFonts w:hint="eastAsia" w:ascii="宋体" w:hAnsi="宋体" w:eastAsia="宋体" w:cs="宋体"/>
                <w:color w:val="000000"/>
                <w:sz w:val="21"/>
                <w:szCs w:val="21"/>
              </w:rPr>
              <w:t>项目</w:t>
            </w:r>
          </w:p>
        </w:tc>
        <w:tc>
          <w:tcPr>
            <w:tcW w:w="4175" w:type="dxa"/>
            <w:vAlign w:val="center"/>
          </w:tcPr>
          <w:p>
            <w:pPr>
              <w:pStyle w:val="16"/>
              <w:widowControl w:val="0"/>
              <w:jc w:val="center"/>
              <w:rPr>
                <w:rFonts w:ascii="宋体" w:hAnsi="宋体" w:eastAsia="宋体" w:cs="宋体"/>
                <w:color w:val="000000"/>
                <w:sz w:val="21"/>
                <w:szCs w:val="21"/>
              </w:rPr>
            </w:pPr>
            <w:r>
              <w:rPr>
                <w:rFonts w:hint="eastAsia" w:ascii="宋体" w:hAnsi="宋体" w:eastAsia="宋体" w:cs="宋体"/>
                <w:color w:val="000000"/>
                <w:sz w:val="21"/>
                <w:szCs w:val="21"/>
              </w:rPr>
              <w:t>子项</w:t>
            </w:r>
          </w:p>
        </w:tc>
        <w:tc>
          <w:tcPr>
            <w:tcW w:w="3812" w:type="dxa"/>
            <w:vAlign w:val="center"/>
          </w:tcPr>
          <w:p>
            <w:pPr>
              <w:pStyle w:val="16"/>
              <w:widowControl w:val="0"/>
              <w:jc w:val="center"/>
              <w:rPr>
                <w:rFonts w:ascii="宋体" w:hAnsi="宋体" w:eastAsia="宋体" w:cs="宋体"/>
                <w:color w:val="000000"/>
                <w:sz w:val="21"/>
                <w:szCs w:val="21"/>
              </w:rPr>
            </w:pPr>
            <w:r>
              <w:rPr>
                <w:rFonts w:hint="eastAsia" w:ascii="宋体" w:hAnsi="宋体" w:eastAsia="宋体" w:cs="宋体"/>
                <w:color w:val="000000"/>
                <w:sz w:val="21"/>
                <w:szCs w:val="21"/>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246" w:type="dxa"/>
            <w:shd w:val="clear" w:color="auto" w:fill="auto"/>
            <w:vAlign w:val="center"/>
          </w:tcPr>
          <w:p>
            <w:pPr>
              <w:pStyle w:val="16"/>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良好行为</w:t>
            </w:r>
          </w:p>
        </w:tc>
        <w:tc>
          <w:tcPr>
            <w:tcW w:w="4175" w:type="dxa"/>
            <w:shd w:val="clear" w:color="auto" w:fill="auto"/>
            <w:vAlign w:val="center"/>
          </w:tcPr>
          <w:p>
            <w:pPr>
              <w:widowControl/>
              <w:spacing w:line="260" w:lineRule="exact"/>
              <w:rPr>
                <w:szCs w:val="21"/>
              </w:rPr>
            </w:pPr>
            <w:r>
              <w:rPr>
                <w:szCs w:val="21"/>
              </w:rPr>
              <w:t>供应商按约定履行合同受到奖励的</w:t>
            </w:r>
          </w:p>
        </w:tc>
        <w:tc>
          <w:tcPr>
            <w:tcW w:w="3812" w:type="dxa"/>
            <w:shd w:val="clear" w:color="auto" w:fill="auto"/>
            <w:vAlign w:val="center"/>
          </w:tcPr>
          <w:p>
            <w:pPr>
              <w:widowControl/>
              <w:spacing w:line="260" w:lineRule="exact"/>
              <w:rPr>
                <w:rFonts w:ascii="宋体" w:hAnsi="宋体" w:cs="宋体"/>
                <w:color w:val="000000"/>
                <w:szCs w:val="21"/>
              </w:rPr>
            </w:pPr>
            <w:r>
              <w:rPr>
                <w:rFonts w:ascii="宋体" w:hAnsi="宋体" w:cs="宋体"/>
                <w:color w:val="000000"/>
                <w:szCs w:val="21"/>
              </w:rPr>
              <w:t>每发生1次，自认定之日起一年内信用系数加2%，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jc w:val="center"/>
        </w:trPr>
        <w:tc>
          <w:tcPr>
            <w:tcW w:w="1246" w:type="dxa"/>
            <w:vMerge w:val="restart"/>
            <w:vAlign w:val="center"/>
          </w:tcPr>
          <w:p>
            <w:pPr>
              <w:pStyle w:val="16"/>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不良行为</w:t>
            </w:r>
          </w:p>
        </w:tc>
        <w:tc>
          <w:tcPr>
            <w:tcW w:w="4175" w:type="dxa"/>
            <w:vAlign w:val="center"/>
          </w:tcPr>
          <w:p>
            <w:pPr>
              <w:pStyle w:val="16"/>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供应商提供虚假材料或与其它供应商恶意串通谋取中标、成交的；</w:t>
            </w:r>
          </w:p>
        </w:tc>
        <w:tc>
          <w:tcPr>
            <w:tcW w:w="3812" w:type="dxa"/>
            <w:vMerge w:val="restart"/>
            <w:vAlign w:val="center"/>
          </w:tcPr>
          <w:p>
            <w:pPr>
              <w:pStyle w:val="16"/>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严重不良行为，每发生1次，自认定之日起一年内信用系数扣5%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jc w:val="center"/>
        </w:trPr>
        <w:tc>
          <w:tcPr>
            <w:tcW w:w="1246" w:type="dxa"/>
            <w:vMerge w:val="continue"/>
            <w:vAlign w:val="center"/>
          </w:tcPr>
          <w:p>
            <w:pPr>
              <w:pStyle w:val="16"/>
              <w:widowControl w:val="0"/>
              <w:jc w:val="both"/>
              <w:rPr>
                <w:rFonts w:ascii="宋体" w:hAnsi="宋体" w:eastAsia="宋体" w:cs="宋体"/>
                <w:color w:val="000000"/>
                <w:sz w:val="21"/>
                <w:szCs w:val="21"/>
              </w:rPr>
            </w:pPr>
          </w:p>
        </w:tc>
        <w:tc>
          <w:tcPr>
            <w:tcW w:w="4175" w:type="dxa"/>
            <w:vAlign w:val="center"/>
          </w:tcPr>
          <w:p>
            <w:pPr>
              <w:pStyle w:val="16"/>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中标、确定为合同供方/承包人后，无正当理由拒绝履行合同和有关承诺的，或擅自变更、中止（终止）合同的；</w:t>
            </w:r>
          </w:p>
        </w:tc>
        <w:tc>
          <w:tcPr>
            <w:tcW w:w="3812" w:type="dxa"/>
            <w:vMerge w:val="continue"/>
            <w:vAlign w:val="center"/>
          </w:tcPr>
          <w:p>
            <w:pPr>
              <w:pStyle w:val="16"/>
              <w:widowControl w:val="0"/>
              <w:jc w:val="both"/>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jc w:val="center"/>
        </w:trPr>
        <w:tc>
          <w:tcPr>
            <w:tcW w:w="1246" w:type="dxa"/>
            <w:vMerge w:val="continue"/>
            <w:vAlign w:val="center"/>
          </w:tcPr>
          <w:p>
            <w:pPr>
              <w:pStyle w:val="16"/>
              <w:widowControl w:val="0"/>
              <w:jc w:val="both"/>
              <w:rPr>
                <w:rFonts w:ascii="宋体" w:hAnsi="宋体" w:eastAsia="宋体" w:cs="宋体"/>
                <w:color w:val="000000"/>
                <w:sz w:val="21"/>
                <w:szCs w:val="21"/>
              </w:rPr>
            </w:pPr>
          </w:p>
        </w:tc>
        <w:tc>
          <w:tcPr>
            <w:tcW w:w="4175" w:type="dxa"/>
            <w:vAlign w:val="center"/>
          </w:tcPr>
          <w:p>
            <w:pPr>
              <w:pStyle w:val="16"/>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实际提供的有关产品性能指标和技术服务能力、施工质量明显低于采购响应文件或竞选时的承诺的；</w:t>
            </w:r>
          </w:p>
        </w:tc>
        <w:tc>
          <w:tcPr>
            <w:tcW w:w="3812" w:type="dxa"/>
            <w:vMerge w:val="continue"/>
            <w:vAlign w:val="center"/>
          </w:tcPr>
          <w:p>
            <w:pPr>
              <w:pStyle w:val="16"/>
              <w:widowControl w:val="0"/>
              <w:jc w:val="both"/>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jc w:val="center"/>
        </w:trPr>
        <w:tc>
          <w:tcPr>
            <w:tcW w:w="1246" w:type="dxa"/>
            <w:vMerge w:val="continue"/>
            <w:vAlign w:val="center"/>
          </w:tcPr>
          <w:p>
            <w:pPr>
              <w:pStyle w:val="16"/>
              <w:widowControl w:val="0"/>
              <w:jc w:val="both"/>
              <w:rPr>
                <w:rFonts w:ascii="宋体" w:hAnsi="宋体" w:eastAsia="宋体" w:cs="宋体"/>
                <w:color w:val="000000"/>
                <w:sz w:val="21"/>
                <w:szCs w:val="21"/>
              </w:rPr>
            </w:pPr>
          </w:p>
        </w:tc>
        <w:tc>
          <w:tcPr>
            <w:tcW w:w="4175" w:type="dxa"/>
            <w:vAlign w:val="center"/>
          </w:tcPr>
          <w:p>
            <w:pPr>
              <w:pStyle w:val="16"/>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中标、成交后，将合同转包给其他供应商的；</w:t>
            </w:r>
          </w:p>
        </w:tc>
        <w:tc>
          <w:tcPr>
            <w:tcW w:w="3812" w:type="dxa"/>
            <w:vMerge w:val="continue"/>
            <w:vAlign w:val="center"/>
          </w:tcPr>
          <w:p>
            <w:pPr>
              <w:pStyle w:val="16"/>
              <w:widowControl w:val="0"/>
              <w:jc w:val="both"/>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1246" w:type="dxa"/>
            <w:vMerge w:val="continue"/>
            <w:vAlign w:val="center"/>
          </w:tcPr>
          <w:p>
            <w:pPr>
              <w:pStyle w:val="16"/>
              <w:widowControl w:val="0"/>
              <w:jc w:val="both"/>
              <w:rPr>
                <w:rFonts w:ascii="宋体" w:hAnsi="宋体" w:eastAsia="宋体" w:cs="宋体"/>
                <w:color w:val="000000"/>
                <w:sz w:val="21"/>
                <w:szCs w:val="21"/>
              </w:rPr>
            </w:pPr>
          </w:p>
        </w:tc>
        <w:tc>
          <w:tcPr>
            <w:tcW w:w="4175" w:type="dxa"/>
            <w:vAlign w:val="center"/>
          </w:tcPr>
          <w:p>
            <w:pPr>
              <w:pStyle w:val="16"/>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中标、成交后，将合同擅自分包给其他供应商的；</w:t>
            </w:r>
          </w:p>
        </w:tc>
        <w:tc>
          <w:tcPr>
            <w:tcW w:w="3812" w:type="dxa"/>
            <w:vAlign w:val="center"/>
          </w:tcPr>
          <w:p>
            <w:pPr>
              <w:pStyle w:val="16"/>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一般不良行为，每发生1次，自认定之日起一年内信用系数扣2%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1246" w:type="dxa"/>
            <w:vMerge w:val="continue"/>
            <w:vAlign w:val="center"/>
          </w:tcPr>
          <w:p>
            <w:pPr>
              <w:pStyle w:val="16"/>
              <w:widowControl w:val="0"/>
              <w:jc w:val="both"/>
              <w:rPr>
                <w:rFonts w:ascii="宋体" w:hAnsi="宋体" w:eastAsia="宋体" w:cs="宋体"/>
                <w:color w:val="000000"/>
                <w:sz w:val="21"/>
                <w:szCs w:val="21"/>
              </w:rPr>
            </w:pPr>
          </w:p>
        </w:tc>
        <w:tc>
          <w:tcPr>
            <w:tcW w:w="4175" w:type="dxa"/>
            <w:vAlign w:val="center"/>
          </w:tcPr>
          <w:p>
            <w:pPr>
              <w:pStyle w:val="16"/>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开标后擅自撤回采购相应文件，影响采购活动继续进行的；</w:t>
            </w:r>
          </w:p>
        </w:tc>
        <w:tc>
          <w:tcPr>
            <w:tcW w:w="3812" w:type="dxa"/>
            <w:vMerge w:val="restart"/>
            <w:vAlign w:val="center"/>
          </w:tcPr>
          <w:p>
            <w:pPr>
              <w:pStyle w:val="16"/>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轻微不良行为，每发生1次，自认定之日起一年内信用系数扣1.25%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1246" w:type="dxa"/>
            <w:vMerge w:val="continue"/>
            <w:vAlign w:val="center"/>
          </w:tcPr>
          <w:p>
            <w:pPr>
              <w:pStyle w:val="16"/>
              <w:widowControl w:val="0"/>
              <w:jc w:val="both"/>
              <w:rPr>
                <w:rFonts w:ascii="宋体" w:hAnsi="宋体" w:eastAsia="宋体" w:cs="宋体"/>
                <w:color w:val="000000"/>
                <w:sz w:val="21"/>
                <w:szCs w:val="21"/>
              </w:rPr>
            </w:pPr>
          </w:p>
        </w:tc>
        <w:tc>
          <w:tcPr>
            <w:tcW w:w="4175" w:type="dxa"/>
            <w:vAlign w:val="center"/>
          </w:tcPr>
          <w:p>
            <w:pPr>
              <w:pStyle w:val="16"/>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供应商因未按约定履行合同受到违约处罚的。</w:t>
            </w:r>
          </w:p>
        </w:tc>
        <w:tc>
          <w:tcPr>
            <w:tcW w:w="3812" w:type="dxa"/>
            <w:vMerge w:val="continue"/>
            <w:vAlign w:val="center"/>
          </w:tcPr>
          <w:p>
            <w:pPr>
              <w:pStyle w:val="16"/>
              <w:widowControl w:val="0"/>
              <w:jc w:val="both"/>
              <w:rPr>
                <w:rFonts w:ascii="宋体" w:hAnsi="宋体" w:eastAsia="宋体" w:cs="宋体"/>
                <w:color w:val="000000"/>
                <w:sz w:val="21"/>
                <w:szCs w:val="21"/>
              </w:rPr>
            </w:pPr>
          </w:p>
        </w:tc>
      </w:tr>
    </w:tbl>
    <w:p>
      <w:pPr>
        <w:widowControl/>
        <w:rPr>
          <w:rFonts w:ascii="宋体" w:hAnsi="宋体" w:cs="宋体"/>
        </w:rPr>
      </w:pPr>
    </w:p>
    <w:p>
      <w:pPr>
        <w:spacing w:line="360" w:lineRule="auto"/>
        <w:rPr>
          <w:rFonts w:ascii="宋体" w:hAnsi="宋体" w:cs="宋体"/>
        </w:rPr>
      </w:pPr>
      <w:r>
        <w:rPr>
          <w:rFonts w:ascii="宋体" w:hAnsi="宋体" w:cs="宋体"/>
        </w:rPr>
        <w:t>备注：</w:t>
      </w:r>
    </w:p>
    <w:p>
      <w:pPr>
        <w:numPr>
          <w:ilvl w:val="0"/>
          <w:numId w:val="9"/>
        </w:numPr>
        <w:spacing w:line="360" w:lineRule="auto"/>
        <w:rPr>
          <w:rFonts w:ascii="宋体" w:hAnsi="宋体" w:cs="宋体"/>
        </w:rPr>
      </w:pPr>
      <w:r>
        <w:rPr>
          <w:rFonts w:ascii="宋体" w:hAnsi="宋体" w:cs="宋体"/>
        </w:rPr>
        <w:t>供应商信用系数每个评价年度周期的初评按0计算。</w:t>
      </w:r>
    </w:p>
    <w:p>
      <w:pPr>
        <w:numPr>
          <w:ilvl w:val="0"/>
          <w:numId w:val="9"/>
        </w:numPr>
        <w:spacing w:line="360" w:lineRule="auto"/>
        <w:rPr>
          <w:rFonts w:ascii="宋体" w:hAnsi="宋体" w:cs="宋体"/>
          <w:color w:val="000000"/>
          <w:szCs w:val="21"/>
        </w:rPr>
      </w:pPr>
      <w:r>
        <w:rPr>
          <w:rFonts w:ascii="宋体" w:hAnsi="宋体" w:cs="宋体"/>
          <w:color w:val="000000"/>
          <w:szCs w:val="21"/>
        </w:rPr>
        <w:t>经</w:t>
      </w:r>
      <w:r>
        <w:rPr>
          <w:rFonts w:hint="eastAsia" w:ascii="宋体" w:hAnsi="宋体" w:cs="宋体"/>
          <w:color w:val="000000"/>
          <w:szCs w:val="21"/>
        </w:rPr>
        <w:t>采购人</w:t>
      </w:r>
      <w:r>
        <w:rPr>
          <w:rFonts w:ascii="宋体" w:hAnsi="宋体" w:cs="宋体"/>
          <w:color w:val="000000"/>
          <w:szCs w:val="21"/>
        </w:rPr>
        <w:t>批准认定的同一供应商良好行为或不良行为，在评价年度周期内信用系数可累加计算。</w:t>
      </w:r>
    </w:p>
    <w:p>
      <w:pPr>
        <w:spacing w:line="360" w:lineRule="auto"/>
        <w:rPr>
          <w:rFonts w:ascii="宋体" w:hAnsi="宋体" w:cs="宋体"/>
          <w:color w:val="000000"/>
          <w:szCs w:val="21"/>
        </w:rPr>
        <w:sectPr>
          <w:footerReference r:id="rId3" w:type="default"/>
          <w:pgSz w:w="11906" w:h="16838"/>
          <w:pgMar w:top="1134" w:right="1418" w:bottom="1134" w:left="1418" w:header="851" w:footer="992" w:gutter="0"/>
          <w:cols w:space="720" w:num="1"/>
          <w:docGrid w:type="lines" w:linePitch="312" w:charSpace="0"/>
        </w:sectPr>
      </w:pPr>
      <w:r>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pPr>
        <w:spacing w:line="360" w:lineRule="auto"/>
        <w:rPr>
          <w:rFonts w:ascii="宋体" w:hAnsi="宋体" w:cs="宋体"/>
          <w:color w:val="000000"/>
          <w:szCs w:val="21"/>
        </w:rPr>
      </w:pPr>
      <w:r>
        <w:rPr>
          <w:rFonts w:hint="eastAsia" w:ascii="宋体" w:hAnsi="宋体" w:cs="宋体"/>
          <w:color w:val="000000"/>
          <w:szCs w:val="21"/>
        </w:rPr>
        <w:t>附件9：附图</w:t>
      </w:r>
    </w:p>
    <w:p>
      <w:pPr>
        <w:spacing w:line="360" w:lineRule="auto"/>
        <w:rPr>
          <w:sz w:val="28"/>
          <w:szCs w:val="28"/>
        </w:rPr>
      </w:pPr>
      <w:r>
        <w:rPr>
          <w:sz w:val="28"/>
          <w:szCs w:val="28"/>
        </w:rPr>
        <w:object>
          <v:shape id="_x0000_i1025" o:spt="75" type="#_x0000_t75" style="height:397.5pt;width:702pt;" o:ole="t" filled="f" o:preferrelative="t" stroked="f" coordsize="21600,21600">
            <v:path/>
            <v:fill on="f" focussize="0,0"/>
            <v:stroke on="f" joinstyle="miter"/>
            <v:imagedata r:id="rId6" o:title=""/>
            <o:lock v:ext="edit" aspectratio="t"/>
            <w10:wrap type="none"/>
            <w10:anchorlock/>
          </v:shape>
          <o:OLEObject Type="Embed" ProgID="AcroExch.Document.7" ShapeID="_x0000_i1025" DrawAspect="Content" ObjectID="_1468075725" r:id="rId5">
            <o:LockedField>false</o:LockedField>
          </o:OLEObject>
        </w:object>
      </w:r>
    </w:p>
    <w:p>
      <w:pPr>
        <w:rPr>
          <w:sz w:val="28"/>
          <w:szCs w:val="28"/>
        </w:rPr>
        <w:sectPr>
          <w:pgSz w:w="16838" w:h="11906" w:orient="landscape"/>
          <w:pgMar w:top="1418" w:right="1134" w:bottom="1418" w:left="1134" w:header="851" w:footer="992" w:gutter="0"/>
          <w:cols w:space="720" w:num="1"/>
          <w:docGrid w:type="linesAndChars" w:linePitch="312" w:charSpace="0"/>
        </w:sectPr>
      </w:pPr>
    </w:p>
    <w:p>
      <w:pPr>
        <w:rPr>
          <w:sz w:val="28"/>
          <w:szCs w:val="28"/>
        </w:rPr>
      </w:pPr>
      <w:bookmarkStart w:id="0" w:name="_GoBack"/>
      <w:r>
        <w:rPr>
          <w:sz w:val="28"/>
          <w:szCs w:val="28"/>
        </w:rPr>
        <w:object>
          <v:shape id="_x0000_i1028" o:spt="75" type="#_x0000_t75" style="height:875.25pt;width:618pt;" o:ole="t" filled="f" o:preferrelative="t" stroked="f" coordsize="21600,21600">
            <v:path/>
            <v:fill on="f" focussize="0,0"/>
            <v:stroke on="f" joinstyle="miter"/>
            <v:imagedata r:id="rId8" o:title=""/>
            <o:lock v:ext="edit" aspectratio="t"/>
            <w10:wrap type="none"/>
            <w10:anchorlock/>
          </v:shape>
          <o:OLEObject Type="Embed" ProgID="AcroExch.Document.7" ShapeID="_x0000_i1028" DrawAspect="Content" ObjectID="_1468075726" r:id="rId7">
            <o:LockedField>false</o:LockedField>
          </o:OLEObject>
        </w:object>
      </w:r>
      <w:bookmarkEnd w:id="0"/>
    </w:p>
    <w:sectPr>
      <w:pgSz w:w="11906" w:h="16838"/>
      <w:pgMar w:top="1134" w:right="1418" w:bottom="1134"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fldChar w:fldCharType="begin"/>
    </w:r>
    <w:r>
      <w:instrText xml:space="preserve"> PAGE   \* MERGEFORMAT </w:instrText>
    </w:r>
    <w:r>
      <w:fldChar w:fldCharType="separate"/>
    </w:r>
    <w:r>
      <w:rPr>
        <w:lang w:val="zh-CN"/>
      </w:rPr>
      <w:t>16</w:t>
    </w:r>
    <w:r>
      <w:rPr>
        <w:lang w:val="zh-CN"/>
      </w:rPr>
      <w:fldChar w:fldCharType="end"/>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39F1"/>
    <w:multiLevelType w:val="multilevel"/>
    <w:tmpl w:val="05A839F1"/>
    <w:lvl w:ilvl="0" w:tentative="0">
      <w:start w:val="1"/>
      <w:numFmt w:val="decimal"/>
      <w:lvlText w:val="%1、"/>
      <w:lvlJc w:val="left"/>
      <w:pPr>
        <w:tabs>
          <w:tab w:val="left" w:pos="993"/>
        </w:tabs>
        <w:ind w:left="993" w:hanging="567"/>
      </w:pPr>
      <w:rPr>
        <w:rFonts w:hint="default"/>
      </w:r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1">
    <w:nsid w:val="158838E4"/>
    <w:multiLevelType w:val="multilevel"/>
    <w:tmpl w:val="158838E4"/>
    <w:lvl w:ilvl="0" w:tentative="0">
      <w:start w:val="1"/>
      <w:numFmt w:val="decimal"/>
      <w:lvlText w:val="%1、"/>
      <w:lvlJc w:val="left"/>
      <w:pPr>
        <w:tabs>
          <w:tab w:val="left" w:pos="993"/>
        </w:tabs>
        <w:ind w:left="993" w:hanging="567"/>
      </w:pPr>
      <w:rPr>
        <w:rFonts w:hint="default"/>
      </w:r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2">
    <w:nsid w:val="182A4B03"/>
    <w:multiLevelType w:val="multilevel"/>
    <w:tmpl w:val="182A4B0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21D2323D"/>
    <w:multiLevelType w:val="multilevel"/>
    <w:tmpl w:val="21D2323D"/>
    <w:lvl w:ilvl="0" w:tentative="0">
      <w:start w:val="1"/>
      <w:numFmt w:val="decimal"/>
      <w:lvlText w:val="%1、"/>
      <w:lvlJc w:val="left"/>
      <w:pPr>
        <w:tabs>
          <w:tab w:val="left" w:pos="993"/>
        </w:tabs>
        <w:ind w:left="993" w:hanging="567"/>
      </w:pPr>
      <w:rPr>
        <w:rFonts w:hint="default"/>
      </w:r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
    <w:nsid w:val="249B040F"/>
    <w:multiLevelType w:val="multilevel"/>
    <w:tmpl w:val="249B040F"/>
    <w:lvl w:ilvl="0" w:tentative="0">
      <w:start w:val="5"/>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4C126E"/>
    <w:multiLevelType w:val="multilevel"/>
    <w:tmpl w:val="2C4C126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2DE5B4"/>
    <w:multiLevelType w:val="singleLevel"/>
    <w:tmpl w:val="572DE5B4"/>
    <w:lvl w:ilvl="0" w:tentative="0">
      <w:start w:val="1"/>
      <w:numFmt w:val="decimal"/>
      <w:suff w:val="nothing"/>
      <w:lvlText w:val="%1."/>
      <w:lvlJc w:val="left"/>
    </w:lvl>
  </w:abstractNum>
  <w:abstractNum w:abstractNumId="7">
    <w:nsid w:val="617F0091"/>
    <w:multiLevelType w:val="multilevel"/>
    <w:tmpl w:val="617F0091"/>
    <w:lvl w:ilvl="0" w:tentative="0">
      <w:start w:val="1"/>
      <w:numFmt w:val="decimal"/>
      <w:lvlText w:val="%1、"/>
      <w:lvlJc w:val="left"/>
      <w:pPr>
        <w:ind w:left="1844" w:hanging="720"/>
      </w:pPr>
      <w:rPr>
        <w:rFonts w:hint="default"/>
      </w:rPr>
    </w:lvl>
    <w:lvl w:ilvl="1" w:tentative="0">
      <w:start w:val="1"/>
      <w:numFmt w:val="lowerLetter"/>
      <w:lvlText w:val="%2)"/>
      <w:lvlJc w:val="left"/>
      <w:pPr>
        <w:ind w:left="1964" w:hanging="420"/>
      </w:pPr>
    </w:lvl>
    <w:lvl w:ilvl="2" w:tentative="0">
      <w:start w:val="1"/>
      <w:numFmt w:val="lowerRoman"/>
      <w:lvlText w:val="%3."/>
      <w:lvlJc w:val="right"/>
      <w:pPr>
        <w:ind w:left="2384" w:hanging="420"/>
      </w:pPr>
    </w:lvl>
    <w:lvl w:ilvl="3" w:tentative="0">
      <w:start w:val="1"/>
      <w:numFmt w:val="decimal"/>
      <w:lvlText w:val="%4."/>
      <w:lvlJc w:val="left"/>
      <w:pPr>
        <w:ind w:left="2804" w:hanging="420"/>
      </w:pPr>
    </w:lvl>
    <w:lvl w:ilvl="4" w:tentative="0">
      <w:start w:val="1"/>
      <w:numFmt w:val="lowerLetter"/>
      <w:lvlText w:val="%5)"/>
      <w:lvlJc w:val="left"/>
      <w:pPr>
        <w:ind w:left="3224" w:hanging="420"/>
      </w:pPr>
    </w:lvl>
    <w:lvl w:ilvl="5" w:tentative="0">
      <w:start w:val="1"/>
      <w:numFmt w:val="lowerRoman"/>
      <w:lvlText w:val="%6."/>
      <w:lvlJc w:val="right"/>
      <w:pPr>
        <w:ind w:left="3644" w:hanging="420"/>
      </w:pPr>
    </w:lvl>
    <w:lvl w:ilvl="6" w:tentative="0">
      <w:start w:val="1"/>
      <w:numFmt w:val="decimal"/>
      <w:lvlText w:val="%7."/>
      <w:lvlJc w:val="left"/>
      <w:pPr>
        <w:ind w:left="4064" w:hanging="420"/>
      </w:pPr>
    </w:lvl>
    <w:lvl w:ilvl="7" w:tentative="0">
      <w:start w:val="1"/>
      <w:numFmt w:val="lowerLetter"/>
      <w:lvlText w:val="%8)"/>
      <w:lvlJc w:val="left"/>
      <w:pPr>
        <w:ind w:left="4484" w:hanging="420"/>
      </w:pPr>
    </w:lvl>
    <w:lvl w:ilvl="8" w:tentative="0">
      <w:start w:val="1"/>
      <w:numFmt w:val="lowerRoman"/>
      <w:lvlText w:val="%9."/>
      <w:lvlJc w:val="right"/>
      <w:pPr>
        <w:ind w:left="4904" w:hanging="420"/>
      </w:pPr>
    </w:lvl>
  </w:abstractNum>
  <w:abstractNum w:abstractNumId="8">
    <w:nsid w:val="71DB2FFC"/>
    <w:multiLevelType w:val="multilevel"/>
    <w:tmpl w:val="71DB2FF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5"/>
  </w:num>
  <w:num w:numId="3">
    <w:abstractNumId w:val="7"/>
  </w:num>
  <w:num w:numId="4">
    <w:abstractNumId w:val="4"/>
  </w:num>
  <w:num w:numId="5">
    <w:abstractNumId w:val="3"/>
  </w:num>
  <w:num w:numId="6">
    <w:abstractNumId w:val="0"/>
  </w:num>
  <w:num w:numId="7">
    <w:abstractNumId w:val="1"/>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6EAB"/>
    <w:rsid w:val="0001269A"/>
    <w:rsid w:val="000248F2"/>
    <w:rsid w:val="00024DB1"/>
    <w:rsid w:val="000261AC"/>
    <w:rsid w:val="00054374"/>
    <w:rsid w:val="0006416F"/>
    <w:rsid w:val="00066150"/>
    <w:rsid w:val="00066222"/>
    <w:rsid w:val="00074C0B"/>
    <w:rsid w:val="00097540"/>
    <w:rsid w:val="000A00B3"/>
    <w:rsid w:val="000A2487"/>
    <w:rsid w:val="000A75A0"/>
    <w:rsid w:val="000B75B2"/>
    <w:rsid w:val="000D372E"/>
    <w:rsid w:val="000D4516"/>
    <w:rsid w:val="000D77C7"/>
    <w:rsid w:val="000E277D"/>
    <w:rsid w:val="001013A8"/>
    <w:rsid w:val="00105509"/>
    <w:rsid w:val="001300D3"/>
    <w:rsid w:val="00155983"/>
    <w:rsid w:val="00155A34"/>
    <w:rsid w:val="00172A27"/>
    <w:rsid w:val="00175957"/>
    <w:rsid w:val="00194365"/>
    <w:rsid w:val="001944F5"/>
    <w:rsid w:val="00195617"/>
    <w:rsid w:val="001B2E16"/>
    <w:rsid w:val="001C510A"/>
    <w:rsid w:val="001D769B"/>
    <w:rsid w:val="001F6D6F"/>
    <w:rsid w:val="002117D0"/>
    <w:rsid w:val="00211BF3"/>
    <w:rsid w:val="0021591C"/>
    <w:rsid w:val="00221D47"/>
    <w:rsid w:val="0022379F"/>
    <w:rsid w:val="0022476E"/>
    <w:rsid w:val="0026536E"/>
    <w:rsid w:val="00275CA3"/>
    <w:rsid w:val="00297AD7"/>
    <w:rsid w:val="002A558D"/>
    <w:rsid w:val="002D0731"/>
    <w:rsid w:val="002D14AE"/>
    <w:rsid w:val="002E0680"/>
    <w:rsid w:val="002E0B01"/>
    <w:rsid w:val="002F6943"/>
    <w:rsid w:val="003202A4"/>
    <w:rsid w:val="0033236B"/>
    <w:rsid w:val="00353699"/>
    <w:rsid w:val="0036491C"/>
    <w:rsid w:val="00386C70"/>
    <w:rsid w:val="003932F2"/>
    <w:rsid w:val="00394717"/>
    <w:rsid w:val="003954FA"/>
    <w:rsid w:val="003A61B7"/>
    <w:rsid w:val="003A63C6"/>
    <w:rsid w:val="003C1D76"/>
    <w:rsid w:val="003C1DC0"/>
    <w:rsid w:val="003D0FFC"/>
    <w:rsid w:val="003D6349"/>
    <w:rsid w:val="003D6DDA"/>
    <w:rsid w:val="003F2B4E"/>
    <w:rsid w:val="00401657"/>
    <w:rsid w:val="00426155"/>
    <w:rsid w:val="0044283D"/>
    <w:rsid w:val="00444368"/>
    <w:rsid w:val="00456BC1"/>
    <w:rsid w:val="00476BF0"/>
    <w:rsid w:val="004A0372"/>
    <w:rsid w:val="004A1A1D"/>
    <w:rsid w:val="004A23D1"/>
    <w:rsid w:val="004A4F9A"/>
    <w:rsid w:val="004E3B04"/>
    <w:rsid w:val="004E5C78"/>
    <w:rsid w:val="00510C5A"/>
    <w:rsid w:val="0052246D"/>
    <w:rsid w:val="00545D4B"/>
    <w:rsid w:val="005566FF"/>
    <w:rsid w:val="00557322"/>
    <w:rsid w:val="00561290"/>
    <w:rsid w:val="0056721A"/>
    <w:rsid w:val="00567DB5"/>
    <w:rsid w:val="005772A9"/>
    <w:rsid w:val="00585285"/>
    <w:rsid w:val="00592951"/>
    <w:rsid w:val="00596962"/>
    <w:rsid w:val="005969FB"/>
    <w:rsid w:val="005A52C7"/>
    <w:rsid w:val="005B2AB5"/>
    <w:rsid w:val="005B2C4E"/>
    <w:rsid w:val="005B6CEE"/>
    <w:rsid w:val="005E4E7C"/>
    <w:rsid w:val="00607731"/>
    <w:rsid w:val="00611B4E"/>
    <w:rsid w:val="00617D0B"/>
    <w:rsid w:val="00621A9E"/>
    <w:rsid w:val="006365CD"/>
    <w:rsid w:val="00637977"/>
    <w:rsid w:val="0064000A"/>
    <w:rsid w:val="006503EF"/>
    <w:rsid w:val="00690C78"/>
    <w:rsid w:val="006A0EE2"/>
    <w:rsid w:val="006A3B53"/>
    <w:rsid w:val="006A7A3B"/>
    <w:rsid w:val="006B10D1"/>
    <w:rsid w:val="006B34D9"/>
    <w:rsid w:val="006B36E7"/>
    <w:rsid w:val="006B6C86"/>
    <w:rsid w:val="006E54A2"/>
    <w:rsid w:val="00706205"/>
    <w:rsid w:val="00714ACD"/>
    <w:rsid w:val="007216CB"/>
    <w:rsid w:val="0072216A"/>
    <w:rsid w:val="00731F87"/>
    <w:rsid w:val="00743DF1"/>
    <w:rsid w:val="00753739"/>
    <w:rsid w:val="00763505"/>
    <w:rsid w:val="007672D2"/>
    <w:rsid w:val="00786B2B"/>
    <w:rsid w:val="00793AED"/>
    <w:rsid w:val="007A2D85"/>
    <w:rsid w:val="007C04CE"/>
    <w:rsid w:val="007C3669"/>
    <w:rsid w:val="007D7DD0"/>
    <w:rsid w:val="007E61FE"/>
    <w:rsid w:val="007E78CE"/>
    <w:rsid w:val="007F62C7"/>
    <w:rsid w:val="00814712"/>
    <w:rsid w:val="00815501"/>
    <w:rsid w:val="00825FF9"/>
    <w:rsid w:val="0084579E"/>
    <w:rsid w:val="00846388"/>
    <w:rsid w:val="00854D07"/>
    <w:rsid w:val="00860A31"/>
    <w:rsid w:val="008638B9"/>
    <w:rsid w:val="008657EF"/>
    <w:rsid w:val="00877012"/>
    <w:rsid w:val="00885F0E"/>
    <w:rsid w:val="00887116"/>
    <w:rsid w:val="008872F1"/>
    <w:rsid w:val="00894519"/>
    <w:rsid w:val="008960CE"/>
    <w:rsid w:val="008B34ED"/>
    <w:rsid w:val="008B670C"/>
    <w:rsid w:val="008C26B6"/>
    <w:rsid w:val="008C7560"/>
    <w:rsid w:val="008E3344"/>
    <w:rsid w:val="008F4BC0"/>
    <w:rsid w:val="008F50D8"/>
    <w:rsid w:val="00902C05"/>
    <w:rsid w:val="009159D7"/>
    <w:rsid w:val="00952170"/>
    <w:rsid w:val="00956689"/>
    <w:rsid w:val="0097363A"/>
    <w:rsid w:val="00973949"/>
    <w:rsid w:val="009767C9"/>
    <w:rsid w:val="00983A2A"/>
    <w:rsid w:val="00990E1A"/>
    <w:rsid w:val="009914C9"/>
    <w:rsid w:val="009A2776"/>
    <w:rsid w:val="009A4D34"/>
    <w:rsid w:val="009A525E"/>
    <w:rsid w:val="009C3EE0"/>
    <w:rsid w:val="009C64AE"/>
    <w:rsid w:val="009C65A2"/>
    <w:rsid w:val="009E12D5"/>
    <w:rsid w:val="009E29EF"/>
    <w:rsid w:val="009E359E"/>
    <w:rsid w:val="00A0078D"/>
    <w:rsid w:val="00A047AA"/>
    <w:rsid w:val="00A05921"/>
    <w:rsid w:val="00A1442E"/>
    <w:rsid w:val="00A32246"/>
    <w:rsid w:val="00A46630"/>
    <w:rsid w:val="00A614CE"/>
    <w:rsid w:val="00A735C6"/>
    <w:rsid w:val="00A81CD4"/>
    <w:rsid w:val="00AA7AB2"/>
    <w:rsid w:val="00AB392A"/>
    <w:rsid w:val="00AB7FA5"/>
    <w:rsid w:val="00AE5CBE"/>
    <w:rsid w:val="00AF2CF0"/>
    <w:rsid w:val="00B00BE7"/>
    <w:rsid w:val="00B03C03"/>
    <w:rsid w:val="00B0631D"/>
    <w:rsid w:val="00B27F3C"/>
    <w:rsid w:val="00B40BEF"/>
    <w:rsid w:val="00B43CD4"/>
    <w:rsid w:val="00B47E24"/>
    <w:rsid w:val="00B67EFF"/>
    <w:rsid w:val="00B726C7"/>
    <w:rsid w:val="00B72889"/>
    <w:rsid w:val="00B72CE7"/>
    <w:rsid w:val="00B774CF"/>
    <w:rsid w:val="00B80AD5"/>
    <w:rsid w:val="00B860C3"/>
    <w:rsid w:val="00B90671"/>
    <w:rsid w:val="00B90B6E"/>
    <w:rsid w:val="00B91E38"/>
    <w:rsid w:val="00B96B7C"/>
    <w:rsid w:val="00BA4EFF"/>
    <w:rsid w:val="00BB6D96"/>
    <w:rsid w:val="00BC35DC"/>
    <w:rsid w:val="00BD41A1"/>
    <w:rsid w:val="00BD5240"/>
    <w:rsid w:val="00BF2297"/>
    <w:rsid w:val="00C07BF1"/>
    <w:rsid w:val="00C11059"/>
    <w:rsid w:val="00C174A4"/>
    <w:rsid w:val="00C2645D"/>
    <w:rsid w:val="00C3028C"/>
    <w:rsid w:val="00C3119C"/>
    <w:rsid w:val="00C43DB5"/>
    <w:rsid w:val="00C514A7"/>
    <w:rsid w:val="00C706FF"/>
    <w:rsid w:val="00C74CE8"/>
    <w:rsid w:val="00C90657"/>
    <w:rsid w:val="00C9536A"/>
    <w:rsid w:val="00CA1AC9"/>
    <w:rsid w:val="00CD2F21"/>
    <w:rsid w:val="00CD7E92"/>
    <w:rsid w:val="00D03706"/>
    <w:rsid w:val="00D14DB9"/>
    <w:rsid w:val="00D35C86"/>
    <w:rsid w:val="00D51B1D"/>
    <w:rsid w:val="00D57C42"/>
    <w:rsid w:val="00D70E13"/>
    <w:rsid w:val="00D845E0"/>
    <w:rsid w:val="00D87D2D"/>
    <w:rsid w:val="00D9132A"/>
    <w:rsid w:val="00DA71C3"/>
    <w:rsid w:val="00DC0A3E"/>
    <w:rsid w:val="00DF1B2F"/>
    <w:rsid w:val="00DF4B6D"/>
    <w:rsid w:val="00DF5B17"/>
    <w:rsid w:val="00E1751F"/>
    <w:rsid w:val="00E354F4"/>
    <w:rsid w:val="00E36D06"/>
    <w:rsid w:val="00E47B3B"/>
    <w:rsid w:val="00E60A10"/>
    <w:rsid w:val="00E63138"/>
    <w:rsid w:val="00E97A9C"/>
    <w:rsid w:val="00EA4024"/>
    <w:rsid w:val="00EA4B1F"/>
    <w:rsid w:val="00EC0CD3"/>
    <w:rsid w:val="00EC0F7A"/>
    <w:rsid w:val="00ED2D79"/>
    <w:rsid w:val="00EF18C1"/>
    <w:rsid w:val="00F02A17"/>
    <w:rsid w:val="00F05829"/>
    <w:rsid w:val="00F1300D"/>
    <w:rsid w:val="00F34524"/>
    <w:rsid w:val="00F42B37"/>
    <w:rsid w:val="00F547F7"/>
    <w:rsid w:val="00F71114"/>
    <w:rsid w:val="00F71ADB"/>
    <w:rsid w:val="00F74258"/>
    <w:rsid w:val="00F95DE1"/>
    <w:rsid w:val="00FA0034"/>
    <w:rsid w:val="00FB25F3"/>
    <w:rsid w:val="00FB76BF"/>
    <w:rsid w:val="00FC33B2"/>
    <w:rsid w:val="00FC3A89"/>
    <w:rsid w:val="00FD2526"/>
    <w:rsid w:val="00FD50E2"/>
    <w:rsid w:val="01586AB7"/>
    <w:rsid w:val="042B4404"/>
    <w:rsid w:val="05F33E19"/>
    <w:rsid w:val="08A607DC"/>
    <w:rsid w:val="13033C28"/>
    <w:rsid w:val="13B94E90"/>
    <w:rsid w:val="16FA62BC"/>
    <w:rsid w:val="214926E0"/>
    <w:rsid w:val="323E6427"/>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22"/>
    <w:semiHidden/>
    <w:unhideWhenUsed/>
    <w:qFormat/>
    <w:uiPriority w:val="99"/>
    <w:pPr>
      <w:jc w:val="left"/>
    </w:pPr>
  </w:style>
  <w:style w:type="paragraph" w:styleId="3">
    <w:name w:val="Closing"/>
    <w:basedOn w:val="1"/>
    <w:qFormat/>
    <w:uiPriority w:val="0"/>
    <w:pPr>
      <w:ind w:left="100" w:leftChars="2100"/>
    </w:pPr>
    <w:rPr>
      <w:rFonts w:ascii="宋体"/>
      <w:sz w:val="24"/>
    </w:rPr>
  </w:style>
  <w:style w:type="paragraph" w:styleId="4">
    <w:name w:val="Plain Text"/>
    <w:basedOn w:val="1"/>
    <w:link w:val="21"/>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5">
    <w:name w:val="Balloon Text"/>
    <w:basedOn w:val="1"/>
    <w:qFormat/>
    <w:uiPriority w:val="0"/>
    <w:rPr>
      <w:sz w:val="18"/>
      <w:szCs w:val="18"/>
    </w:rPr>
  </w:style>
  <w:style w:type="paragraph" w:styleId="6">
    <w:name w:val="footer"/>
    <w:basedOn w:val="1"/>
    <w:link w:val="17"/>
    <w:qFormat/>
    <w:uiPriority w:val="99"/>
    <w:pPr>
      <w:tabs>
        <w:tab w:val="center" w:pos="4153"/>
        <w:tab w:val="right" w:pos="8306"/>
      </w:tabs>
      <w:snapToGrid w:val="0"/>
      <w:jc w:val="left"/>
    </w:pPr>
    <w:rPr>
      <w:sz w:val="18"/>
      <w:szCs w:val="18"/>
    </w:rPr>
  </w:style>
  <w:style w:type="paragraph" w:styleId="7">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8">
    <w:name w:val="annotation subject"/>
    <w:basedOn w:val="2"/>
    <w:next w:val="2"/>
    <w:link w:val="23"/>
    <w:semiHidden/>
    <w:unhideWhenUsed/>
    <w:qFormat/>
    <w:uiPriority w:val="99"/>
    <w:rPr>
      <w:b/>
      <w:bCs/>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2">
    <w:name w:val="Hyperlink"/>
    <w:basedOn w:val="11"/>
    <w:unhideWhenUsed/>
    <w:qFormat/>
    <w:uiPriority w:val="99"/>
    <w:rPr>
      <w:color w:val="0000FF"/>
      <w:u w:val="single"/>
    </w:rPr>
  </w:style>
  <w:style w:type="character" w:styleId="13">
    <w:name w:val="annotation reference"/>
    <w:basedOn w:val="11"/>
    <w:semiHidden/>
    <w:unhideWhenUsed/>
    <w:qFormat/>
    <w:uiPriority w:val="99"/>
    <w:rPr>
      <w:sz w:val="21"/>
      <w:szCs w:val="21"/>
    </w:rPr>
  </w:style>
  <w:style w:type="paragraph" w:customStyle="1" w:styleId="14">
    <w:name w:val="纯文本1"/>
    <w:basedOn w:val="1"/>
    <w:qFormat/>
    <w:uiPriority w:val="0"/>
    <w:pPr>
      <w:widowControl/>
      <w:jc w:val="left"/>
    </w:pPr>
    <w:rPr>
      <w:rFonts w:ascii="宋体" w:hAnsi="Courier New" w:eastAsia="微软雅黑"/>
      <w:kern w:val="0"/>
      <w:sz w:val="20"/>
      <w:szCs w:val="21"/>
    </w:rPr>
  </w:style>
  <w:style w:type="paragraph" w:customStyle="1" w:styleId="15">
    <w:name w:val="1_0"/>
    <w:basedOn w:val="1"/>
    <w:next w:val="14"/>
    <w:qFormat/>
    <w:uiPriority w:val="0"/>
    <w:rPr>
      <w:rFonts w:ascii="宋体" w:hAnsi="Courier New"/>
      <w:szCs w:val="22"/>
    </w:rPr>
  </w:style>
  <w:style w:type="paragraph" w:customStyle="1" w:styleId="16">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17">
    <w:name w:val="页脚 字符"/>
    <w:link w:val="6"/>
    <w:qFormat/>
    <w:uiPriority w:val="99"/>
    <w:rPr>
      <w:kern w:val="2"/>
      <w:sz w:val="18"/>
      <w:szCs w:val="18"/>
    </w:rPr>
  </w:style>
  <w:style w:type="character" w:customStyle="1" w:styleId="18">
    <w:name w:val="apple-style-span"/>
    <w:basedOn w:val="11"/>
    <w:qFormat/>
    <w:uiPriority w:val="0"/>
  </w:style>
  <w:style w:type="character" w:customStyle="1" w:styleId="19">
    <w:name w:val="页眉 字符"/>
    <w:link w:val="7"/>
    <w:qFormat/>
    <w:uiPriority w:val="0"/>
    <w:rPr>
      <w:kern w:val="2"/>
      <w:sz w:val="18"/>
      <w:szCs w:val="18"/>
    </w:rPr>
  </w:style>
  <w:style w:type="character" w:customStyle="1" w:styleId="20">
    <w:name w:val="style141"/>
    <w:qFormat/>
    <w:uiPriority w:val="0"/>
    <w:rPr>
      <w:rFonts w:hint="eastAsia" w:ascii="宋体" w:hAnsi="宋体" w:eastAsia="宋体"/>
      <w:sz w:val="18"/>
      <w:szCs w:val="18"/>
    </w:rPr>
  </w:style>
  <w:style w:type="character" w:customStyle="1" w:styleId="21">
    <w:name w:val="纯文本 字符"/>
    <w:basedOn w:val="11"/>
    <w:link w:val="4"/>
    <w:qFormat/>
    <w:uiPriority w:val="0"/>
    <w:rPr>
      <w:rFonts w:ascii="宋体" w:hAnsi="Courier New" w:eastAsia="微软雅黑" w:cs="Courier New"/>
      <w:sz w:val="22"/>
      <w:szCs w:val="21"/>
    </w:rPr>
  </w:style>
  <w:style w:type="character" w:customStyle="1" w:styleId="22">
    <w:name w:val="批注文字 字符"/>
    <w:basedOn w:val="11"/>
    <w:link w:val="2"/>
    <w:semiHidden/>
    <w:qFormat/>
    <w:uiPriority w:val="99"/>
    <w:rPr>
      <w:kern w:val="2"/>
      <w:sz w:val="21"/>
      <w:szCs w:val="24"/>
    </w:rPr>
  </w:style>
  <w:style w:type="character" w:customStyle="1" w:styleId="23">
    <w:name w:val="批注主题 字符"/>
    <w:basedOn w:val="22"/>
    <w:link w:val="8"/>
    <w:semiHidden/>
    <w:qFormat/>
    <w:uiPriority w:val="99"/>
    <w:rPr>
      <w:b/>
      <w:bCs/>
      <w:kern w:val="2"/>
      <w:sz w:val="21"/>
      <w:szCs w:val="24"/>
    </w:rPr>
  </w:style>
  <w:style w:type="paragraph" w:styleId="2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24</Pages>
  <Words>1388</Words>
  <Characters>7913</Characters>
  <Lines>65</Lines>
  <Paragraphs>18</Paragraphs>
  <TotalTime>0</TotalTime>
  <ScaleCrop>false</ScaleCrop>
  <LinksUpToDate>false</LinksUpToDate>
  <CharactersWithSpaces>9283</CharactersWithSpaces>
  <Application>WPS Office_11.1.0.8515_F1E327BC-269C-435d-A152-05C5408002CA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青梅煮酒1416538785</cp:lastModifiedBy>
  <cp:lastPrinted>2011-11-29T08:47:00Z</cp:lastPrinted>
  <dcterms:modified xsi:type="dcterms:W3CDTF">2019-03-21T07:50:02Z</dcterms:modified>
  <dc:title>广州大学城投资经营管理有限公司</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