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b/>
          <w:color w:val="auto"/>
          <w:sz w:val="36"/>
          <w:szCs w:val="36"/>
          <w:highlight w:val="none"/>
        </w:rPr>
      </w:pPr>
      <w:r>
        <w:rPr>
          <w:b/>
          <w:color w:val="auto"/>
          <w:sz w:val="36"/>
          <w:szCs w:val="36"/>
          <w:highlight w:val="none"/>
        </w:rPr>
        <w:t>广州大学城投资经营管理有限公司</w:t>
      </w:r>
    </w:p>
    <w:p>
      <w:pPr>
        <w:tabs>
          <w:tab w:val="left" w:pos="720"/>
        </w:tabs>
        <w:spacing w:line="360" w:lineRule="auto"/>
        <w:jc w:val="center"/>
        <w:rPr>
          <w:b/>
          <w:color w:val="auto"/>
          <w:sz w:val="36"/>
          <w:szCs w:val="36"/>
          <w:highlight w:val="none"/>
        </w:rPr>
      </w:pPr>
      <w:r>
        <w:rPr>
          <w:rFonts w:hint="eastAsia"/>
          <w:b/>
          <w:color w:val="auto"/>
          <w:sz w:val="36"/>
          <w:szCs w:val="36"/>
          <w:highlight w:val="none"/>
        </w:rPr>
        <w:t>广州大学城信息枢纽楼及冷站消防系统维护保养项目</w:t>
      </w:r>
    </w:p>
    <w:p>
      <w:pPr>
        <w:tabs>
          <w:tab w:val="left" w:pos="720"/>
        </w:tabs>
        <w:spacing w:line="360" w:lineRule="auto"/>
        <w:jc w:val="center"/>
        <w:rPr>
          <w:b/>
          <w:color w:val="auto"/>
          <w:sz w:val="36"/>
          <w:szCs w:val="36"/>
          <w:highlight w:val="none"/>
        </w:rPr>
      </w:pPr>
      <w:r>
        <w:rPr>
          <w:rFonts w:hint="eastAsia"/>
          <w:b/>
          <w:color w:val="auto"/>
          <w:sz w:val="36"/>
          <w:szCs w:val="36"/>
          <w:highlight w:val="none"/>
        </w:rPr>
        <w:t>竞选文件</w:t>
      </w:r>
    </w:p>
    <w:p>
      <w:pPr>
        <w:tabs>
          <w:tab w:val="left" w:pos="540"/>
          <w:tab w:val="left" w:pos="720"/>
        </w:tabs>
        <w:spacing w:line="560" w:lineRule="exact"/>
        <w:ind w:firstLine="562" w:firstLineChars="200"/>
        <w:rPr>
          <w:b/>
          <w:color w:val="auto"/>
          <w:sz w:val="28"/>
          <w:szCs w:val="28"/>
          <w:highlight w:val="none"/>
        </w:rPr>
      </w:pPr>
    </w:p>
    <w:p>
      <w:pPr>
        <w:tabs>
          <w:tab w:val="left" w:pos="540"/>
          <w:tab w:val="left" w:pos="720"/>
        </w:tabs>
        <w:spacing w:line="520" w:lineRule="exact"/>
        <w:ind w:firstLine="562" w:firstLineChars="200"/>
        <w:rPr>
          <w:b/>
          <w:color w:val="auto"/>
          <w:sz w:val="28"/>
          <w:szCs w:val="28"/>
          <w:highlight w:val="none"/>
        </w:rPr>
      </w:pPr>
      <w:r>
        <w:rPr>
          <w:rFonts w:hint="eastAsia"/>
          <w:b/>
          <w:color w:val="auto"/>
          <w:sz w:val="28"/>
          <w:szCs w:val="28"/>
          <w:highlight w:val="none"/>
        </w:rPr>
        <w:t>一、项目基本情况</w:t>
      </w:r>
    </w:p>
    <w:p>
      <w:pPr>
        <w:spacing w:line="520" w:lineRule="exact"/>
        <w:ind w:firstLine="560" w:firstLineChars="200"/>
        <w:rPr>
          <w:color w:val="auto"/>
          <w:sz w:val="28"/>
          <w:szCs w:val="28"/>
          <w:highlight w:val="none"/>
        </w:rPr>
      </w:pPr>
      <w:r>
        <w:rPr>
          <w:rFonts w:hint="eastAsia"/>
          <w:color w:val="auto"/>
          <w:sz w:val="28"/>
          <w:szCs w:val="28"/>
          <w:highlight w:val="none"/>
        </w:rPr>
        <w:t>（一）项目名称：广州大学城信息枢纽楼及冷站消防系统维护保养项目</w:t>
      </w:r>
    </w:p>
    <w:p>
      <w:pPr>
        <w:spacing w:line="520" w:lineRule="exact"/>
        <w:ind w:firstLine="560" w:firstLineChars="200"/>
        <w:rPr>
          <w:color w:val="auto"/>
          <w:sz w:val="28"/>
          <w:szCs w:val="28"/>
          <w:highlight w:val="none"/>
        </w:rPr>
      </w:pPr>
      <w:r>
        <w:rPr>
          <w:rFonts w:hint="eastAsia"/>
          <w:color w:val="auto"/>
          <w:sz w:val="28"/>
          <w:szCs w:val="28"/>
          <w:highlight w:val="none"/>
        </w:rPr>
        <w:t>（二）项目地点：广州大学城</w:t>
      </w:r>
    </w:p>
    <w:p>
      <w:pPr>
        <w:spacing w:line="520" w:lineRule="exact"/>
        <w:ind w:firstLine="560" w:firstLineChars="200"/>
        <w:rPr>
          <w:color w:val="auto"/>
          <w:sz w:val="28"/>
          <w:szCs w:val="28"/>
          <w:highlight w:val="none"/>
        </w:rPr>
      </w:pPr>
      <w:r>
        <w:rPr>
          <w:rFonts w:hint="eastAsia"/>
          <w:color w:val="auto"/>
          <w:sz w:val="28"/>
          <w:szCs w:val="28"/>
          <w:highlight w:val="none"/>
        </w:rPr>
        <w:t>（三）采购限价：</w:t>
      </w:r>
      <w:r>
        <w:rPr>
          <w:color w:val="auto"/>
          <w:sz w:val="28"/>
          <w:szCs w:val="28"/>
          <w:highlight w:val="none"/>
        </w:rPr>
        <w:t>9</w:t>
      </w:r>
      <w:r>
        <w:rPr>
          <w:rFonts w:hint="eastAsia"/>
          <w:color w:val="auto"/>
          <w:sz w:val="28"/>
          <w:szCs w:val="28"/>
          <w:highlight w:val="none"/>
        </w:rPr>
        <w:t>万元</w:t>
      </w:r>
    </w:p>
    <w:p>
      <w:pPr>
        <w:spacing w:line="520" w:lineRule="exact"/>
        <w:ind w:firstLine="560" w:firstLineChars="200"/>
        <w:rPr>
          <w:color w:val="auto"/>
          <w:sz w:val="28"/>
          <w:szCs w:val="28"/>
          <w:highlight w:val="none"/>
        </w:rPr>
      </w:pPr>
      <w:r>
        <w:rPr>
          <w:rFonts w:hint="eastAsia"/>
          <w:color w:val="auto"/>
          <w:sz w:val="28"/>
          <w:szCs w:val="28"/>
          <w:highlight w:val="none"/>
        </w:rPr>
        <w:t>（四）项目概况</w:t>
      </w:r>
    </w:p>
    <w:p>
      <w:pPr>
        <w:tabs>
          <w:tab w:val="left" w:pos="0"/>
          <w:tab w:val="left" w:pos="720"/>
        </w:tabs>
        <w:spacing w:line="520" w:lineRule="exact"/>
        <w:ind w:firstLine="560" w:firstLineChars="200"/>
        <w:rPr>
          <w:color w:val="auto"/>
          <w:sz w:val="28"/>
          <w:szCs w:val="28"/>
          <w:highlight w:val="none"/>
        </w:rPr>
      </w:pPr>
      <w:r>
        <w:rPr>
          <w:rFonts w:hint="eastAsia"/>
          <w:color w:val="auto"/>
          <w:sz w:val="28"/>
          <w:szCs w:val="28"/>
          <w:highlight w:val="none"/>
        </w:rPr>
        <w:t>为保障广州大学城信息枢纽楼及2</w:t>
      </w:r>
      <w:r>
        <w:rPr>
          <w:color w:val="auto"/>
          <w:sz w:val="28"/>
          <w:szCs w:val="28"/>
          <w:highlight w:val="none"/>
        </w:rPr>
        <w:t>#</w:t>
      </w:r>
      <w:r>
        <w:rPr>
          <w:rFonts w:hint="eastAsia"/>
          <w:color w:val="auto"/>
          <w:sz w:val="28"/>
          <w:szCs w:val="28"/>
          <w:highlight w:val="none"/>
        </w:rPr>
        <w:t>、3#、4#</w:t>
      </w:r>
      <w:r>
        <w:rPr>
          <w:color w:val="auto"/>
          <w:sz w:val="28"/>
          <w:szCs w:val="28"/>
          <w:highlight w:val="none"/>
        </w:rPr>
        <w:t>冷站的消防系统安全稳定运行</w:t>
      </w:r>
      <w:r>
        <w:rPr>
          <w:rFonts w:hint="eastAsia"/>
          <w:color w:val="auto"/>
          <w:sz w:val="28"/>
          <w:szCs w:val="28"/>
          <w:highlight w:val="none"/>
        </w:rPr>
        <w:t>，</w:t>
      </w:r>
      <w:r>
        <w:rPr>
          <w:color w:val="auto"/>
          <w:sz w:val="28"/>
          <w:szCs w:val="28"/>
          <w:highlight w:val="none"/>
        </w:rPr>
        <w:t>现拟委托具备专业资质的单位对其进行年度维护保养</w:t>
      </w:r>
      <w:r>
        <w:rPr>
          <w:rFonts w:hint="eastAsia"/>
          <w:color w:val="auto"/>
          <w:sz w:val="28"/>
          <w:szCs w:val="28"/>
          <w:highlight w:val="none"/>
        </w:rPr>
        <w:t>。</w:t>
      </w:r>
    </w:p>
    <w:p>
      <w:pPr>
        <w:tabs>
          <w:tab w:val="left" w:pos="0"/>
          <w:tab w:val="left" w:pos="720"/>
        </w:tabs>
        <w:spacing w:line="520" w:lineRule="exact"/>
        <w:ind w:firstLine="562" w:firstLineChars="200"/>
        <w:rPr>
          <w:b/>
          <w:color w:val="auto"/>
          <w:sz w:val="28"/>
          <w:szCs w:val="28"/>
          <w:highlight w:val="none"/>
        </w:rPr>
      </w:pPr>
      <w:r>
        <w:rPr>
          <w:rFonts w:hint="eastAsia"/>
          <w:b/>
          <w:color w:val="auto"/>
          <w:sz w:val="28"/>
          <w:szCs w:val="28"/>
          <w:highlight w:val="none"/>
        </w:rPr>
        <w:t>二、合格投标人资格要求</w:t>
      </w:r>
    </w:p>
    <w:p>
      <w:pPr>
        <w:tabs>
          <w:tab w:val="left" w:pos="0"/>
          <w:tab w:val="left" w:pos="720"/>
        </w:tabs>
        <w:spacing w:line="520" w:lineRule="exact"/>
        <w:ind w:firstLine="560" w:firstLineChars="200"/>
        <w:rPr>
          <w:color w:val="auto"/>
          <w:sz w:val="28"/>
          <w:szCs w:val="28"/>
          <w:highlight w:val="none"/>
        </w:rPr>
      </w:pPr>
      <w:r>
        <w:rPr>
          <w:rFonts w:hint="eastAsia"/>
          <w:color w:val="auto"/>
          <w:sz w:val="28"/>
          <w:szCs w:val="28"/>
          <w:highlight w:val="none"/>
        </w:rPr>
        <w:t>（一）必须是具有独立承担民事责任能力、在中华人民共和国境内注册的法人；</w:t>
      </w:r>
    </w:p>
    <w:p>
      <w:pPr>
        <w:tabs>
          <w:tab w:val="left" w:pos="0"/>
          <w:tab w:val="left" w:pos="720"/>
        </w:tabs>
        <w:spacing w:line="520" w:lineRule="exact"/>
        <w:ind w:firstLine="560" w:firstLineChars="200"/>
        <w:rPr>
          <w:color w:val="auto"/>
          <w:sz w:val="28"/>
          <w:szCs w:val="28"/>
          <w:highlight w:val="none"/>
        </w:rPr>
      </w:pPr>
      <w:r>
        <w:rPr>
          <w:rFonts w:hint="eastAsia"/>
          <w:color w:val="auto"/>
          <w:sz w:val="28"/>
          <w:szCs w:val="28"/>
          <w:highlight w:val="none"/>
        </w:rPr>
        <w:t>（二）具备有效的工商营业执照、企业法人组织机构代码证书、税务登记证书（或三证合一）；</w:t>
      </w:r>
    </w:p>
    <w:p>
      <w:pPr>
        <w:tabs>
          <w:tab w:val="left" w:pos="0"/>
          <w:tab w:val="left" w:pos="720"/>
        </w:tabs>
        <w:spacing w:line="520" w:lineRule="exact"/>
        <w:ind w:firstLine="560" w:firstLineChars="200"/>
        <w:rPr>
          <w:color w:val="auto"/>
          <w:sz w:val="28"/>
          <w:szCs w:val="28"/>
          <w:highlight w:val="none"/>
        </w:rPr>
      </w:pPr>
      <w:r>
        <w:rPr>
          <w:rFonts w:hint="eastAsia"/>
          <w:color w:val="auto"/>
          <w:sz w:val="28"/>
          <w:szCs w:val="28"/>
          <w:highlight w:val="none"/>
        </w:rPr>
        <w:t>（三）已办理合法税务登记，具有开具相应增值税专用发票资格；</w:t>
      </w:r>
    </w:p>
    <w:p>
      <w:pPr>
        <w:tabs>
          <w:tab w:val="left" w:pos="0"/>
          <w:tab w:val="left" w:pos="720"/>
        </w:tabs>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（四）具备消防设施维护保养检测机构</w:t>
      </w:r>
      <w:r>
        <w:rPr>
          <w:rFonts w:hint="eastAsia"/>
          <w:color w:val="auto"/>
          <w:sz w:val="28"/>
          <w:szCs w:val="28"/>
          <w:highlight w:val="none"/>
          <w:lang w:val="en-US" w:eastAsia="zh-CN"/>
        </w:rPr>
        <w:t>贰</w:t>
      </w:r>
      <w:r>
        <w:rPr>
          <w:color w:val="auto"/>
          <w:sz w:val="28"/>
          <w:szCs w:val="28"/>
          <w:highlight w:val="none"/>
        </w:rPr>
        <w:t>级或消防设施工程专业承包贰级</w:t>
      </w:r>
      <w:r>
        <w:rPr>
          <w:rFonts w:hint="eastAsia"/>
          <w:color w:val="auto"/>
          <w:sz w:val="28"/>
          <w:szCs w:val="28"/>
          <w:highlight w:val="none"/>
        </w:rPr>
        <w:t>或以上资质</w:t>
      </w:r>
      <w:r>
        <w:rPr>
          <w:rFonts w:hint="eastAsia"/>
          <w:color w:val="auto"/>
          <w:sz w:val="28"/>
          <w:szCs w:val="28"/>
          <w:highlight w:val="none"/>
          <w:lang w:eastAsia="zh-CN"/>
        </w:rPr>
        <w:t>；</w:t>
      </w:r>
    </w:p>
    <w:p>
      <w:pPr>
        <w:tabs>
          <w:tab w:val="left" w:pos="0"/>
          <w:tab w:val="left" w:pos="720"/>
        </w:tabs>
        <w:spacing w:line="520" w:lineRule="exact"/>
        <w:ind w:firstLine="560" w:firstLineChars="200"/>
        <w:rPr>
          <w:color w:val="auto"/>
          <w:sz w:val="28"/>
          <w:szCs w:val="28"/>
          <w:highlight w:val="none"/>
        </w:rPr>
      </w:pPr>
      <w:r>
        <w:rPr>
          <w:rFonts w:hint="eastAsia"/>
          <w:color w:val="auto"/>
          <w:sz w:val="28"/>
          <w:szCs w:val="28"/>
          <w:highlight w:val="none"/>
        </w:rPr>
        <w:t>（五）投标人近3年内(201</w:t>
      </w:r>
      <w:r>
        <w:rPr>
          <w:rFonts w:hint="eastAsia"/>
          <w:color w:val="auto"/>
          <w:sz w:val="28"/>
          <w:szCs w:val="28"/>
          <w:highlight w:val="none"/>
          <w:lang w:val="en-US" w:eastAsia="zh-CN"/>
        </w:rPr>
        <w:t>9</w:t>
      </w:r>
      <w:r>
        <w:rPr>
          <w:rFonts w:hint="eastAsia"/>
          <w:color w:val="auto"/>
          <w:sz w:val="28"/>
          <w:szCs w:val="28"/>
          <w:highlight w:val="none"/>
        </w:rPr>
        <w:t>年1月1日至今)完成过质量合格的类似工程项目业绩（需提供合同等相关证明材料复印件）；</w:t>
      </w:r>
    </w:p>
    <w:p>
      <w:pPr>
        <w:tabs>
          <w:tab w:val="left" w:pos="0"/>
          <w:tab w:val="left" w:pos="720"/>
        </w:tabs>
        <w:spacing w:line="520" w:lineRule="exact"/>
        <w:ind w:firstLine="560" w:firstLineChars="200"/>
        <w:rPr>
          <w:color w:val="auto"/>
          <w:sz w:val="28"/>
          <w:szCs w:val="28"/>
          <w:highlight w:val="none"/>
        </w:rPr>
      </w:pPr>
      <w:r>
        <w:rPr>
          <w:rFonts w:hint="eastAsia"/>
          <w:color w:val="auto"/>
          <w:sz w:val="28"/>
          <w:szCs w:val="28"/>
          <w:highlight w:val="none"/>
        </w:rPr>
        <w:t>（六）不接受联合体报价。</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宋体" w:hAnsi="宋体"/>
          <w:b/>
          <w:color w:val="auto"/>
          <w:sz w:val="28"/>
          <w:szCs w:val="28"/>
          <w:highlight w:val="none"/>
        </w:rPr>
        <w:t>三</w:t>
      </w:r>
      <w:r>
        <w:rPr>
          <w:rFonts w:hint="eastAsia" w:asciiTheme="minorEastAsia" w:hAnsiTheme="minorEastAsia" w:eastAsiaTheme="minorEastAsia"/>
          <w:b/>
          <w:color w:val="auto"/>
          <w:sz w:val="28"/>
          <w:szCs w:val="28"/>
          <w:highlight w:val="none"/>
        </w:rPr>
        <w:t>、项目技术要求</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（一）2#、3#、4#</w:t>
      </w:r>
      <w:r>
        <w:rPr>
          <w:rFonts w:asciiTheme="minorEastAsia" w:hAnsiTheme="minorEastAsia" w:eastAsiaTheme="minorEastAsia"/>
          <w:b/>
          <w:color w:val="auto"/>
          <w:sz w:val="28"/>
          <w:szCs w:val="28"/>
          <w:highlight w:val="none"/>
        </w:rPr>
        <w:t>冷站消防维保</w:t>
      </w:r>
    </w:p>
    <w:p>
      <w:pPr>
        <w:spacing w:line="560" w:lineRule="exact"/>
        <w:ind w:firstLine="562"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1</w:t>
      </w:r>
      <w:r>
        <w:rPr>
          <w:rFonts w:hint="eastAsia" w:asciiTheme="minorEastAsia" w:hAnsiTheme="minorEastAsia" w:eastAsiaTheme="minorEastAsia"/>
          <w:b/>
          <w:bCs/>
          <w:color w:val="auto"/>
          <w:sz w:val="28"/>
          <w:szCs w:val="28"/>
          <w:highlight w:val="none"/>
        </w:rPr>
        <w:t>、项目内容：</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投标人负责对广州大学城供冷站（</w:t>
      </w: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号站、</w:t>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号站、</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号站）的消防系统（火灾自动报警系统、联动控制系统、消火栓系统）的所有设备、管网、路线等进行检查、测试、维护、维修、更换、急修。</w:t>
      </w:r>
    </w:p>
    <w:p>
      <w:pPr>
        <w:numPr>
          <w:ilvl w:val="0"/>
          <w:numId w:val="1"/>
        </w:numPr>
        <w:spacing w:line="560" w:lineRule="exact"/>
        <w:ind w:firstLine="562" w:firstLineChars="20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项目实施地点：</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广州大学城供冷站之</w:t>
      </w: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号站、</w:t>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号站、</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号站</w:t>
      </w:r>
    </w:p>
    <w:p>
      <w:pPr>
        <w:spacing w:line="560" w:lineRule="exact"/>
        <w:ind w:firstLine="562"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3</w:t>
      </w:r>
      <w:r>
        <w:rPr>
          <w:rFonts w:hint="eastAsia" w:asciiTheme="minorEastAsia" w:hAnsiTheme="minorEastAsia" w:eastAsiaTheme="minorEastAsia"/>
          <w:b/>
          <w:bCs/>
          <w:color w:val="auto"/>
          <w:sz w:val="28"/>
          <w:szCs w:val="28"/>
          <w:highlight w:val="none"/>
        </w:rPr>
        <w:t>、委托代管及维修保养内容及要求：</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（1）消火栓系统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①维修保养内容</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检查消防栓箱配置是否完整齐全，包括检查每个消防栓口的静压是否符合设计或规范要求，检查栓口橡胶是否老化、龟裂或脱落，检查水带是否霉烂、穿孔，检查卷盘胶管是否老化、龟裂，检查破玻按钮是否破碎，并进行必要的清洁工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b</w:t>
      </w:r>
      <w:r>
        <w:rPr>
          <w:rFonts w:hint="eastAsia" w:asciiTheme="minorEastAsia" w:hAnsiTheme="minorEastAsia" w:eastAsiaTheme="minorEastAsia"/>
          <w:color w:val="auto"/>
          <w:sz w:val="28"/>
          <w:szCs w:val="28"/>
          <w:highlight w:val="none"/>
        </w:rPr>
        <w:t>、检查测试消防栓破玻系统，试验破玻按钮，警铃是否鸣响、消防水泵是否启动、消防中心是否有报警信号及消防水泵状态显示；</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c、检查消火栓系统的管道、水泵接合器及阀门。检查阀门是否易操作或有否渗漏滴水，对阀门定期加油润滑，对生锈、腐蚀、脱漆部位进行清理；</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d</w:t>
      </w:r>
      <w:r>
        <w:rPr>
          <w:rFonts w:hint="eastAsia" w:asciiTheme="minorEastAsia" w:hAnsiTheme="minorEastAsia" w:eastAsiaTheme="minorEastAsia"/>
          <w:color w:val="auto"/>
          <w:sz w:val="28"/>
          <w:szCs w:val="28"/>
          <w:highlight w:val="none"/>
        </w:rPr>
        <w:t>、定期试验消防栓，检查其喷水充实水柱是否达到规范或设计要求；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检查水泵房的消防设备，测试消防水泵运行情况，检查水泵控制柜的运行状态，定期试验安全泄压阀是否灵敏、可靠，检查水锤吸纳器工作是否有效；检查水泵房各阀门是否处于正常工作状态，是否完好不渗漏，对生锈脱落部位进行清理，检查阀门是否易操作，对消防水泵和阀门定期加油润滑；</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f、检查消防水池的储水情况，检查止回阀启闭是否灵活、有效；</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g、定期对消防栓系统管网进行全面检查，对油漆脱落的管道及时除锈刷防锈漆和标志漆；</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h、与维保初期提交冷站消火栓恒压供水系统的</w:t>
      </w:r>
      <w:r>
        <w:rPr>
          <w:rFonts w:asciiTheme="minorEastAsia" w:hAnsiTheme="minorEastAsia" w:eastAsiaTheme="minorEastAsia"/>
          <w:color w:val="auto"/>
          <w:sz w:val="28"/>
          <w:szCs w:val="28"/>
          <w:highlight w:val="none"/>
        </w:rPr>
        <w:t>PLC</w:t>
      </w:r>
      <w:r>
        <w:rPr>
          <w:rFonts w:hint="eastAsia" w:asciiTheme="minorEastAsia" w:hAnsiTheme="minorEastAsia" w:eastAsiaTheme="minorEastAsia"/>
          <w:color w:val="auto"/>
          <w:sz w:val="28"/>
          <w:szCs w:val="28"/>
          <w:highlight w:val="none"/>
        </w:rPr>
        <w:t>控制模块程序。</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②维修保养达到的效果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、消防栓箱内配置齐全，各项配件完好，消防栓口静压符合设计或规范要求；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b、试验消防栓破玻按钮，消防栓水泵启动正常，各项联动设施运作良好，消防中心有报警信号和消防水泵状态显示；</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c、各阀门处于正常的开或关状态，且有明显标志，阀体完好、不漏水；</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d、消防栓系统水泵接口器外观完</w:t>
      </w:r>
      <w:r>
        <w:rPr>
          <w:rFonts w:hint="eastAsia" w:asciiTheme="minorEastAsia" w:hAnsiTheme="minorEastAsia" w:eastAsiaTheme="minorEastAsia"/>
          <w:color w:val="auto"/>
          <w:sz w:val="28"/>
          <w:szCs w:val="28"/>
          <w:highlight w:val="none"/>
          <w:lang w:val="en-US" w:eastAsia="zh-CN"/>
        </w:rPr>
        <w:t>好</w:t>
      </w:r>
      <w:r>
        <w:rPr>
          <w:rFonts w:hint="eastAsia" w:asciiTheme="minorEastAsia" w:hAnsiTheme="minorEastAsia" w:eastAsiaTheme="minorEastAsia"/>
          <w:color w:val="auto"/>
          <w:sz w:val="28"/>
          <w:szCs w:val="28"/>
          <w:highlight w:val="none"/>
        </w:rPr>
        <w:t>，配置齐全，</w:t>
      </w:r>
      <w:r>
        <w:rPr>
          <w:rFonts w:hint="eastAsia" w:asciiTheme="minorEastAsia" w:hAnsiTheme="minorEastAsia" w:eastAsiaTheme="minorEastAsia"/>
          <w:color w:val="auto"/>
          <w:sz w:val="28"/>
          <w:szCs w:val="28"/>
          <w:highlight w:val="none"/>
          <w:lang w:val="en-US" w:eastAsia="zh-CN"/>
        </w:rPr>
        <w:t>无</w:t>
      </w:r>
      <w:r>
        <w:rPr>
          <w:rFonts w:hint="eastAsia" w:asciiTheme="minorEastAsia" w:hAnsiTheme="minorEastAsia" w:eastAsiaTheme="minorEastAsia"/>
          <w:color w:val="auto"/>
          <w:sz w:val="28"/>
          <w:szCs w:val="28"/>
          <w:highlight w:val="none"/>
        </w:rPr>
        <w:t>变形、无渗漏、</w:t>
      </w:r>
      <w:r>
        <w:rPr>
          <w:rFonts w:hint="eastAsia" w:asciiTheme="minorEastAsia" w:hAnsiTheme="minorEastAsia" w:eastAsiaTheme="minorEastAsia"/>
          <w:color w:val="auto"/>
          <w:sz w:val="28"/>
          <w:szCs w:val="28"/>
          <w:highlight w:val="none"/>
          <w:lang w:val="en-US" w:eastAsia="zh-CN"/>
        </w:rPr>
        <w:t>无</w:t>
      </w:r>
      <w:r>
        <w:rPr>
          <w:rFonts w:hint="eastAsia" w:asciiTheme="minorEastAsia" w:hAnsiTheme="minorEastAsia" w:eastAsiaTheme="minorEastAsia"/>
          <w:color w:val="auto"/>
          <w:sz w:val="28"/>
          <w:szCs w:val="28"/>
          <w:highlight w:val="none"/>
        </w:rPr>
        <w:t>缺损；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e、消防栓喷射时，其充水柱达到设计或规范要求；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f、安全泄压阀和水锤吸纳器外观完好，工作灵敏、可靠、有效；</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g</w:t>
      </w:r>
      <w:r>
        <w:rPr>
          <w:rFonts w:hint="eastAsia" w:asciiTheme="minorEastAsia" w:hAnsiTheme="minorEastAsia" w:eastAsiaTheme="minorEastAsia"/>
          <w:color w:val="auto"/>
          <w:sz w:val="28"/>
          <w:szCs w:val="28"/>
          <w:highlight w:val="none"/>
        </w:rPr>
        <w:t>、减压阀和过滤器外观完好，减压阀工作稳定、可靠，且减压比例准确，过滤器内</w:t>
      </w:r>
      <w:r>
        <w:rPr>
          <w:rFonts w:hint="eastAsia" w:asciiTheme="minorEastAsia" w:hAnsiTheme="minorEastAsia" w:eastAsiaTheme="minorEastAsia"/>
          <w:color w:val="auto"/>
          <w:sz w:val="28"/>
          <w:szCs w:val="28"/>
          <w:highlight w:val="none"/>
          <w:lang w:val="en-US" w:eastAsia="zh-CN"/>
        </w:rPr>
        <w:t>无</w:t>
      </w:r>
      <w:r>
        <w:rPr>
          <w:rFonts w:hint="eastAsia" w:asciiTheme="minorEastAsia" w:hAnsiTheme="minorEastAsia" w:eastAsiaTheme="minorEastAsia"/>
          <w:color w:val="auto"/>
          <w:sz w:val="28"/>
          <w:szCs w:val="28"/>
          <w:highlight w:val="none"/>
        </w:rPr>
        <w:t>杂物，水流畅通；</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h、阀门开关灵活、有效，无锈蚀、渗漏；</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i、止回阀启闭灵活、有效，无水回流，外观完好；</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j、消防栓系统管网外观完好，无变形、无锈蚀、脱漆和渗漏。</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（2）火灾报警系统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①维修保养内容</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、检查烟、温感探测器、警铃、破玻按钮、模块的外部是否有遮挡物，设备是否松动，各探头、模块的工作状态是否正常，警铃蜂鸣是否鸣响；</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b、检查主控控屏、充电器、打印机的工作状态是否正常，有否故障报警；</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c、试报手报按钮报警，本层及其上、下各一层警铃是否动作鸣响，消防中心显示报警区域是否准确；</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d、检查所有控制线、线管、线槽和各控制盘的线脱；</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e、检查系统设备所有接线端子是否松动、破损和脱落；</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f、定期对备用电源进行</w:t>
      </w:r>
      <w:r>
        <w:rPr>
          <w:rFonts w:asciiTheme="minorEastAsia" w:hAnsiTheme="minorEastAsia" w:eastAsiaTheme="minorEastAsia"/>
          <w:color w:val="auto"/>
          <w:sz w:val="28"/>
          <w:szCs w:val="28"/>
          <w:highlight w:val="none"/>
        </w:rPr>
        <w:t>1-3</w:t>
      </w:r>
      <w:r>
        <w:rPr>
          <w:rFonts w:hint="eastAsia" w:asciiTheme="minorEastAsia" w:hAnsiTheme="minorEastAsia" w:eastAsiaTheme="minorEastAsia"/>
          <w:color w:val="auto"/>
          <w:sz w:val="28"/>
          <w:szCs w:val="28"/>
          <w:highlight w:val="none"/>
        </w:rPr>
        <w:t>次主和备用电源自动切换试验；</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g</w:t>
      </w:r>
      <w:r>
        <w:rPr>
          <w:rFonts w:hint="eastAsia" w:asciiTheme="minorEastAsia" w:hAnsiTheme="minorEastAsia" w:eastAsiaTheme="minorEastAsia"/>
          <w:color w:val="auto"/>
          <w:sz w:val="28"/>
          <w:szCs w:val="28"/>
          <w:highlight w:val="none"/>
        </w:rPr>
        <w:t>、检查工作电池组、充电器的工作状态，备用电池的连续状态；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h、对主控屏、充电器的内部进行全面清洁；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i、对该系统的烟、温感探头进行外观清洁；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j、对监视模块、控制模块、反馈模块检查；</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k、根据甲方要求对现有烟、温感探测器、警铃、破玻按钮进行调整以满足现场生产需要；</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l、根据烟、温感探测器、警铃、破玻按钮、等模块的现场位置和编号以及提供的原设计图纸，进行图纸核对并在维保初期</w:t>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个月内提交核对后的图纸。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②维修保养达到的效果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、探测器动作灵敏，报警准确；</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b、主控屏工作正常，正常显示报警区域和输出联动信号；</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c、手报按钮动作灵敏，报警准确，联动功能正常；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d、主控屏和联动控制屏外观完好、清洁，各输入、输出显示功能正常；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e、界面（模块）各项参数正常，与外围设备的通信、控制信号正常；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f、电池组的电压及其他参数正常，供电稳定、可靠；</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g</w:t>
      </w:r>
      <w:r>
        <w:rPr>
          <w:rFonts w:hint="eastAsia" w:asciiTheme="minorEastAsia" w:hAnsiTheme="minorEastAsia" w:eastAsiaTheme="minorEastAsia"/>
          <w:color w:val="auto"/>
          <w:sz w:val="28"/>
          <w:szCs w:val="28"/>
          <w:highlight w:val="none"/>
        </w:rPr>
        <w:t>、系统设备所有接线牢固，无松动、破损活脱落；</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h、主、备电源自动切换功能正常；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i、探测器外观完好，内部清洁，功能正常；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j、报警主机控制程序正常，各项功能正常。</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（3）消防联动控制系统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①维修保养内容</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、检查消防水泵的联动控制及显示情况；</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b、检测消防广播系统；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c、检测消防电话系统；</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d、重点培训冷站运行操作人员对于联动控制的操作原理和操作要领。</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②维修保养达到的效果</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、消防水泵的联动控制正常；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b、联动控制柜的内部线路的检测正常，程序正确；</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c、消防广播系统工作正常；</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d、消防电话系统工作正常。</w:t>
      </w:r>
    </w:p>
    <w:p>
      <w:pPr>
        <w:spacing w:line="560" w:lineRule="exact"/>
        <w:ind w:firstLine="562" w:firstLineChars="200"/>
        <w:rPr>
          <w:rFonts w:cs="宋体"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4、消防</w:t>
      </w:r>
      <w:r>
        <w:rPr>
          <w:rFonts w:hint="eastAsia" w:cs="宋体" w:asciiTheme="minorEastAsia" w:hAnsiTheme="minorEastAsia" w:eastAsiaTheme="minorEastAsia"/>
          <w:b/>
          <w:color w:val="auto"/>
          <w:sz w:val="28"/>
          <w:szCs w:val="28"/>
          <w:highlight w:val="none"/>
        </w:rPr>
        <w:t>系统设备维修保养日常要求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投标人安排人员定期对广州大学城供冷站的消防系统进行巡检，巡查周期分为例行巡检、月检查、季度测试，投标人每</w:t>
      </w:r>
      <w:r>
        <w:rPr>
          <w:rFonts w:hint="eastAsia" w:asciiTheme="minorEastAsia" w:hAnsiTheme="minorEastAsia" w:eastAsiaTheme="minorEastAsia"/>
          <w:color w:val="auto"/>
          <w:sz w:val="28"/>
          <w:szCs w:val="28"/>
          <w:highlight w:val="none"/>
          <w:lang w:val="en-US" w:eastAsia="zh-CN"/>
        </w:rPr>
        <w:t>两</w:t>
      </w:r>
      <w:r>
        <w:rPr>
          <w:rFonts w:hint="eastAsia" w:asciiTheme="minorEastAsia" w:hAnsiTheme="minorEastAsia" w:eastAsiaTheme="minorEastAsia"/>
          <w:color w:val="auto"/>
          <w:sz w:val="28"/>
          <w:szCs w:val="28"/>
          <w:highlight w:val="none"/>
        </w:rPr>
        <w:t>周安排技术人员到现场进行巡查，每季度对系统做一次全面检查测试，并做好巡检记录。节假日前后应对系统进行重点检查，及时掌握系统的运行状况，消除系统隐患。如下表：</w:t>
      </w:r>
    </w:p>
    <w:tbl>
      <w:tblPr>
        <w:tblStyle w:val="15"/>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496"/>
        <w:gridCol w:w="4224"/>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32" w:type="dxa"/>
            <w:gridSpan w:val="2"/>
            <w:vAlign w:val="center"/>
          </w:tcPr>
          <w:p>
            <w:pPr>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项目</w:t>
            </w:r>
          </w:p>
        </w:tc>
        <w:tc>
          <w:tcPr>
            <w:tcW w:w="4224" w:type="dxa"/>
            <w:vAlign w:val="center"/>
          </w:tcPr>
          <w:p>
            <w:pPr>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内容</w:t>
            </w:r>
          </w:p>
        </w:tc>
        <w:tc>
          <w:tcPr>
            <w:tcW w:w="1147" w:type="dxa"/>
            <w:vAlign w:val="center"/>
          </w:tcPr>
          <w:p>
            <w:pPr>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消防供电备电</w:t>
            </w:r>
          </w:p>
        </w:tc>
        <w:tc>
          <w:tcPr>
            <w:tcW w:w="249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消防配电</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主、备电切换功能</w:t>
            </w:r>
          </w:p>
        </w:tc>
        <w:tc>
          <w:tcPr>
            <w:tcW w:w="1147" w:type="dxa"/>
            <w:vAlign w:val="center"/>
          </w:tcPr>
          <w:p>
            <w:pPr>
              <w:spacing w:line="360" w:lineRule="auto"/>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每</w:t>
            </w:r>
            <w:r>
              <w:rPr>
                <w:rFonts w:hint="eastAsia" w:asciiTheme="minorEastAsia" w:hAnsiTheme="minorEastAsia" w:eastAsiaTheme="minorEastAsia"/>
                <w:color w:val="auto"/>
                <w:szCs w:val="21"/>
                <w:highlight w:val="none"/>
                <w:lang w:val="en-US" w:eastAsia="zh-CN"/>
              </w:rPr>
              <w:t>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1136" w:type="dxa"/>
            <w:vMerge w:val="restart"/>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火灾报警系统</w:t>
            </w:r>
          </w:p>
        </w:tc>
        <w:tc>
          <w:tcPr>
            <w:tcW w:w="2496" w:type="dxa"/>
            <w:vAlign w:val="center"/>
          </w:tcPr>
          <w:p>
            <w:pPr>
              <w:spacing w:line="360" w:lineRule="auto"/>
              <w:ind w:firstLine="105" w:firstLineChars="5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烟、温感探测器</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报警功能、故障报警功能、火警优先功能、打印机打印功能、火灾显示屏显示功能、</w:t>
            </w:r>
            <w:r>
              <w:rPr>
                <w:rFonts w:asciiTheme="minorEastAsia" w:hAnsiTheme="minorEastAsia" w:eastAsiaTheme="minorEastAsia"/>
                <w:color w:val="auto"/>
                <w:szCs w:val="21"/>
                <w:highlight w:val="none"/>
              </w:rPr>
              <w:t>CRT</w:t>
            </w:r>
            <w:r>
              <w:rPr>
                <w:rFonts w:hint="eastAsia" w:asciiTheme="minorEastAsia" w:hAnsiTheme="minorEastAsia" w:eastAsiaTheme="minorEastAsia"/>
                <w:color w:val="auto"/>
                <w:szCs w:val="21"/>
                <w:highlight w:val="none"/>
              </w:rPr>
              <w:t>显示器显示功能</w:t>
            </w:r>
          </w:p>
        </w:tc>
        <w:tc>
          <w:tcPr>
            <w:tcW w:w="1147" w:type="dxa"/>
            <w:vAlign w:val="center"/>
          </w:tcPr>
          <w:p>
            <w:pPr>
              <w:widowControl/>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w:t>
            </w:r>
            <w:r>
              <w:rPr>
                <w:rFonts w:hint="eastAsia" w:asciiTheme="minorEastAsia" w:hAnsiTheme="minorEastAsia" w:eastAsiaTheme="minorEastAsia"/>
                <w:color w:val="auto"/>
                <w:szCs w:val="21"/>
                <w:highlight w:val="none"/>
                <w:lang w:val="en-US" w:eastAsia="zh-CN"/>
              </w:rPr>
              <w:t>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Merge w:val="continue"/>
            <w:vAlign w:val="center"/>
          </w:tcPr>
          <w:p>
            <w:pPr>
              <w:spacing w:line="360" w:lineRule="auto"/>
              <w:ind w:firstLine="105" w:firstLineChars="50"/>
              <w:jc w:val="center"/>
              <w:rPr>
                <w:rFonts w:asciiTheme="minorEastAsia" w:hAnsiTheme="minorEastAsia" w:eastAsiaTheme="minorEastAsia"/>
                <w:color w:val="auto"/>
                <w:szCs w:val="21"/>
                <w:highlight w:val="none"/>
              </w:rPr>
            </w:pPr>
          </w:p>
        </w:tc>
        <w:tc>
          <w:tcPr>
            <w:tcW w:w="249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报警装置</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报警功能及外观</w:t>
            </w:r>
          </w:p>
        </w:tc>
        <w:tc>
          <w:tcPr>
            <w:tcW w:w="1147" w:type="dxa"/>
            <w:vAlign w:val="center"/>
          </w:tcPr>
          <w:p>
            <w:pPr>
              <w:widowControl/>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w:t>
            </w:r>
            <w:r>
              <w:rPr>
                <w:rFonts w:hint="eastAsia" w:asciiTheme="minorEastAsia" w:hAnsiTheme="minorEastAsia" w:eastAsiaTheme="minorEastAsia"/>
                <w:color w:val="auto"/>
                <w:szCs w:val="21"/>
                <w:highlight w:val="none"/>
                <w:lang w:val="en-US" w:eastAsia="zh-CN"/>
              </w:rPr>
              <w:t>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36" w:type="dxa"/>
            <w:vMerge w:val="continue"/>
            <w:vAlign w:val="center"/>
          </w:tcPr>
          <w:p>
            <w:pPr>
              <w:spacing w:line="360" w:lineRule="auto"/>
              <w:ind w:firstLine="105" w:firstLineChars="50"/>
              <w:jc w:val="center"/>
              <w:rPr>
                <w:rFonts w:asciiTheme="minorEastAsia" w:hAnsiTheme="minorEastAsia" w:eastAsiaTheme="minorEastAsia"/>
                <w:color w:val="auto"/>
                <w:szCs w:val="21"/>
                <w:highlight w:val="none"/>
              </w:rPr>
            </w:pPr>
          </w:p>
        </w:tc>
        <w:tc>
          <w:tcPr>
            <w:tcW w:w="249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手动报警按钮</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报警功能及外观</w:t>
            </w:r>
          </w:p>
        </w:tc>
        <w:tc>
          <w:tcPr>
            <w:tcW w:w="1147"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w:t>
            </w:r>
            <w:r>
              <w:rPr>
                <w:rFonts w:hint="eastAsia" w:asciiTheme="minorEastAsia" w:hAnsiTheme="minorEastAsia" w:eastAsiaTheme="minorEastAsia"/>
                <w:color w:val="auto"/>
                <w:szCs w:val="21"/>
                <w:highlight w:val="none"/>
                <w:lang w:val="en-US" w:eastAsia="zh-CN"/>
              </w:rPr>
              <w:t>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36" w:type="dxa"/>
            <w:vMerge w:val="continue"/>
            <w:vAlign w:val="center"/>
          </w:tcPr>
          <w:p>
            <w:pPr>
              <w:spacing w:line="360" w:lineRule="auto"/>
              <w:ind w:firstLine="105" w:firstLineChars="50"/>
              <w:jc w:val="center"/>
              <w:rPr>
                <w:rFonts w:asciiTheme="minorEastAsia" w:hAnsiTheme="minorEastAsia" w:eastAsiaTheme="minorEastAsia"/>
                <w:color w:val="auto"/>
                <w:szCs w:val="21"/>
                <w:highlight w:val="none"/>
              </w:rPr>
            </w:pPr>
          </w:p>
        </w:tc>
        <w:tc>
          <w:tcPr>
            <w:tcW w:w="249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火灾报警探测器</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各类烟感和光感报警功能</w:t>
            </w:r>
          </w:p>
        </w:tc>
        <w:tc>
          <w:tcPr>
            <w:tcW w:w="1147"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w:t>
            </w:r>
            <w:r>
              <w:rPr>
                <w:rFonts w:hint="eastAsia" w:asciiTheme="minorEastAsia" w:hAnsiTheme="minorEastAsia" w:eastAsiaTheme="minorEastAsia"/>
                <w:color w:val="auto"/>
                <w:szCs w:val="21"/>
                <w:highlight w:val="none"/>
                <w:lang w:val="en-US" w:eastAsia="zh-CN"/>
              </w:rPr>
              <w:t>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restart"/>
            <w:vAlign w:val="center"/>
          </w:tcPr>
          <w:p>
            <w:pPr>
              <w:spacing w:line="360" w:lineRule="auto"/>
              <w:ind w:left="105" w:hanging="105" w:hangingChars="5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消防栓系统</w:t>
            </w:r>
          </w:p>
        </w:tc>
        <w:tc>
          <w:tcPr>
            <w:tcW w:w="249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室内消防栓</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出水及静压状况</w:t>
            </w:r>
          </w:p>
        </w:tc>
        <w:tc>
          <w:tcPr>
            <w:tcW w:w="1147"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w:t>
            </w:r>
            <w:r>
              <w:rPr>
                <w:rFonts w:hint="eastAsia" w:asciiTheme="minorEastAsia" w:hAnsiTheme="minorEastAsia" w:eastAsiaTheme="minorEastAsia"/>
                <w:color w:val="auto"/>
                <w:szCs w:val="21"/>
                <w:highlight w:val="none"/>
                <w:lang w:val="en-US" w:eastAsia="zh-CN"/>
              </w:rPr>
              <w:t>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vAlign w:val="center"/>
          </w:tcPr>
          <w:p>
            <w:pPr>
              <w:spacing w:line="360" w:lineRule="auto"/>
              <w:jc w:val="center"/>
              <w:rPr>
                <w:rFonts w:asciiTheme="minorEastAsia" w:hAnsiTheme="minorEastAsia" w:eastAsiaTheme="minorEastAsia"/>
                <w:color w:val="auto"/>
                <w:szCs w:val="21"/>
                <w:highlight w:val="none"/>
              </w:rPr>
            </w:pPr>
          </w:p>
        </w:tc>
        <w:tc>
          <w:tcPr>
            <w:tcW w:w="249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室外消防栓</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出水及静压状况</w:t>
            </w:r>
          </w:p>
        </w:tc>
        <w:tc>
          <w:tcPr>
            <w:tcW w:w="1147"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w:t>
            </w:r>
            <w:r>
              <w:rPr>
                <w:rFonts w:hint="eastAsia" w:asciiTheme="minorEastAsia" w:hAnsiTheme="minorEastAsia" w:eastAsiaTheme="minorEastAsia"/>
                <w:color w:val="auto"/>
                <w:szCs w:val="21"/>
                <w:highlight w:val="none"/>
                <w:lang w:val="en-US" w:eastAsia="zh-CN"/>
              </w:rPr>
              <w:t>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vAlign w:val="center"/>
          </w:tcPr>
          <w:p>
            <w:pPr>
              <w:spacing w:line="360" w:lineRule="auto"/>
              <w:jc w:val="center"/>
              <w:rPr>
                <w:rFonts w:asciiTheme="minorEastAsia" w:hAnsiTheme="minorEastAsia" w:eastAsiaTheme="minorEastAsia"/>
                <w:color w:val="auto"/>
                <w:szCs w:val="21"/>
                <w:highlight w:val="none"/>
              </w:rPr>
            </w:pPr>
          </w:p>
        </w:tc>
        <w:tc>
          <w:tcPr>
            <w:tcW w:w="249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启泵按钮</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远距离启泵功能</w:t>
            </w:r>
          </w:p>
        </w:tc>
        <w:tc>
          <w:tcPr>
            <w:tcW w:w="1147"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w:t>
            </w:r>
            <w:r>
              <w:rPr>
                <w:rFonts w:hint="eastAsia" w:asciiTheme="minorEastAsia" w:hAnsiTheme="minorEastAsia" w:eastAsiaTheme="minorEastAsia"/>
                <w:color w:val="auto"/>
                <w:szCs w:val="21"/>
                <w:highlight w:val="none"/>
                <w:lang w:val="en-US" w:eastAsia="zh-CN"/>
              </w:rPr>
              <w:t>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应急照明</w:t>
            </w:r>
          </w:p>
        </w:tc>
        <w:tc>
          <w:tcPr>
            <w:tcW w:w="249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消防应急灯</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断电时供电及照度状况</w:t>
            </w:r>
          </w:p>
        </w:tc>
        <w:tc>
          <w:tcPr>
            <w:tcW w:w="1147"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w:t>
            </w:r>
            <w:r>
              <w:rPr>
                <w:rFonts w:hint="eastAsia" w:asciiTheme="minorEastAsia" w:hAnsiTheme="minorEastAsia" w:eastAsiaTheme="minorEastAsia"/>
                <w:color w:val="auto"/>
                <w:szCs w:val="21"/>
                <w:highlight w:val="none"/>
                <w:lang w:val="en-US" w:eastAsia="zh-CN"/>
              </w:rPr>
              <w:t>两周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restart"/>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消防应急广播系统</w:t>
            </w:r>
          </w:p>
        </w:tc>
        <w:tc>
          <w:tcPr>
            <w:tcW w:w="249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扩音器</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联动启动和强制切换功能</w:t>
            </w:r>
          </w:p>
        </w:tc>
        <w:tc>
          <w:tcPr>
            <w:tcW w:w="1147"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6" w:type="dxa"/>
            <w:vMerge w:val="continue"/>
            <w:vAlign w:val="center"/>
          </w:tcPr>
          <w:p>
            <w:pPr>
              <w:spacing w:line="360" w:lineRule="auto"/>
              <w:jc w:val="center"/>
              <w:rPr>
                <w:rFonts w:asciiTheme="minorEastAsia" w:hAnsiTheme="minorEastAsia" w:eastAsiaTheme="minorEastAsia"/>
                <w:color w:val="auto"/>
                <w:szCs w:val="21"/>
                <w:highlight w:val="none"/>
              </w:rPr>
            </w:pPr>
          </w:p>
        </w:tc>
        <w:tc>
          <w:tcPr>
            <w:tcW w:w="2496"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扬声器及对讲话筒</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音质和音量</w:t>
            </w:r>
          </w:p>
        </w:tc>
        <w:tc>
          <w:tcPr>
            <w:tcW w:w="1147"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32" w:type="dxa"/>
            <w:gridSpan w:val="2"/>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消防专用电话</w:t>
            </w:r>
          </w:p>
        </w:tc>
        <w:tc>
          <w:tcPr>
            <w:tcW w:w="4224"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通话质量</w:t>
            </w:r>
          </w:p>
        </w:tc>
        <w:tc>
          <w:tcPr>
            <w:tcW w:w="1147"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每季度</w:t>
            </w:r>
          </w:p>
        </w:tc>
      </w:tr>
    </w:tbl>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（二）广州大学城信息枢纽楼消防维保</w:t>
      </w:r>
    </w:p>
    <w:p>
      <w:pPr>
        <w:spacing w:line="560" w:lineRule="exact"/>
        <w:ind w:firstLine="562" w:firstLineChars="20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color w:val="auto"/>
          <w:sz w:val="28"/>
          <w:szCs w:val="28"/>
          <w:highlight w:val="none"/>
        </w:rPr>
        <w:t>1、</w:t>
      </w:r>
      <w:r>
        <w:rPr>
          <w:rFonts w:hint="eastAsia" w:asciiTheme="minorEastAsia" w:hAnsiTheme="minorEastAsia" w:eastAsiaTheme="minorEastAsia"/>
          <w:b/>
          <w:bCs/>
          <w:color w:val="auto"/>
          <w:sz w:val="28"/>
          <w:szCs w:val="28"/>
          <w:highlight w:val="none"/>
        </w:rPr>
        <w:t>项目内容</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项目位于广州大学城内的大学城综合信息枢纽楼，大楼主楼建筑面积约4万平方米，副楼4000多平方米，消防报警系统按一类高层一级保护对象设计，大楼设一个消防控制中心，负责监控大楼及副楼内所有消防设备及联动控制。信息枢纽楼消防系统维保内容：包括火灾自动报警系统、联动控制系统、消防广播系统、消防对讲系统、消防水系统（包括自动水喷淋）、通风系统、防火卷帘等。</w:t>
      </w:r>
    </w:p>
    <w:p>
      <w:pPr>
        <w:spacing w:line="560" w:lineRule="exact"/>
        <w:ind w:firstLine="562" w:firstLineChars="20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color w:val="auto"/>
          <w:sz w:val="28"/>
          <w:szCs w:val="28"/>
          <w:highlight w:val="none"/>
        </w:rPr>
        <w:t>2、</w:t>
      </w:r>
      <w:r>
        <w:rPr>
          <w:rFonts w:hint="eastAsia" w:asciiTheme="minorEastAsia" w:hAnsiTheme="minorEastAsia" w:eastAsiaTheme="minorEastAsia"/>
          <w:b/>
          <w:bCs/>
          <w:color w:val="auto"/>
          <w:sz w:val="28"/>
          <w:szCs w:val="28"/>
          <w:highlight w:val="none"/>
        </w:rPr>
        <w:t>项目实施地点</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广州大学城内的大学城信息枢纽楼</w:t>
      </w:r>
    </w:p>
    <w:p>
      <w:pPr>
        <w:spacing w:line="560" w:lineRule="exact"/>
        <w:ind w:firstLine="562" w:firstLineChars="20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color w:val="auto"/>
          <w:sz w:val="28"/>
          <w:szCs w:val="28"/>
          <w:highlight w:val="none"/>
        </w:rPr>
        <w:t>3、</w:t>
      </w:r>
      <w:r>
        <w:rPr>
          <w:rFonts w:hint="eastAsia" w:asciiTheme="minorEastAsia" w:hAnsiTheme="minorEastAsia" w:eastAsiaTheme="minorEastAsia"/>
          <w:b/>
          <w:bCs/>
          <w:color w:val="auto"/>
          <w:sz w:val="28"/>
          <w:szCs w:val="28"/>
          <w:highlight w:val="none"/>
        </w:rPr>
        <w:t>委托代管及维修保养内容及要求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消防维保公司按要求对消防系统进行检测，检测项目包括：设备性能、联动功能、回路电压和电阻、水压、风压、气压、时间、烟感、手保、广播等是否达到规范要求，对各设备的质量和运行状况给予评价，每月对设备抽查率不少于10%，每年覆盖一次。</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（2）各系统消防维保服务内容见下表，消防维保公司对各系统进行检测并出具检测报告。</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①火灾自动报警系统</w:t>
      </w:r>
    </w:p>
    <w:tbl>
      <w:tblPr>
        <w:tblStyle w:val="1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1115"/>
        <w:gridCol w:w="2835"/>
        <w:gridCol w:w="728"/>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w:t>
            </w:r>
          </w:p>
        </w:tc>
        <w:tc>
          <w:tcPr>
            <w:tcW w:w="3950"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工作内容</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周期</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709" w:type="dxa"/>
            <w:vMerge w:val="restar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完好性检查</w:t>
            </w:r>
          </w:p>
        </w:tc>
        <w:tc>
          <w:tcPr>
            <w:tcW w:w="3950"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检查火灾报警主机、图文显示、消防联动控制台</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工作环境正常，设备状态完好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709" w:type="dxa"/>
            <w:vMerge w:val="continue"/>
            <w:vAlign w:val="center"/>
          </w:tcPr>
          <w:p>
            <w:pPr>
              <w:jc w:val="center"/>
              <w:rPr>
                <w:rFonts w:asciiTheme="minorEastAsia" w:hAnsiTheme="minorEastAsia" w:eastAsiaTheme="minorEastAsia"/>
                <w:color w:val="auto"/>
                <w:szCs w:val="21"/>
                <w:highlight w:val="none"/>
              </w:rPr>
            </w:pPr>
          </w:p>
        </w:tc>
        <w:tc>
          <w:tcPr>
            <w:tcW w:w="3950"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烟感探测器、温感探测器、手动报警按钮、警铃、模块等设施的完好状态</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有响应、无损坏、无腐蚀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709" w:type="dxa"/>
            <w:vMerge w:val="restar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功能检测</w:t>
            </w:r>
          </w:p>
        </w:tc>
        <w:tc>
          <w:tcPr>
            <w:tcW w:w="111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探测器</w:t>
            </w:r>
          </w:p>
        </w:tc>
        <w:tc>
          <w:tcPr>
            <w:tcW w:w="283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进行模拟火灾响应试验抽检。每年完成一次全样检测。</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探测器报警正常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709" w:type="dxa"/>
            <w:vMerge w:val="continue"/>
          </w:tcPr>
          <w:p>
            <w:pPr>
              <w:rPr>
                <w:rFonts w:asciiTheme="minorEastAsia" w:hAnsiTheme="minorEastAsia" w:eastAsiaTheme="minorEastAsia"/>
                <w:color w:val="auto"/>
                <w:szCs w:val="21"/>
                <w:highlight w:val="none"/>
              </w:rPr>
            </w:pPr>
          </w:p>
        </w:tc>
        <w:tc>
          <w:tcPr>
            <w:tcW w:w="111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手动报警按钮</w:t>
            </w:r>
          </w:p>
        </w:tc>
        <w:tc>
          <w:tcPr>
            <w:tcW w:w="283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进行模拟火灾响应试验抽检。每年完成一次全样检测。</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手动报警正常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709" w:type="dxa"/>
            <w:vMerge w:val="continue"/>
          </w:tcPr>
          <w:p>
            <w:pPr>
              <w:rPr>
                <w:rFonts w:asciiTheme="minorEastAsia" w:hAnsiTheme="minorEastAsia" w:eastAsiaTheme="minorEastAsia"/>
                <w:color w:val="auto"/>
                <w:szCs w:val="21"/>
                <w:highlight w:val="none"/>
              </w:rPr>
            </w:pPr>
          </w:p>
        </w:tc>
        <w:tc>
          <w:tcPr>
            <w:tcW w:w="111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警铃</w:t>
            </w:r>
          </w:p>
        </w:tc>
        <w:tc>
          <w:tcPr>
            <w:tcW w:w="283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进行模拟火灾响应试验抽检。每年完成一次全样检测。</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警铃报警正常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709" w:type="dxa"/>
            <w:vMerge w:val="continue"/>
          </w:tcPr>
          <w:p>
            <w:pPr>
              <w:rPr>
                <w:rFonts w:asciiTheme="minorEastAsia" w:hAnsiTheme="minorEastAsia" w:eastAsiaTheme="minorEastAsia"/>
                <w:color w:val="auto"/>
                <w:szCs w:val="21"/>
                <w:highlight w:val="none"/>
              </w:rPr>
            </w:pPr>
          </w:p>
        </w:tc>
        <w:tc>
          <w:tcPr>
            <w:tcW w:w="111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火灾报警主机</w:t>
            </w:r>
          </w:p>
        </w:tc>
        <w:tc>
          <w:tcPr>
            <w:tcW w:w="283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进行自检、故障、、报警、消音、复位、火警优先、报警记忆、备用电池、打印等功能测试，每月进行一次全样检测。</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主机报警正常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709" w:type="dxa"/>
            <w:vMerge w:val="continue"/>
          </w:tcPr>
          <w:p>
            <w:pPr>
              <w:rPr>
                <w:rFonts w:asciiTheme="minorEastAsia" w:hAnsiTheme="minorEastAsia" w:eastAsiaTheme="minorEastAsia"/>
                <w:color w:val="auto"/>
                <w:szCs w:val="21"/>
                <w:highlight w:val="none"/>
              </w:rPr>
            </w:pPr>
          </w:p>
        </w:tc>
        <w:tc>
          <w:tcPr>
            <w:tcW w:w="111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显示功能检查</w:t>
            </w:r>
          </w:p>
        </w:tc>
        <w:tc>
          <w:tcPr>
            <w:tcW w:w="283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报警主机及图文显示检查</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报警主机及图文显示正常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709" w:type="dxa"/>
            <w:vMerge w:val="continue"/>
          </w:tcPr>
          <w:p>
            <w:pPr>
              <w:rPr>
                <w:rFonts w:asciiTheme="minorEastAsia" w:hAnsiTheme="minorEastAsia" w:eastAsiaTheme="minorEastAsia"/>
                <w:color w:val="auto"/>
                <w:szCs w:val="21"/>
                <w:highlight w:val="none"/>
              </w:rPr>
            </w:pPr>
          </w:p>
        </w:tc>
        <w:tc>
          <w:tcPr>
            <w:tcW w:w="111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线路回路</w:t>
            </w:r>
          </w:p>
        </w:tc>
        <w:tc>
          <w:tcPr>
            <w:tcW w:w="283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进行回路电压、回路工作电阻、回路对地电阻测试，每季度进行一次全样检查</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回路测试正常，报警状态每一回路工作电流≤200MA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p>
        </w:tc>
        <w:tc>
          <w:tcPr>
            <w:tcW w:w="709" w:type="dxa"/>
            <w:vMerge w:val="continue"/>
          </w:tcPr>
          <w:p>
            <w:pPr>
              <w:rPr>
                <w:rFonts w:asciiTheme="minorEastAsia" w:hAnsiTheme="minorEastAsia" w:eastAsiaTheme="minorEastAsia"/>
                <w:color w:val="auto"/>
                <w:szCs w:val="21"/>
                <w:highlight w:val="none"/>
              </w:rPr>
            </w:pPr>
          </w:p>
        </w:tc>
        <w:tc>
          <w:tcPr>
            <w:tcW w:w="111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备用电池</w:t>
            </w:r>
          </w:p>
        </w:tc>
        <w:tc>
          <w:tcPr>
            <w:tcW w:w="283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对备用电源进行1-2次充放电实验，1-3次主电源和备用电源自动切换实验</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能正常切换，并保证备用电连续供电不少于24小时。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w:t>
            </w:r>
          </w:p>
        </w:tc>
        <w:tc>
          <w:tcPr>
            <w:tcW w:w="709" w:type="dxa"/>
            <w:vMerge w:val="continue"/>
          </w:tcPr>
          <w:p>
            <w:pPr>
              <w:rPr>
                <w:rFonts w:asciiTheme="minorEastAsia" w:hAnsiTheme="minorEastAsia" w:eastAsiaTheme="minorEastAsia"/>
                <w:color w:val="auto"/>
                <w:szCs w:val="21"/>
                <w:highlight w:val="none"/>
              </w:rPr>
            </w:pPr>
          </w:p>
        </w:tc>
        <w:tc>
          <w:tcPr>
            <w:tcW w:w="111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消防软件</w:t>
            </w:r>
          </w:p>
        </w:tc>
        <w:tc>
          <w:tcPr>
            <w:tcW w:w="283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对消防主机和图文中心的软件进行功能性检测。</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报警后能自动显示或自动切换到报警区域的点位图，自动记录系统故障和火灾报警信息的功能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线路维护</w:t>
            </w:r>
          </w:p>
        </w:tc>
        <w:tc>
          <w:tcPr>
            <w:tcW w:w="3950"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每季度对内部各接线端子和信号（电源）线进行维保</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各端子连接牢固，不松动，导线无破损，老化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内部除尘</w:t>
            </w:r>
          </w:p>
        </w:tc>
        <w:tc>
          <w:tcPr>
            <w:tcW w:w="3950"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对报警控制器内部进行除尘</w:t>
            </w:r>
          </w:p>
        </w:tc>
        <w:tc>
          <w:tcPr>
            <w:tcW w:w="72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31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无尘</w:t>
            </w:r>
          </w:p>
        </w:tc>
      </w:tr>
    </w:tbl>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②消防广播系统</w:t>
      </w:r>
    </w:p>
    <w:tbl>
      <w:tblPr>
        <w:tblStyle w:val="15"/>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1276"/>
        <w:gridCol w:w="3544"/>
        <w:gridCol w:w="699"/>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w:t>
            </w:r>
          </w:p>
        </w:tc>
        <w:tc>
          <w:tcPr>
            <w:tcW w:w="4820"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工作内容</w:t>
            </w:r>
          </w:p>
        </w:tc>
        <w:tc>
          <w:tcPr>
            <w:tcW w:w="6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周期</w:t>
            </w:r>
          </w:p>
        </w:tc>
        <w:tc>
          <w:tcPr>
            <w:tcW w:w="234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完好性检查</w:t>
            </w:r>
          </w:p>
        </w:tc>
        <w:tc>
          <w:tcPr>
            <w:tcW w:w="4820"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每月检查广播主机、DVD机、功能、双卡座录音机、调谐器、前置放大器、监听器、广播切换器、扬声器、话筒的完好状态</w:t>
            </w:r>
          </w:p>
        </w:tc>
        <w:tc>
          <w:tcPr>
            <w:tcW w:w="6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34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工作环境正常，各设备状态完好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709" w:type="dxa"/>
            <w:vMerge w:val="restar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功能测试</w:t>
            </w:r>
          </w:p>
        </w:tc>
        <w:tc>
          <w:tcPr>
            <w:tcW w:w="12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各切换器、控制器等</w:t>
            </w:r>
          </w:p>
        </w:tc>
        <w:tc>
          <w:tcPr>
            <w:tcW w:w="3544"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通电试验</w:t>
            </w:r>
          </w:p>
        </w:tc>
        <w:tc>
          <w:tcPr>
            <w:tcW w:w="6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34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转换工作正常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709" w:type="dxa"/>
            <w:vMerge w:val="continue"/>
            <w:vAlign w:val="center"/>
          </w:tcPr>
          <w:p>
            <w:pPr>
              <w:jc w:val="center"/>
              <w:rPr>
                <w:rFonts w:asciiTheme="minorEastAsia" w:hAnsiTheme="minorEastAsia" w:eastAsiaTheme="minorEastAsia"/>
                <w:color w:val="auto"/>
                <w:szCs w:val="21"/>
                <w:highlight w:val="none"/>
              </w:rPr>
            </w:pPr>
          </w:p>
        </w:tc>
        <w:tc>
          <w:tcPr>
            <w:tcW w:w="12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各放大器</w:t>
            </w:r>
          </w:p>
        </w:tc>
        <w:tc>
          <w:tcPr>
            <w:tcW w:w="3544"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放音试听音质，音量</w:t>
            </w:r>
          </w:p>
        </w:tc>
        <w:tc>
          <w:tcPr>
            <w:tcW w:w="6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34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音质、音量良好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709" w:type="dxa"/>
            <w:vMerge w:val="continue"/>
            <w:vAlign w:val="center"/>
          </w:tcPr>
          <w:p>
            <w:pPr>
              <w:jc w:val="center"/>
              <w:rPr>
                <w:rFonts w:asciiTheme="minorEastAsia" w:hAnsiTheme="minorEastAsia" w:eastAsiaTheme="minorEastAsia"/>
                <w:color w:val="auto"/>
                <w:szCs w:val="21"/>
                <w:highlight w:val="none"/>
              </w:rPr>
            </w:pPr>
          </w:p>
        </w:tc>
        <w:tc>
          <w:tcPr>
            <w:tcW w:w="12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广播主机</w:t>
            </w:r>
          </w:p>
        </w:tc>
        <w:tc>
          <w:tcPr>
            <w:tcW w:w="3544"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能自动切换到消防广播状态</w:t>
            </w:r>
          </w:p>
        </w:tc>
        <w:tc>
          <w:tcPr>
            <w:tcW w:w="6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34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主机切换正常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709" w:type="dxa"/>
            <w:vMerge w:val="continue"/>
            <w:vAlign w:val="center"/>
          </w:tcPr>
          <w:p>
            <w:pPr>
              <w:jc w:val="center"/>
              <w:rPr>
                <w:rFonts w:asciiTheme="minorEastAsia" w:hAnsiTheme="minorEastAsia" w:eastAsiaTheme="minorEastAsia"/>
                <w:color w:val="auto"/>
                <w:szCs w:val="21"/>
                <w:highlight w:val="none"/>
              </w:rPr>
            </w:pPr>
          </w:p>
        </w:tc>
        <w:tc>
          <w:tcPr>
            <w:tcW w:w="12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广播</w:t>
            </w:r>
          </w:p>
        </w:tc>
        <w:tc>
          <w:tcPr>
            <w:tcW w:w="3544"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每月按安装数量的30%试验选层（或选区）广播，检查广播音质，音量：每季覆盖一次</w:t>
            </w:r>
          </w:p>
        </w:tc>
        <w:tc>
          <w:tcPr>
            <w:tcW w:w="6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34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扬声器音量清晰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709" w:type="dxa"/>
            <w:vMerge w:val="continue"/>
            <w:vAlign w:val="center"/>
          </w:tcPr>
          <w:p>
            <w:pPr>
              <w:jc w:val="center"/>
              <w:rPr>
                <w:rFonts w:asciiTheme="minorEastAsia" w:hAnsiTheme="minorEastAsia" w:eastAsiaTheme="minorEastAsia"/>
                <w:color w:val="auto"/>
                <w:szCs w:val="21"/>
                <w:highlight w:val="none"/>
              </w:rPr>
            </w:pPr>
          </w:p>
        </w:tc>
        <w:tc>
          <w:tcPr>
            <w:tcW w:w="12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信号回路</w:t>
            </w:r>
          </w:p>
        </w:tc>
        <w:tc>
          <w:tcPr>
            <w:tcW w:w="3544"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进行回路电压、回路工作电阻、回路对地电阻测试，每季度进行一次全样检测。</w:t>
            </w:r>
          </w:p>
        </w:tc>
        <w:tc>
          <w:tcPr>
            <w:tcW w:w="6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34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回路测试正常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1985"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线路维护</w:t>
            </w:r>
          </w:p>
        </w:tc>
        <w:tc>
          <w:tcPr>
            <w:tcW w:w="3544"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每季度对内部各接线端子和信号（电源）线进行检查维护</w:t>
            </w:r>
          </w:p>
        </w:tc>
        <w:tc>
          <w:tcPr>
            <w:tcW w:w="6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34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各端子连接牢固，不松动，导线无破损，老化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1985"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内部除尘</w:t>
            </w:r>
          </w:p>
        </w:tc>
        <w:tc>
          <w:tcPr>
            <w:tcW w:w="3544"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每月对主机柜内各设备内部进行除尘</w:t>
            </w:r>
          </w:p>
        </w:tc>
        <w:tc>
          <w:tcPr>
            <w:tcW w:w="6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34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无尘</w:t>
            </w:r>
          </w:p>
        </w:tc>
      </w:tr>
    </w:tbl>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③消防对讲系统:</w:t>
      </w:r>
    </w:p>
    <w:tbl>
      <w:tblPr>
        <w:tblStyle w:val="15"/>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39"/>
        <w:gridCol w:w="15"/>
        <w:gridCol w:w="1125"/>
        <w:gridCol w:w="3591"/>
        <w:gridCol w:w="709"/>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93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w:t>
            </w:r>
          </w:p>
        </w:tc>
        <w:tc>
          <w:tcPr>
            <w:tcW w:w="4731" w:type="dxa"/>
            <w:gridSpan w:val="3"/>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工作内容</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周期</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93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完好性检查</w:t>
            </w:r>
          </w:p>
        </w:tc>
        <w:tc>
          <w:tcPr>
            <w:tcW w:w="4731" w:type="dxa"/>
            <w:gridSpan w:val="3"/>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每月检查电话插孔、机房等主要场所的对讲电话完好状态</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工作环境正常，各设备状态完好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954" w:type="dxa"/>
            <w:gridSpan w:val="2"/>
            <w:vMerge w:val="restar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功能</w:t>
            </w:r>
          </w:p>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检测</w:t>
            </w:r>
          </w:p>
        </w:tc>
        <w:tc>
          <w:tcPr>
            <w:tcW w:w="112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w:t>
            </w:r>
          </w:p>
        </w:tc>
        <w:tc>
          <w:tcPr>
            <w:tcW w:w="35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每月按安装数量的30%试验电话插孔和对讲电话的通话质量，每季度完成一次全样检测。</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电话通话正常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954" w:type="dxa"/>
            <w:gridSpan w:val="2"/>
            <w:vMerge w:val="continue"/>
          </w:tcPr>
          <w:p>
            <w:pPr>
              <w:rPr>
                <w:rFonts w:asciiTheme="minorEastAsia" w:hAnsiTheme="minorEastAsia" w:eastAsiaTheme="minorEastAsia"/>
                <w:color w:val="auto"/>
                <w:szCs w:val="21"/>
                <w:highlight w:val="none"/>
              </w:rPr>
            </w:pPr>
          </w:p>
        </w:tc>
        <w:tc>
          <w:tcPr>
            <w:tcW w:w="112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电话主机</w:t>
            </w:r>
          </w:p>
        </w:tc>
        <w:tc>
          <w:tcPr>
            <w:tcW w:w="35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能顺畅接到电话分机，电话分机来电主机鸣叫</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主机切换正常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954" w:type="dxa"/>
            <w:gridSpan w:val="2"/>
            <w:vMerge w:val="continue"/>
          </w:tcPr>
          <w:p>
            <w:pPr>
              <w:rPr>
                <w:rFonts w:asciiTheme="minorEastAsia" w:hAnsiTheme="minorEastAsia" w:eastAsiaTheme="minorEastAsia"/>
                <w:color w:val="auto"/>
                <w:szCs w:val="21"/>
                <w:highlight w:val="none"/>
              </w:rPr>
            </w:pPr>
          </w:p>
        </w:tc>
        <w:tc>
          <w:tcPr>
            <w:tcW w:w="112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信号回路</w:t>
            </w:r>
          </w:p>
        </w:tc>
        <w:tc>
          <w:tcPr>
            <w:tcW w:w="35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进行回路电压、回路工作电阻</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回路测试正常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2079" w:type="dxa"/>
            <w:gridSpan w:val="3"/>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线路维护</w:t>
            </w:r>
          </w:p>
        </w:tc>
        <w:tc>
          <w:tcPr>
            <w:tcW w:w="35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每季度对内部各接线端子和信号（电源）线进行检查维护</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各端子连接牢固，不松动，导线无破损，老化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2079" w:type="dxa"/>
            <w:gridSpan w:val="3"/>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内部除尘</w:t>
            </w:r>
          </w:p>
        </w:tc>
        <w:tc>
          <w:tcPr>
            <w:tcW w:w="35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每月设备内部进行除尘</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无尘</w:t>
            </w:r>
          </w:p>
        </w:tc>
      </w:tr>
    </w:tbl>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④消防排烟系统</w:t>
      </w:r>
    </w:p>
    <w:tbl>
      <w:tblPr>
        <w:tblStyle w:val="15"/>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44"/>
        <w:gridCol w:w="1350"/>
        <w:gridCol w:w="3576"/>
        <w:gridCol w:w="709"/>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2094"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w:t>
            </w:r>
          </w:p>
        </w:tc>
        <w:tc>
          <w:tcPr>
            <w:tcW w:w="35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工作内容</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周期</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2094"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完好性检查</w:t>
            </w:r>
          </w:p>
        </w:tc>
        <w:tc>
          <w:tcPr>
            <w:tcW w:w="35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检查送风阀、防火阀、排烟阀、送风机、排烟机等装置的完好状态</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工作环境正常，各设备状态完好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744" w:type="dxa"/>
            <w:vMerge w:val="restar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功能检测</w:t>
            </w:r>
          </w:p>
        </w:tc>
        <w:tc>
          <w:tcPr>
            <w:tcW w:w="135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风机</w:t>
            </w:r>
          </w:p>
        </w:tc>
        <w:tc>
          <w:tcPr>
            <w:tcW w:w="35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风机运行正常，送排风压正常</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风机、风压正常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744" w:type="dxa"/>
            <w:vMerge w:val="continue"/>
            <w:vAlign w:val="center"/>
          </w:tcPr>
          <w:p>
            <w:pPr>
              <w:jc w:val="center"/>
              <w:rPr>
                <w:rFonts w:asciiTheme="minorEastAsia" w:hAnsiTheme="minorEastAsia" w:eastAsiaTheme="minorEastAsia"/>
                <w:color w:val="auto"/>
                <w:szCs w:val="21"/>
                <w:highlight w:val="none"/>
              </w:rPr>
            </w:pPr>
          </w:p>
        </w:tc>
        <w:tc>
          <w:tcPr>
            <w:tcW w:w="135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手动/自动检测</w:t>
            </w:r>
          </w:p>
        </w:tc>
        <w:tc>
          <w:tcPr>
            <w:tcW w:w="35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模拟火灾报警后，能联动有关设备，即停止有关部位的空调送风，关闭电动防火阀，接收反馈信号：启动有关部位的排烟阀、送风阀、排烟风机、送风机，接受其反馈信号。并对各楼层排烟阀和前室加压阀连接构件除尘、上油保养</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手动、自动启动正常，信号反馈正常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744" w:type="dxa"/>
            <w:vMerge w:val="continue"/>
            <w:vAlign w:val="center"/>
          </w:tcPr>
          <w:p>
            <w:pPr>
              <w:jc w:val="center"/>
              <w:rPr>
                <w:rFonts w:asciiTheme="minorEastAsia" w:hAnsiTheme="minorEastAsia" w:eastAsiaTheme="minorEastAsia"/>
                <w:color w:val="auto"/>
                <w:szCs w:val="21"/>
                <w:highlight w:val="none"/>
              </w:rPr>
            </w:pPr>
          </w:p>
        </w:tc>
        <w:tc>
          <w:tcPr>
            <w:tcW w:w="135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排烟阀微动开关及内部接线端子</w:t>
            </w:r>
          </w:p>
        </w:tc>
        <w:tc>
          <w:tcPr>
            <w:tcW w:w="35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对正压送风阀及排烟阀进行检查</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复位按钮控制无误、排烟窗开启灵活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2094"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线路维护</w:t>
            </w:r>
          </w:p>
        </w:tc>
        <w:tc>
          <w:tcPr>
            <w:tcW w:w="35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每季度对控制柜内部各电器触点、接线端子及端子排端子、信号（电源）线进行检查维护</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触点完好，端子无烧损或松动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2094"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内部除尘</w:t>
            </w:r>
          </w:p>
        </w:tc>
        <w:tc>
          <w:tcPr>
            <w:tcW w:w="3576"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每月设备内部进行除尘</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无尘</w:t>
            </w:r>
          </w:p>
        </w:tc>
      </w:tr>
    </w:tbl>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⑤防火卷帘</w:t>
      </w:r>
    </w:p>
    <w:tbl>
      <w:tblPr>
        <w:tblStyle w:val="15"/>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44"/>
        <w:gridCol w:w="1335"/>
        <w:gridCol w:w="3591"/>
        <w:gridCol w:w="709"/>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2079"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w:t>
            </w:r>
          </w:p>
        </w:tc>
        <w:tc>
          <w:tcPr>
            <w:tcW w:w="35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工作内容</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周期</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2079"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完好性检查</w:t>
            </w:r>
          </w:p>
        </w:tc>
        <w:tc>
          <w:tcPr>
            <w:tcW w:w="35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检查卷帘导轨、卷片、无机布、手动报警按钮外观良好，卷帘包厢无损伤的完好状态</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各设备外观完好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744" w:type="dxa"/>
            <w:vMerge w:val="restar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功能测试</w:t>
            </w:r>
          </w:p>
        </w:tc>
        <w:tc>
          <w:tcPr>
            <w:tcW w:w="133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手动/自动检测</w:t>
            </w:r>
          </w:p>
        </w:tc>
        <w:tc>
          <w:tcPr>
            <w:tcW w:w="35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手动、自动启动卷帘，检查卷帘运转及到位情况，查看有无异常响声，电机运转是否正常，外观无损伤，无刮痕，报警联动卷帘，看动作信号是否反馈到控制中心</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电气部分运转正常，机械运转正常，运动部位加润滑油，运转良好，帘布/片无损伤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744" w:type="dxa"/>
            <w:vMerge w:val="continue"/>
            <w:vAlign w:val="center"/>
          </w:tcPr>
          <w:p>
            <w:pPr>
              <w:jc w:val="center"/>
              <w:rPr>
                <w:rFonts w:asciiTheme="minorEastAsia" w:hAnsiTheme="minorEastAsia" w:eastAsiaTheme="minorEastAsia"/>
                <w:color w:val="auto"/>
                <w:szCs w:val="21"/>
                <w:highlight w:val="none"/>
              </w:rPr>
            </w:pPr>
          </w:p>
        </w:tc>
        <w:tc>
          <w:tcPr>
            <w:tcW w:w="133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转动部份</w:t>
            </w:r>
          </w:p>
        </w:tc>
        <w:tc>
          <w:tcPr>
            <w:tcW w:w="35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对机械部份（齿轮、锋条）、卷帘门门体等进行紧固与上油保养</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无锈损且表面涂有润滑油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2079"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线路维护</w:t>
            </w:r>
          </w:p>
        </w:tc>
        <w:tc>
          <w:tcPr>
            <w:tcW w:w="35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每季度对控制柜内部各电器触点、接线端子及端子排端子、信号（电源）线进行检查维护</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触点完好、端子无烧损或松动</w:t>
            </w:r>
          </w:p>
        </w:tc>
      </w:tr>
    </w:tbl>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⑥消防水系统</w:t>
      </w:r>
    </w:p>
    <w:tbl>
      <w:tblPr>
        <w:tblStyle w:val="15"/>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99"/>
        <w:gridCol w:w="3771"/>
        <w:gridCol w:w="709"/>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工作内容</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周期</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喷头</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清理保养区的积尘较多、污染严重的喷头</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半年</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喷头色泽正常、无损坏、无腐蚀、无污染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水流指示器</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检查保养区的信号接点，检查橡胶密封圈</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机械、反馈信号正常，密封良好、密封点无渗水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信号阀</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检查保养区的橡胶密封圈、清除污物、清理锈迹，检查信号</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无泄露、转动灵活、信号输出正常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减压阀、排气阀</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对管网中的减压阀，排气阀进行检修、清洗。</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水泵接合器</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检查保养区的密封件、清除严重污物、锈迹</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整体设置合理，止回阀自动回位，密封性好，外形无污染，标志清晰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报警阀</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检查报警阀接口是否渗漏，是否变形、污垢、杂物等影响密封</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报警正常，无污染、不渗漏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消火栓箱</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检查消火栓垫圈、检查阀门是否有漏水、检查卷盘水龙带等是否损坏，消防水压正常</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消火栓箱无漏水、无变形，水带、卷盘摆放良好，水压正常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管件（网）</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对系统管网进行除锈、上油保养</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管件（网）无锈迹，每年管网（除埋地部分外）全部覆盖一次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9</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管网</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水压试验（重点区域可用其他介质替代）</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试验压力为正常压力的1.4-1.5倍，稳压24小时，压降不超过0.05MPa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10</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喷淋系统功能检测</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打开喷淋末端放水阀，放水自动启动喷淋泵：在现场手动启动喷淋泵，主备泵自动切换测试，观测压力是否正常</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手动、自动启动正常，主备泵切换正常，水泵压力正常，管网无泄露，报警阀报警正常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11</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消火栓系统功能检测</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在现场手自动启动消火栓泵，主备泵自动切换测试，观测压力是否正常</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手自动启动正常，主备泵切换正常，水泵压力正常，管网无泄露。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12</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控制柜检查</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控制柜上电源指示灯及各类开关</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月</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电源指示灯正常，开关处于开关启或自动状态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13</w:t>
            </w:r>
          </w:p>
        </w:tc>
        <w:tc>
          <w:tcPr>
            <w:tcW w:w="189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线路检查</w:t>
            </w:r>
          </w:p>
        </w:tc>
        <w:tc>
          <w:tcPr>
            <w:tcW w:w="377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控制柜内部各电器触点，各电器元件接线端子及端子排端</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8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触点完好，无松动，各端子连接牢固，无烧损</w:t>
            </w:r>
          </w:p>
        </w:tc>
      </w:tr>
    </w:tbl>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⑦联动控制系统</w:t>
      </w:r>
    </w:p>
    <w:tbl>
      <w:tblPr>
        <w:tblStyle w:val="15"/>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59"/>
        <w:gridCol w:w="1020"/>
        <w:gridCol w:w="3891"/>
        <w:gridCol w:w="709"/>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75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w:t>
            </w:r>
          </w:p>
        </w:tc>
        <w:tc>
          <w:tcPr>
            <w:tcW w:w="4911"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工作内容</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周期</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759" w:type="dxa"/>
            <w:vMerge w:val="restar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控制功能检查</w:t>
            </w:r>
          </w:p>
        </w:tc>
        <w:tc>
          <w:tcPr>
            <w:tcW w:w="102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防火卷帘</w:t>
            </w:r>
          </w:p>
        </w:tc>
        <w:tc>
          <w:tcPr>
            <w:tcW w:w="38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疏散出口，感烟探测器动作后，卷帘进行第一步下放（距地面1.5米-1.8米):感温探测器动作后，卷帘归底，用作防火分隔，迫降到底。感烟、感温探测器的报警信号及防火卷帘的关闭信号应送至消防控制室</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卷帘下降正常，信号显示正常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759" w:type="dxa"/>
            <w:vMerge w:val="continue"/>
            <w:vAlign w:val="center"/>
          </w:tcPr>
          <w:p>
            <w:pPr>
              <w:jc w:val="center"/>
              <w:rPr>
                <w:rFonts w:asciiTheme="minorEastAsia" w:hAnsiTheme="minorEastAsia" w:eastAsiaTheme="minorEastAsia"/>
                <w:color w:val="auto"/>
                <w:szCs w:val="21"/>
                <w:highlight w:val="none"/>
              </w:rPr>
            </w:pPr>
          </w:p>
        </w:tc>
        <w:tc>
          <w:tcPr>
            <w:tcW w:w="102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消防排烟</w:t>
            </w:r>
          </w:p>
        </w:tc>
        <w:tc>
          <w:tcPr>
            <w:tcW w:w="38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1、停止有关部位的空调送风，关闭电动防火阀，并接收其反馈信号2、启动有关部位2的排烟阀、送风阀、排烟风机、送风机等，并接受其反馈信号。</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防排烟动作正常，信号显示正常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759" w:type="dxa"/>
            <w:vMerge w:val="continue"/>
            <w:vAlign w:val="center"/>
          </w:tcPr>
          <w:p>
            <w:pPr>
              <w:jc w:val="center"/>
              <w:rPr>
                <w:rFonts w:asciiTheme="minorEastAsia" w:hAnsiTheme="minorEastAsia" w:eastAsiaTheme="minorEastAsia"/>
                <w:color w:val="auto"/>
                <w:szCs w:val="21"/>
                <w:highlight w:val="none"/>
              </w:rPr>
            </w:pPr>
          </w:p>
        </w:tc>
        <w:tc>
          <w:tcPr>
            <w:tcW w:w="102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气体</w:t>
            </w:r>
          </w:p>
        </w:tc>
        <w:tc>
          <w:tcPr>
            <w:tcW w:w="38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1、检查气体灭火系统防护区的报警、喷放及防火门（帘）、通风空调等设备的状态信号应送至消防控制室</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能实施程序控制，信号显示正常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759" w:type="dxa"/>
            <w:vMerge w:val="continue"/>
          </w:tcPr>
          <w:p>
            <w:pPr>
              <w:rPr>
                <w:rFonts w:asciiTheme="minorEastAsia" w:hAnsiTheme="minorEastAsia" w:eastAsiaTheme="minorEastAsia"/>
                <w:color w:val="auto"/>
                <w:szCs w:val="21"/>
                <w:highlight w:val="none"/>
              </w:rPr>
            </w:pPr>
          </w:p>
        </w:tc>
        <w:tc>
          <w:tcPr>
            <w:tcW w:w="102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自动喷淋</w:t>
            </w:r>
          </w:p>
        </w:tc>
        <w:tc>
          <w:tcPr>
            <w:tcW w:w="38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控制系统的启、停，显示消防水泵的工作及故障状态，显示系统控制阀、报警阀及水流指示器的工作状态。</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喷淋控制及信号显示正常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759" w:type="dxa"/>
            <w:vMerge w:val="continue"/>
          </w:tcPr>
          <w:p>
            <w:pPr>
              <w:rPr>
                <w:rFonts w:asciiTheme="minorEastAsia" w:hAnsiTheme="minorEastAsia" w:eastAsiaTheme="minorEastAsia"/>
                <w:color w:val="auto"/>
                <w:szCs w:val="21"/>
                <w:highlight w:val="none"/>
              </w:rPr>
            </w:pPr>
          </w:p>
        </w:tc>
        <w:tc>
          <w:tcPr>
            <w:tcW w:w="102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室内消火栓</w:t>
            </w:r>
          </w:p>
        </w:tc>
        <w:tc>
          <w:tcPr>
            <w:tcW w:w="38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控制消防水泵的启、停，显示消防水泵工作、故障状态</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消火栓控制及信号显示正常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759" w:type="dxa"/>
            <w:vMerge w:val="continue"/>
          </w:tcPr>
          <w:p>
            <w:pPr>
              <w:rPr>
                <w:rFonts w:asciiTheme="minorEastAsia" w:hAnsiTheme="minorEastAsia" w:eastAsiaTheme="minorEastAsia"/>
                <w:color w:val="auto"/>
                <w:szCs w:val="21"/>
                <w:highlight w:val="none"/>
              </w:rPr>
            </w:pPr>
          </w:p>
        </w:tc>
        <w:tc>
          <w:tcPr>
            <w:tcW w:w="102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疏散指示</w:t>
            </w:r>
          </w:p>
        </w:tc>
        <w:tc>
          <w:tcPr>
            <w:tcW w:w="38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接通火灾事故照明和疏散指示灯</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疏散指示正常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759" w:type="dxa"/>
            <w:vMerge w:val="continue"/>
          </w:tcPr>
          <w:p>
            <w:pPr>
              <w:rPr>
                <w:rFonts w:asciiTheme="minorEastAsia" w:hAnsiTheme="minorEastAsia" w:eastAsiaTheme="minorEastAsia"/>
                <w:color w:val="auto"/>
                <w:szCs w:val="21"/>
                <w:highlight w:val="none"/>
              </w:rPr>
            </w:pPr>
          </w:p>
        </w:tc>
        <w:tc>
          <w:tcPr>
            <w:tcW w:w="102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电梯迫降</w:t>
            </w:r>
          </w:p>
        </w:tc>
        <w:tc>
          <w:tcPr>
            <w:tcW w:w="38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发出控制信号强制电梯全部停于首层，并显示其工作状态</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半年</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电梯迫降正常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759" w:type="dxa"/>
            <w:vMerge w:val="continue"/>
          </w:tcPr>
          <w:p>
            <w:pPr>
              <w:rPr>
                <w:rFonts w:asciiTheme="minorEastAsia" w:hAnsiTheme="minorEastAsia" w:eastAsiaTheme="minorEastAsia"/>
                <w:color w:val="auto"/>
                <w:szCs w:val="21"/>
                <w:highlight w:val="none"/>
              </w:rPr>
            </w:pPr>
          </w:p>
        </w:tc>
        <w:tc>
          <w:tcPr>
            <w:tcW w:w="102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非消防电源切除</w:t>
            </w:r>
          </w:p>
        </w:tc>
        <w:tc>
          <w:tcPr>
            <w:tcW w:w="38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手动切断有关部位的非消防电源</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非消防电源切除正常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p>
        </w:tc>
        <w:tc>
          <w:tcPr>
            <w:tcW w:w="759" w:type="dxa"/>
            <w:vMerge w:val="continue"/>
          </w:tcPr>
          <w:p>
            <w:pPr>
              <w:rPr>
                <w:rFonts w:asciiTheme="minorEastAsia" w:hAnsiTheme="minorEastAsia" w:eastAsiaTheme="minorEastAsia"/>
                <w:color w:val="auto"/>
                <w:szCs w:val="21"/>
                <w:highlight w:val="none"/>
              </w:rPr>
            </w:pPr>
          </w:p>
        </w:tc>
        <w:tc>
          <w:tcPr>
            <w:tcW w:w="1020"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消防广播</w:t>
            </w:r>
          </w:p>
        </w:tc>
        <w:tc>
          <w:tcPr>
            <w:tcW w:w="38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火警自动切换到消防广播状态</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位置准确、音质、音量正常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w:t>
            </w:r>
          </w:p>
        </w:tc>
        <w:tc>
          <w:tcPr>
            <w:tcW w:w="1779"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线路维护</w:t>
            </w:r>
          </w:p>
        </w:tc>
        <w:tc>
          <w:tcPr>
            <w:tcW w:w="38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检查各电器触点，各电器元件接线端子及端子排端子，各电源信号线</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触点完好，无烧损，各端子连接牢固、无烧损，导线无破损、烧焦现象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1779" w:type="dxa"/>
            <w:gridSpan w:val="2"/>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内部清洁</w:t>
            </w:r>
          </w:p>
        </w:tc>
        <w:tc>
          <w:tcPr>
            <w:tcW w:w="3891"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控制台内部除尘</w:t>
            </w:r>
          </w:p>
        </w:tc>
        <w:tc>
          <w:tcPr>
            <w:tcW w:w="709"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季</w:t>
            </w:r>
          </w:p>
        </w:tc>
        <w:tc>
          <w:tcPr>
            <w:tcW w:w="21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无尘</w:t>
            </w:r>
          </w:p>
        </w:tc>
      </w:tr>
    </w:tbl>
    <w:p>
      <w:pPr>
        <w:spacing w:line="560" w:lineRule="exact"/>
        <w:ind w:firstLine="562" w:firstLineChars="200"/>
        <w:rPr>
          <w:b/>
          <w:color w:val="auto"/>
          <w:sz w:val="28"/>
          <w:szCs w:val="28"/>
          <w:highlight w:val="none"/>
        </w:rPr>
      </w:pPr>
      <w:r>
        <w:rPr>
          <w:rFonts w:hint="eastAsia" w:asciiTheme="minorEastAsia" w:hAnsiTheme="minorEastAsia" w:eastAsiaTheme="minorEastAsia"/>
          <w:b/>
          <w:color w:val="auto"/>
          <w:sz w:val="28"/>
          <w:szCs w:val="28"/>
          <w:highlight w:val="none"/>
        </w:rPr>
        <w:t>（3）</w:t>
      </w:r>
      <w:r>
        <w:rPr>
          <w:rFonts w:hint="eastAsia"/>
          <w:b/>
          <w:color w:val="auto"/>
          <w:sz w:val="28"/>
          <w:szCs w:val="28"/>
          <w:highlight w:val="none"/>
        </w:rPr>
        <w:t>维修保养工作要求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①设备完好率：不低于99.8%，维修保养满意率达到99%；</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②派固定专人负责本项目的技术及管理工作，相对稳定的持证现场维保工作人员；</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③保证全天候24小时（含国家规定的假期）紧急维修服务，接到报修后1小时到达现场。保证提供无限次电话咨询服务，及时解答甲方的消防疑难问题；</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④下列故障现象应该在约定的期限内完成维修</w:t>
      </w:r>
    </w:p>
    <w:p>
      <w:pPr>
        <w:spacing w:line="56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a</w:t>
      </w:r>
      <w:r>
        <w:rPr>
          <w:rFonts w:hint="eastAsia" w:asciiTheme="minorEastAsia" w:hAnsiTheme="minorEastAsia" w:eastAsiaTheme="minorEastAsia"/>
          <w:color w:val="auto"/>
          <w:sz w:val="28"/>
          <w:szCs w:val="28"/>
          <w:highlight w:val="none"/>
        </w:rPr>
        <w:t>、消防报警控制器瘫痪，或建筑内消防主管网爆破等大故障，要求在2小时内采取有效措施控制事态发展，72小时内修复；</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b、消防报警控制器故障，或联动控制装置失灵，或建筑物内消防支管爆破等重大故障，要求在2小时内采取有效措施控制事态发展，3小时内恢复正常系统正常运行，48小时内修复；</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c、消防报警回路故障，或喷头非正常爆破，或气体灭火系统非正常启动等一般故障，要求在半小时内采取有效措施控制事态发展，1小时内恢复系统正常运行，2小时内修复；</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d、消防设施故障，导致局部设施不能正常工作，如手报、探测器、模块、闸阀、烟感、温感等轻微故障，要求48小时内修复；</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e、因软件本身原因导致报警主机死机，图文中心无法浏览、系统联动功能出错等软件故障，要求48小时内修复系统的正常运行，同类故障在1月内连续出现2次及以上，应提供解决方案；</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f、大楼装修租户进场装修施工前，维保单位应会签消防装修文件，并由维保单位隔离装修单位内的相关消防系统，使租户在装修期间不影响大楼的消防系统正常运作，租户完成装修后应并入大楼消防系统统一联动管理。另外维保单位应派人到场参加新租户装修后的验收；</w:t>
      </w:r>
    </w:p>
    <w:p>
      <w:pPr>
        <w:spacing w:line="560" w:lineRule="exact"/>
        <w:ind w:firstLine="560" w:firstLineChars="200"/>
        <w:rPr>
          <w:color w:val="auto"/>
          <w:sz w:val="28"/>
          <w:szCs w:val="28"/>
          <w:highlight w:val="none"/>
        </w:rPr>
      </w:pPr>
      <w:r>
        <w:rPr>
          <w:rFonts w:hint="eastAsia" w:asciiTheme="minorEastAsia" w:hAnsiTheme="minorEastAsia" w:eastAsiaTheme="minorEastAsia"/>
          <w:color w:val="auto"/>
          <w:sz w:val="28"/>
          <w:szCs w:val="28"/>
          <w:highlight w:val="none"/>
        </w:rPr>
        <w:t>g、</w:t>
      </w:r>
      <w:r>
        <w:rPr>
          <w:rFonts w:hint="eastAsia"/>
          <w:color w:val="auto"/>
          <w:sz w:val="28"/>
          <w:szCs w:val="28"/>
          <w:highlight w:val="none"/>
        </w:rPr>
        <w:t>大楼若有上级部门来消防检查或举行消防演练，维保单位应按要求派人配合、协助；</w:t>
      </w:r>
    </w:p>
    <w:p>
      <w:pPr>
        <w:spacing w:line="560" w:lineRule="exact"/>
        <w:ind w:firstLine="560" w:firstLineChars="200"/>
        <w:rPr>
          <w:color w:val="auto"/>
          <w:sz w:val="28"/>
          <w:szCs w:val="28"/>
          <w:highlight w:val="none"/>
        </w:rPr>
      </w:pPr>
      <w:r>
        <w:rPr>
          <w:rFonts w:hint="eastAsia"/>
          <w:color w:val="auto"/>
          <w:sz w:val="28"/>
          <w:szCs w:val="28"/>
          <w:highlight w:val="none"/>
        </w:rPr>
        <w:t>h、乙方维保人员每月对设备的巡查维保不少于2次（上、下半月各1次），并在物业管理处签名。</w:t>
      </w:r>
    </w:p>
    <w:p>
      <w:pPr>
        <w:spacing w:line="560" w:lineRule="exact"/>
        <w:ind w:firstLine="562" w:firstLineChars="200"/>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（4）租户二次装修接入调试</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租户二次装修需要接入消防报警系统时，需要维保单位配合接入并调试，此阶段发生的调试费由租户承担，接入调试费用按不高于下表报价向租户收取调试费用：</w:t>
      </w:r>
    </w:p>
    <w:p>
      <w:pPr>
        <w:spacing w:line="560" w:lineRule="exact"/>
        <w:ind w:firstLine="2800" w:firstLineChars="1000"/>
        <w:rPr>
          <w:color w:val="auto"/>
          <w:sz w:val="28"/>
          <w:szCs w:val="28"/>
          <w:highlight w:val="none"/>
        </w:rPr>
      </w:pPr>
      <w:r>
        <w:rPr>
          <w:rFonts w:hint="eastAsia"/>
          <w:color w:val="auto"/>
          <w:sz w:val="28"/>
          <w:szCs w:val="28"/>
          <w:highlight w:val="none"/>
        </w:rPr>
        <w:t>租户二次装修接入调试报价表</w:t>
      </w:r>
    </w:p>
    <w:tbl>
      <w:tblPr>
        <w:tblStyle w:val="15"/>
        <w:tblW w:w="90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52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接入点数</w:t>
            </w:r>
          </w:p>
        </w:tc>
        <w:tc>
          <w:tcPr>
            <w:tcW w:w="5250" w:type="dxa"/>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  作  内  容</w:t>
            </w:r>
          </w:p>
        </w:tc>
        <w:tc>
          <w:tcPr>
            <w:tcW w:w="2445" w:type="dxa"/>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接入调试费用（元）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11—30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31—60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61—130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131—200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201—250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3"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251—350</w:t>
            </w:r>
          </w:p>
        </w:tc>
        <w:tc>
          <w:tcPr>
            <w:tcW w:w="5250" w:type="dxa"/>
          </w:tcPr>
          <w:p>
            <w:pPr>
              <w:tabs>
                <w:tab w:val="left" w:pos="2721"/>
              </w:tabs>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新装消防报警信号接入系统并调试合格</w:t>
            </w:r>
          </w:p>
        </w:tc>
        <w:tc>
          <w:tcPr>
            <w:tcW w:w="2445" w:type="dxa"/>
          </w:tcPr>
          <w:p>
            <w:pPr>
              <w:tabs>
                <w:tab w:val="left" w:pos="2721"/>
              </w:tabs>
              <w:spacing w:line="360" w:lineRule="auto"/>
              <w:rPr>
                <w:rFonts w:asciiTheme="minorEastAsia" w:hAnsiTheme="minorEastAsia" w:eastAsiaTheme="minorEastAsia"/>
                <w:color w:val="auto"/>
                <w:szCs w:val="21"/>
                <w:highlight w:val="none"/>
              </w:rPr>
            </w:pPr>
          </w:p>
        </w:tc>
      </w:tr>
    </w:tbl>
    <w:p>
      <w:pPr>
        <w:spacing w:line="56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注：1、点数指区域内烟感、温感，破玻按钮、水流指示等需报警显示的消防报警配件个数；</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2、因业主工程项目需要接入消防系统的，维保单位应免费接入和调试。</w:t>
      </w:r>
    </w:p>
    <w:p>
      <w:pPr>
        <w:spacing w:line="560" w:lineRule="exact"/>
        <w:ind w:firstLine="560" w:firstLineChars="200"/>
        <w:rPr>
          <w:rFonts w:asciiTheme="minorEastAsia" w:hAnsiTheme="minorEastAsia" w:eastAsiaTheme="minorEastAsia"/>
          <w:color w:val="auto"/>
          <w:sz w:val="28"/>
          <w:szCs w:val="28"/>
          <w:highlight w:val="none"/>
        </w:rPr>
      </w:pPr>
    </w:p>
    <w:p>
      <w:pPr>
        <w:spacing w:line="560" w:lineRule="exact"/>
        <w:ind w:firstLine="562" w:firstLineChars="200"/>
        <w:rPr>
          <w:b/>
          <w:color w:val="auto"/>
          <w:sz w:val="28"/>
          <w:szCs w:val="28"/>
          <w:highlight w:val="none"/>
        </w:rPr>
      </w:pPr>
      <w:r>
        <w:rPr>
          <w:rFonts w:hint="eastAsia"/>
          <w:b/>
          <w:color w:val="auto"/>
          <w:sz w:val="28"/>
          <w:szCs w:val="28"/>
          <w:highlight w:val="none"/>
        </w:rPr>
        <w:t>四、消防系统设备维修保养技术人员资质要求</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1、项目负责人</w:t>
      </w: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人，必须提供相关工程师证书。</w:t>
      </w:r>
    </w:p>
    <w:p>
      <w:pPr>
        <w:spacing w:line="56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、维保工作人员</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人，必须是持有消防上岗证的电气给排水维修技工，要熟悉维修、保养自动报警系统和气体灭火系统，能操作、维修消防设备，</w:t>
      </w:r>
      <w:r>
        <w:rPr>
          <w:rFonts w:hint="eastAsia" w:asciiTheme="minorEastAsia" w:hAnsiTheme="minorEastAsia" w:eastAsiaTheme="minorEastAsia"/>
          <w:bCs/>
          <w:color w:val="auto"/>
          <w:sz w:val="28"/>
          <w:szCs w:val="28"/>
          <w:highlight w:val="none"/>
        </w:rPr>
        <w:t>维修保养人员应由有消防设施调试维修保养资格和经验的工程技术人员担任。维护人员具有消防水泵恒压控制系统的调试经验。</w:t>
      </w:r>
    </w:p>
    <w:p>
      <w:pPr>
        <w:spacing w:line="56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3、进场维保工作人员具有《建（构）筑物消防员资格证书》中级及以上资质。</w:t>
      </w:r>
    </w:p>
    <w:p>
      <w:pPr>
        <w:widowControl/>
        <w:ind w:firstLine="562" w:firstLineChars="200"/>
        <w:jc w:val="left"/>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五、商务要求</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（一）服务保障及相应的时间要求</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1、维修保养质量标准</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（1）协助用户进行消防年审并保证消防设备符合广州市消防管理条例和规范要求；</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（2）保障消防各系统处于正常工作状态（除经甲乙双方共同认可的特殊情况）；</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（3）中标人应按照约定对委托维修保养的建筑消防设施进行定期检查、维护和保养，确保系统正常工作。如因中标人检查、维护和保养不到位造成消防事故的发生，中标人负责赔偿因事故造成的所有损失；</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（4）中标人负担单价在</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元（含</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元）以下设备部件和材料的更换费用，</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以下的按实提价格表或成本供货（甲方若需要乙方备货，应书面通知备货种类及数量），更换前须先经过采购方书面同意后方能进行，采购方有权经市场调查后进行确定。设备零件超过使用寿命或设备零件非中标人原因需要更换的，其设备费用由采购方承担。对常用易损件中标人应有库存，保证在发生损坏时及时更换。每月中标人向采购方提供库存清单，可修复的零件部件应先换新，在保证系统正常运行的情况下修复后再替换；</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（5）消防设备不得随意拆除零部件，如需拆除，需先报采购方书面批准后方可进行，如果对价值</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元以内（含</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元）备件予以及时更换的，必须在更换后及时知会甲方有关情况，并于次日书面反映，并提供所用零配件（或材料）的检测报告等质量证书；</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（6）中标人应免费配合采购方举办一年一次的消防演习等活动；</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（7）中标人每半年进行消防</w:t>
      </w:r>
      <w:r>
        <w:rPr>
          <w:rFonts w:hint="eastAsia" w:asciiTheme="minorEastAsia" w:hAnsiTheme="minorEastAsia" w:eastAsiaTheme="minorEastAsia"/>
          <w:color w:val="auto"/>
          <w:sz w:val="28"/>
          <w:szCs w:val="28"/>
          <w:highlight w:val="none"/>
          <w:lang w:val="en-US" w:eastAsia="zh-CN"/>
        </w:rPr>
        <w:t>联动</w:t>
      </w:r>
      <w:r>
        <w:rPr>
          <w:rFonts w:hint="eastAsia" w:asciiTheme="minorEastAsia" w:hAnsiTheme="minorEastAsia" w:eastAsiaTheme="minorEastAsia"/>
          <w:color w:val="auto"/>
          <w:sz w:val="28"/>
          <w:szCs w:val="28"/>
          <w:highlight w:val="none"/>
        </w:rPr>
        <w:t>检测一次；</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（8）中标人负责免费培训采购方至少</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名运行人员及维护人员；</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（9）中标人在日常的检查、维护和保养工作中应做好生产安全防护，如因中标人原因造成双方或第三方人身和财产的损失，中标人负责赔偿；</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0</w:t>
      </w:r>
      <w:r>
        <w:rPr>
          <w:rFonts w:hint="eastAsia" w:asciiTheme="minorEastAsia" w:hAnsiTheme="minorEastAsia" w:eastAsiaTheme="minorEastAsia"/>
          <w:color w:val="auto"/>
          <w:sz w:val="28"/>
          <w:szCs w:val="28"/>
          <w:highlight w:val="none"/>
        </w:rPr>
        <w:t>）消防值班</w:t>
      </w:r>
      <w:r>
        <w:rPr>
          <w:rFonts w:hint="eastAsia" w:asciiTheme="minorEastAsia" w:hAnsiTheme="minorEastAsia" w:eastAsiaTheme="minorEastAsia"/>
          <w:color w:val="auto"/>
          <w:sz w:val="28"/>
          <w:szCs w:val="28"/>
          <w:highlight w:val="none"/>
          <w:lang w:val="en-US" w:eastAsia="zh-CN"/>
        </w:rPr>
        <w:t>由</w:t>
      </w:r>
      <w:r>
        <w:rPr>
          <w:rFonts w:hint="eastAsia" w:asciiTheme="minorEastAsia" w:hAnsiTheme="minorEastAsia" w:eastAsiaTheme="minorEastAsia"/>
          <w:color w:val="auto"/>
          <w:sz w:val="28"/>
          <w:szCs w:val="28"/>
          <w:highlight w:val="none"/>
        </w:rPr>
        <w:t>采购方组织安排，在发生误报时由值班人员检查复位处理，值班人员无法处理时必须及时通知中标人，中标人应按照</w:t>
      </w:r>
      <w:r>
        <w:rPr>
          <w:rFonts w:hint="eastAsia" w:asciiTheme="minorEastAsia" w:hAnsiTheme="minorEastAsia" w:eastAsiaTheme="minorEastAsia"/>
          <w:color w:val="auto"/>
          <w:sz w:val="28"/>
          <w:szCs w:val="28"/>
          <w:highlight w:val="none"/>
          <w:lang w:val="en-US" w:eastAsia="zh-CN"/>
        </w:rPr>
        <w:t>以上</w:t>
      </w:r>
      <w:r>
        <w:rPr>
          <w:rFonts w:hint="eastAsia" w:asciiTheme="minorEastAsia" w:hAnsiTheme="minorEastAsia" w:eastAsiaTheme="minorEastAsia"/>
          <w:color w:val="auto"/>
          <w:sz w:val="28"/>
          <w:szCs w:val="28"/>
          <w:highlight w:val="none"/>
        </w:rPr>
        <w:t>约定时间处理；</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）接到火险通报，应立即赶到现场协助采购方工作；</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）当消防设施出现严重故障必须停用时，应</w:t>
      </w:r>
      <w:r>
        <w:rPr>
          <w:rFonts w:hint="eastAsia" w:asciiTheme="minorEastAsia" w:hAnsiTheme="minorEastAsia" w:eastAsiaTheme="minorEastAsia"/>
          <w:color w:val="auto"/>
          <w:sz w:val="28"/>
          <w:szCs w:val="28"/>
          <w:highlight w:val="none"/>
          <w:lang w:val="en-US" w:eastAsia="zh-CN"/>
        </w:rPr>
        <w:t>配合</w:t>
      </w:r>
      <w:r>
        <w:rPr>
          <w:rFonts w:hint="eastAsia" w:asciiTheme="minorEastAsia" w:hAnsiTheme="minorEastAsia" w:eastAsiaTheme="minorEastAsia"/>
          <w:color w:val="auto"/>
          <w:sz w:val="28"/>
          <w:szCs w:val="28"/>
          <w:highlight w:val="none"/>
        </w:rPr>
        <w:t>采购方向广州市番禺区公安消防局报告；</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）维保人员交通、工作用车、维修工具、保养所需辅材如润滑油等均由中标人自备；</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）中标人应按时做好日常的各项维保工作记录，日工作内容须甲方确定，月、年度报告（各项检测、维修和紧急报告）各同每期工作计划和换件预算报价，应及时提供给采购方。</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2、服务时间</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（1）中标人组织专业工程师与技术人员成立维保工程小组专项维护工作，特殊或必要情况下，工作维护小组可由</w:t>
      </w:r>
      <w:r>
        <w:rPr>
          <w:rFonts w:hint="eastAsia" w:asciiTheme="minorEastAsia" w:hAnsiTheme="minorEastAsia" w:eastAsiaTheme="minorEastAsia"/>
          <w:color w:val="auto"/>
          <w:sz w:val="28"/>
          <w:szCs w:val="28"/>
          <w:highlight w:val="none"/>
          <w:lang w:val="en-US" w:eastAsia="zh-CN"/>
        </w:rPr>
        <w:t>采购方</w:t>
      </w:r>
      <w:r>
        <w:rPr>
          <w:rFonts w:hint="eastAsia" w:asciiTheme="minorEastAsia" w:hAnsiTheme="minorEastAsia" w:eastAsiaTheme="minorEastAsia"/>
          <w:color w:val="auto"/>
          <w:sz w:val="28"/>
          <w:szCs w:val="28"/>
          <w:highlight w:val="none"/>
        </w:rPr>
        <w:t>组织力量参与工作。维保工程小组二十四小时随时待命，并设有二十四小时支持电话。</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（2）中标人应依照或根据员工自愿申请安排员工加班工作。</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（3）中标人对消防设施、设备出现故障应及时修复，接到采购方故障报修电话一般情况</w:t>
      </w:r>
      <w:r>
        <w:rPr>
          <w:rFonts w:asciiTheme="minorEastAsia" w:hAnsiTheme="minorEastAsia" w:eastAsiaTheme="minorEastAsia"/>
          <w:color w:val="auto"/>
          <w:sz w:val="28"/>
          <w:szCs w:val="28"/>
          <w:highlight w:val="none"/>
        </w:rPr>
        <w:t>4</w:t>
      </w:r>
      <w:r>
        <w:rPr>
          <w:rFonts w:hint="eastAsia" w:asciiTheme="minorEastAsia" w:hAnsiTheme="minorEastAsia" w:eastAsiaTheme="minorEastAsia"/>
          <w:color w:val="auto"/>
          <w:sz w:val="28"/>
          <w:szCs w:val="28"/>
          <w:highlight w:val="none"/>
        </w:rPr>
        <w:t>小时内到场，紧急情况必须在</w:t>
      </w: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小时内到场。中标人人员到场后应立即积极抢修，除重要零配件待料等原因外，应在二十四小时内解决问题。</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（二）服务期限：1年，自</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202</w:t>
      </w:r>
      <w:r>
        <w:rPr>
          <w:rFonts w:hint="eastAsia" w:asciiTheme="minorEastAsia" w:hAnsiTheme="minorEastAsia" w:eastAsiaTheme="minorEastAsia"/>
          <w:color w:val="auto"/>
          <w:sz w:val="28"/>
          <w:szCs w:val="28"/>
          <w:highlight w:val="none"/>
          <w:u w:val="single"/>
          <w:lang w:val="en-US" w:eastAsia="zh-CN"/>
        </w:rPr>
        <w:t>2</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 xml:space="preserve">9 </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 xml:space="preserve">1 </w:t>
      </w:r>
      <w:r>
        <w:rPr>
          <w:rFonts w:asciiTheme="minorEastAsia" w:hAnsiTheme="minorEastAsia" w:eastAsiaTheme="minorEastAsia"/>
          <w:color w:val="auto"/>
          <w:sz w:val="28"/>
          <w:szCs w:val="28"/>
          <w:highlight w:val="none"/>
        </w:rPr>
        <w:t>日起至</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202</w:t>
      </w:r>
      <w:r>
        <w:rPr>
          <w:rFonts w:hint="eastAsia" w:asciiTheme="minorEastAsia" w:hAnsiTheme="minorEastAsia" w:eastAsiaTheme="minorEastAsia"/>
          <w:color w:val="auto"/>
          <w:sz w:val="28"/>
          <w:szCs w:val="28"/>
          <w:highlight w:val="none"/>
          <w:u w:val="single"/>
          <w:lang w:val="en-US" w:eastAsia="zh-CN"/>
        </w:rPr>
        <w:t>3</w:t>
      </w:r>
      <w:r>
        <w:rPr>
          <w:rFonts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 xml:space="preserve">8 </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u w:val="single"/>
        </w:rPr>
        <w:t xml:space="preserve"> </w:t>
      </w:r>
      <w:r>
        <w:rPr>
          <w:rFonts w:asciiTheme="minorEastAsia" w:hAnsiTheme="minorEastAsia" w:eastAsiaTheme="minorEastAsia"/>
          <w:color w:val="auto"/>
          <w:sz w:val="28"/>
          <w:szCs w:val="28"/>
          <w:highlight w:val="none"/>
          <w:u w:val="single"/>
        </w:rPr>
        <w:t xml:space="preserve">31 </w:t>
      </w:r>
      <w:r>
        <w:rPr>
          <w:rFonts w:asciiTheme="minorEastAsia" w:hAnsiTheme="minorEastAsia" w:eastAsiaTheme="minorEastAsia"/>
          <w:color w:val="auto"/>
          <w:sz w:val="28"/>
          <w:szCs w:val="28"/>
          <w:highlight w:val="none"/>
        </w:rPr>
        <w:t>日止</w:t>
      </w:r>
      <w:r>
        <w:rPr>
          <w:rFonts w:hint="eastAsia" w:asciiTheme="minorEastAsia" w:hAnsiTheme="minorEastAsia" w:eastAsiaTheme="minorEastAsia"/>
          <w:color w:val="auto"/>
          <w:sz w:val="28"/>
          <w:szCs w:val="28"/>
          <w:highlight w:val="none"/>
        </w:rPr>
        <w:t>。</w:t>
      </w:r>
    </w:p>
    <w:p>
      <w:pPr>
        <w:widowControl/>
        <w:ind w:firstLine="562" w:firstLineChars="200"/>
        <w:jc w:val="lef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六</w:t>
      </w:r>
      <w:r>
        <w:rPr>
          <w:rFonts w:hint="eastAsia" w:asciiTheme="minorEastAsia" w:hAnsiTheme="minorEastAsia" w:eastAsiaTheme="minorEastAsia"/>
          <w:b/>
          <w:color w:val="auto"/>
          <w:sz w:val="28"/>
          <w:szCs w:val="28"/>
          <w:highlight w:val="none"/>
        </w:rPr>
        <w:t>、</w:t>
      </w:r>
      <w:r>
        <w:rPr>
          <w:rFonts w:asciiTheme="minorEastAsia" w:hAnsiTheme="minorEastAsia" w:eastAsiaTheme="minorEastAsia"/>
          <w:b/>
          <w:color w:val="auto"/>
          <w:sz w:val="28"/>
          <w:szCs w:val="28"/>
          <w:highlight w:val="none"/>
        </w:rPr>
        <w:t>配合控制项</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1、在实施保养工作中，中标人的维保人员应接受采购方的业务指导和监督，同时</w:t>
      </w:r>
      <w:r>
        <w:rPr>
          <w:rFonts w:hint="eastAsia" w:asciiTheme="minorEastAsia" w:hAnsiTheme="minorEastAsia" w:eastAsiaTheme="minorEastAsia"/>
          <w:color w:val="auto"/>
          <w:sz w:val="28"/>
          <w:szCs w:val="28"/>
          <w:highlight w:val="none"/>
          <w:lang w:val="en-US" w:eastAsia="zh-CN"/>
        </w:rPr>
        <w:t>采购方物业</w:t>
      </w:r>
      <w:r>
        <w:rPr>
          <w:rFonts w:hint="eastAsia" w:asciiTheme="minorEastAsia" w:hAnsiTheme="minorEastAsia" w:eastAsiaTheme="minorEastAsia"/>
          <w:color w:val="auto"/>
          <w:sz w:val="28"/>
          <w:szCs w:val="28"/>
          <w:highlight w:val="none"/>
        </w:rPr>
        <w:t>管理处对维护人员进入各施工场所给予方便。为了保证投标人对消防系统维保工作的监督管理，采购方有关人员应对中标人维保人员的工作单、检查试验等工作予以签名确认。</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2、消防设施、设备系统出现较大故障时，中标</w:t>
      </w:r>
      <w:r>
        <w:rPr>
          <w:rFonts w:hint="eastAsia" w:asciiTheme="minorEastAsia" w:hAnsiTheme="minorEastAsia" w:eastAsiaTheme="minorEastAsia"/>
          <w:color w:val="auto"/>
          <w:sz w:val="28"/>
          <w:szCs w:val="28"/>
          <w:highlight w:val="none"/>
          <w:lang w:val="en-US" w:eastAsia="zh-CN"/>
        </w:rPr>
        <w:t>人</w:t>
      </w:r>
      <w:r>
        <w:rPr>
          <w:rFonts w:hint="eastAsia" w:asciiTheme="minorEastAsia" w:hAnsiTheme="minorEastAsia" w:eastAsiaTheme="minorEastAsia"/>
          <w:color w:val="auto"/>
          <w:sz w:val="28"/>
          <w:szCs w:val="28"/>
          <w:highlight w:val="none"/>
        </w:rPr>
        <w:t>应立即组织抢修，保证在最短时间内恢复运行。当抢修条件受客观因素限制，中标人应及时通知相关部门采取应急措施，然后在采购方统一协调配合下完成抢修工作。</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3、紧急呼叫：在发现消防水系统漏水，喷淋爆裂的情况下采取紧急呼叫，同时采购方管理人员应采取必要的紧急措施。</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4、若确认发生火灾事故，中标人应积极配合采购方按有关规定立即向广州市公安消防局报告情况，并为抢救提供必要的条件。</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采购方有权对中标人合同履行情况进行检查，检查中发现的问题，视情节轻重提出口头或书面提出整改意见，要求中标人限期整改，如整改后仍无法达到履约标准的，采购方有权要求提前终止合同要求中标人承担违约责任。</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建筑内因某些原因需改动、更换消防设施时，应经采购方管理部门批准。采购方应及时将批准意见通知中标人以便其提出合理建议和采取相应防范措施。当建筑内部进行整改及装修工程时，采购方应通知中标人参与消防设施部分工程投标。在中标人没有参与施工的情况下，施工方进入中控室施工由中标人配合。</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7、中标人人员统一工作服饰，每次进入现场工作及各项维修、保养和检查记录须送采购方有关人员签字确认。</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8、季度检查原始记录必须由参加维修保养的双方人员签字，季度检查结果和处理意见有双方代表签字后</w:t>
      </w:r>
      <w:r>
        <w:rPr>
          <w:rFonts w:hint="eastAsia" w:asciiTheme="minorEastAsia" w:hAnsiTheme="minorEastAsia" w:eastAsiaTheme="minorEastAsia"/>
          <w:color w:val="auto"/>
          <w:sz w:val="28"/>
          <w:szCs w:val="28"/>
          <w:highlight w:val="none"/>
          <w:lang w:val="en-US" w:eastAsia="zh-CN"/>
        </w:rPr>
        <w:t>各</w:t>
      </w:r>
      <w:r>
        <w:rPr>
          <w:rFonts w:hint="eastAsia" w:asciiTheme="minorEastAsia" w:hAnsiTheme="minorEastAsia" w:eastAsiaTheme="minorEastAsia"/>
          <w:color w:val="auto"/>
          <w:sz w:val="28"/>
          <w:szCs w:val="28"/>
          <w:highlight w:val="none"/>
        </w:rPr>
        <w:t>执一份。</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9、维修保养期为一年，期满前的最后一个月第一周对所有保养的设备进行一次全面维修、保养及检测，做出设备检测报告，提供全年消防系统运行报告，并经采购方作全面考评并签字确认。</w:t>
      </w:r>
    </w:p>
    <w:p>
      <w:pPr>
        <w:widowControl/>
        <w:ind w:firstLine="562" w:firstLineChars="200"/>
        <w:jc w:val="lef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七</w:t>
      </w:r>
      <w:r>
        <w:rPr>
          <w:rFonts w:hint="eastAsia" w:asciiTheme="minorEastAsia" w:hAnsiTheme="minorEastAsia" w:eastAsiaTheme="minorEastAsia"/>
          <w:b/>
          <w:color w:val="auto"/>
          <w:sz w:val="28"/>
          <w:szCs w:val="28"/>
          <w:highlight w:val="none"/>
        </w:rPr>
        <w:t>、</w:t>
      </w:r>
      <w:r>
        <w:rPr>
          <w:rFonts w:asciiTheme="minorEastAsia" w:hAnsiTheme="minorEastAsia" w:eastAsiaTheme="minorEastAsia"/>
          <w:b/>
          <w:color w:val="auto"/>
          <w:sz w:val="28"/>
          <w:szCs w:val="28"/>
          <w:highlight w:val="none"/>
        </w:rPr>
        <w:t>更换零配件的供应</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1、维修保养中发现需要更换的零配件费用单项超过200元以上的，中标人负责提供规格型号和购买渠道，采购人负责购买，中标人负责进行更换并安装调试。零配件费单项在</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元内（含</w:t>
      </w:r>
      <w:r>
        <w:rPr>
          <w:rFonts w:asciiTheme="minorEastAsia" w:hAnsiTheme="minorEastAsia" w:eastAsiaTheme="minorEastAsia"/>
          <w:color w:val="auto"/>
          <w:sz w:val="28"/>
          <w:szCs w:val="28"/>
          <w:highlight w:val="none"/>
        </w:rPr>
        <w:t>200</w:t>
      </w:r>
      <w:r>
        <w:rPr>
          <w:rFonts w:hint="eastAsia" w:asciiTheme="minorEastAsia" w:hAnsiTheme="minorEastAsia" w:eastAsiaTheme="minorEastAsia"/>
          <w:color w:val="auto"/>
          <w:sz w:val="28"/>
          <w:szCs w:val="28"/>
          <w:highlight w:val="none"/>
        </w:rPr>
        <w:t>元），由中标人负责。。</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2、定期检查时确认需要重新灌装的灭火剂，费用采购方负责，中标人协助进行拆装。</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3、因中标人维修保养过错造成零配件损坏或因其操作失误释放灭火剂，其补充、更换的费用由中标人负责。</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4、更换探测器、模块、风机、阀门等零件配件的人工费由中标人负责，但维修水泵、大面积油漆、对腐蚀严重的管道</w:t>
      </w:r>
      <w:r>
        <w:rPr>
          <w:rFonts w:hint="eastAsia" w:asciiTheme="minorEastAsia" w:hAnsiTheme="minorEastAsia" w:eastAsiaTheme="minorEastAsia"/>
          <w:color w:val="auto"/>
          <w:sz w:val="28"/>
          <w:szCs w:val="28"/>
          <w:highlight w:val="none"/>
          <w:lang w:val="en-US" w:eastAsia="zh-CN"/>
        </w:rPr>
        <w:t>更换</w:t>
      </w:r>
      <w:r>
        <w:rPr>
          <w:rFonts w:hint="eastAsia" w:asciiTheme="minorEastAsia" w:hAnsiTheme="minorEastAsia" w:eastAsiaTheme="minorEastAsia"/>
          <w:color w:val="auto"/>
          <w:sz w:val="28"/>
          <w:szCs w:val="28"/>
          <w:highlight w:val="none"/>
        </w:rPr>
        <w:t>的人工费由我方承担。</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5、外部因素引起系统损坏，中标人应向采购人提交修复方案，采购人审批同意后，按工作量支付费用。</w:t>
      </w:r>
    </w:p>
    <w:p>
      <w:pPr>
        <w:widowControl/>
        <w:ind w:firstLine="560" w:firstLineChars="200"/>
        <w:jc w:val="left"/>
        <w:rPr>
          <w:rFonts w:hint="eastAsia" w:asciiTheme="minorEastAsia" w:hAnsiTheme="minorEastAsia" w:eastAsiaTheme="minorEastAsia"/>
          <w:color w:val="auto"/>
          <w:sz w:val="28"/>
          <w:szCs w:val="28"/>
          <w:highlight w:val="none"/>
        </w:rPr>
      </w:pPr>
    </w:p>
    <w:p>
      <w:pPr>
        <w:widowControl/>
        <w:ind w:firstLine="560" w:firstLineChars="200"/>
        <w:jc w:val="left"/>
        <w:rPr>
          <w:rFonts w:asciiTheme="minorEastAsia" w:hAnsiTheme="minorEastAsia" w:eastAsiaTheme="minorEastAsia"/>
          <w:color w:val="auto"/>
          <w:sz w:val="28"/>
          <w:szCs w:val="28"/>
          <w:highlight w:val="none"/>
        </w:rPr>
      </w:pPr>
    </w:p>
    <w:p>
      <w:pPr>
        <w:widowControl/>
        <w:ind w:firstLine="3373" w:firstLineChars="1200"/>
        <w:jc w:val="lef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常用配件报价表</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1418"/>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名称</w:t>
            </w:r>
          </w:p>
        </w:tc>
        <w:tc>
          <w:tcPr>
            <w:tcW w:w="1418"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单价</w:t>
            </w:r>
          </w:p>
        </w:tc>
        <w:tc>
          <w:tcPr>
            <w:tcW w:w="1560"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智能感温探测器</w:t>
            </w:r>
          </w:p>
        </w:tc>
        <w:tc>
          <w:tcPr>
            <w:tcW w:w="1418"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restart"/>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8"/>
                <w:szCs w:val="28"/>
                <w:highlight w:val="none"/>
              </w:rPr>
              <w:t>按目前系统设备品牌、规格、型号。枢纽楼（海湾），冷站（赋安），备品配件需匹配现有系统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智能感烟探测器</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3685" w:type="dxa"/>
            <w:vAlign w:val="center"/>
          </w:tcPr>
          <w:p>
            <w:pPr>
              <w:tabs>
                <w:tab w:val="left" w:pos="2721"/>
              </w:tabs>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缆式线型定温火灾探测器（智能型）</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3685" w:type="dxa"/>
            <w:vAlign w:val="center"/>
          </w:tcPr>
          <w:p>
            <w:pPr>
              <w:tabs>
                <w:tab w:val="left" w:pos="2721"/>
              </w:tabs>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带消防电话插孔的智能手动报警按钮</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智能消火栓按钮</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智能输入模块</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智能中继模块</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短路隔离器</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智能广播模块</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智能警铃模块</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智能输入输出模块</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多线联动模块</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切换模块</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消防声光报警器</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消防广播（吸顶）（3W）</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消防广播（挂壁）（3W）</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编码器</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个</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w:t>
            </w:r>
          </w:p>
        </w:tc>
        <w:tc>
          <w:tcPr>
            <w:tcW w:w="3685" w:type="dxa"/>
            <w:vAlign w:val="center"/>
          </w:tcPr>
          <w:p>
            <w:pPr>
              <w:tabs>
                <w:tab w:val="left" w:pos="2721"/>
              </w:tabs>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其它</w:t>
            </w:r>
          </w:p>
        </w:tc>
        <w:tc>
          <w:tcPr>
            <w:tcW w:w="141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套</w:t>
            </w:r>
          </w:p>
        </w:tc>
        <w:tc>
          <w:tcPr>
            <w:tcW w:w="1417" w:type="dxa"/>
            <w:vAlign w:val="center"/>
          </w:tcPr>
          <w:p>
            <w:pPr>
              <w:tabs>
                <w:tab w:val="left" w:pos="2721"/>
              </w:tabs>
              <w:spacing w:line="360" w:lineRule="auto"/>
              <w:jc w:val="center"/>
              <w:rPr>
                <w:rFonts w:asciiTheme="minorEastAsia" w:hAnsiTheme="minorEastAsia" w:eastAsiaTheme="minorEastAsia"/>
                <w:color w:val="auto"/>
                <w:szCs w:val="21"/>
                <w:highlight w:val="none"/>
              </w:rPr>
            </w:pPr>
          </w:p>
        </w:tc>
        <w:tc>
          <w:tcPr>
            <w:tcW w:w="1560" w:type="dxa"/>
            <w:vMerge w:val="continue"/>
            <w:vAlign w:val="center"/>
          </w:tcPr>
          <w:p>
            <w:pPr>
              <w:tabs>
                <w:tab w:val="left" w:pos="2721"/>
              </w:tabs>
              <w:spacing w:line="360" w:lineRule="auto"/>
              <w:jc w:val="center"/>
              <w:rPr>
                <w:rFonts w:asciiTheme="minorEastAsia" w:hAnsiTheme="minorEastAsia" w:eastAsiaTheme="minorEastAsia"/>
                <w:color w:val="auto"/>
                <w:szCs w:val="21"/>
                <w:highlight w:val="none"/>
              </w:rPr>
            </w:pPr>
          </w:p>
        </w:tc>
      </w:tr>
    </w:tbl>
    <w:p>
      <w:pPr>
        <w:widowControl/>
        <w:ind w:firstLine="562" w:firstLineChars="200"/>
        <w:jc w:val="left"/>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八、考核及实施办法</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1、按制定的维保方案计划实施维保，按规定进行检查及测试，并以月度报表的形式向甲方提交维保月度工作报告及保养记录。每月10日前交上月的报表，迟交的每次扣罚100元。</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2、每月底双方负责信息枢纽楼消防维保工作的相关人员按合同规定的标准和要求共同检查一次,检查结果的不合格项，每项扣罚50元并限期整改，检查结果记录在汇总表。</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3、接报故障后不能在规定时间处理的，记有效投诉一次，扣罚100元/次。</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4、如因故障影响消防设备正常运行达一个工作日或以上记有效投诉一次，扣罚100元。</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5、乙方如不按合同进行维保的，经甲方确认的记有效投诉一次，扣罚200元。</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6、如维保人员接到报修通知不能按合同规定时间到现场处理，记有效投诉一次，扣罚100元。相同故障接报后多日未处理，以每天100元累计扣罚。</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7、如因消防设备维护、监控不到位而发生人身事故，扣除乙方1个月的维修保养费，并按规定追究责任。</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8、如确有特殊原因不能在三个工作日内将消防设备恢复正常运行，应向甲方作出书面报告，否则将记有效投诉一次，扣罚300元。</w:t>
      </w:r>
    </w:p>
    <w:p>
      <w:pPr>
        <w:widowControl/>
        <w:ind w:firstLine="560" w:firstLineChars="200"/>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9、若出现连续三个月每个月扣款超过1000元，</w:t>
      </w:r>
      <w:r>
        <w:rPr>
          <w:rFonts w:hint="eastAsia" w:asciiTheme="minorEastAsia" w:hAnsiTheme="minorEastAsia" w:eastAsiaTheme="minorEastAsia"/>
          <w:color w:val="auto"/>
          <w:sz w:val="28"/>
          <w:szCs w:val="28"/>
          <w:highlight w:val="none"/>
          <w:lang w:val="en-US" w:eastAsia="zh-CN"/>
        </w:rPr>
        <w:t>采购</w:t>
      </w:r>
      <w:r>
        <w:rPr>
          <w:rFonts w:hint="eastAsia" w:asciiTheme="minorEastAsia" w:hAnsiTheme="minorEastAsia" w:eastAsiaTheme="minorEastAsia"/>
          <w:color w:val="auto"/>
          <w:sz w:val="28"/>
          <w:szCs w:val="28"/>
          <w:highlight w:val="none"/>
        </w:rPr>
        <w:t>方有权终止合同。</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0</w:t>
      </w:r>
      <w:r>
        <w:rPr>
          <w:rFonts w:hint="eastAsia" w:asciiTheme="minorEastAsia" w:hAnsiTheme="minorEastAsia" w:eastAsiaTheme="minorEastAsia"/>
          <w:color w:val="auto"/>
          <w:sz w:val="28"/>
          <w:szCs w:val="28"/>
          <w:highlight w:val="none"/>
        </w:rPr>
        <w:t>、因甲方工程项目需要接入系统，应免费接入并调试。维保单位应提供有效的通讯方式，1小时内联系不上扣罚50元，4小时内联系不上扣罚200元。</w:t>
      </w:r>
    </w:p>
    <w:p>
      <w:pPr>
        <w:tabs>
          <w:tab w:val="left" w:pos="2721"/>
        </w:tabs>
        <w:spacing w:line="360" w:lineRule="auto"/>
        <w:ind w:firstLine="562" w:firstLineChars="200"/>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九</w:t>
      </w:r>
      <w:r>
        <w:rPr>
          <w:rFonts w:hint="eastAsia" w:asciiTheme="minorEastAsia" w:hAnsiTheme="minorEastAsia" w:eastAsiaTheme="minorEastAsia"/>
          <w:b/>
          <w:color w:val="auto"/>
          <w:sz w:val="28"/>
          <w:szCs w:val="28"/>
          <w:highlight w:val="none"/>
        </w:rPr>
        <w:t>、</w:t>
      </w:r>
      <w:r>
        <w:rPr>
          <w:rFonts w:asciiTheme="minorEastAsia" w:hAnsiTheme="minorEastAsia" w:eastAsiaTheme="minorEastAsia"/>
          <w:b/>
          <w:color w:val="auto"/>
          <w:sz w:val="28"/>
          <w:szCs w:val="28"/>
          <w:highlight w:val="none"/>
        </w:rPr>
        <w:t>安全要求</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1、中标人工作人员进场前必须通过安全培训，工作时严格按操作规程作业并注意自身安全。中标人工作人员人身安全及人身保险由中标人自理。</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中标人必须严格管理所属人员，教育所属人员严格遵守国家有关安全作业制度和规定，按照安全规程操作作业；中标人作业人员作业时应使用合格的安全防护器具，在实施现场应设置安全警示标识；从业人员必须持有有效上岗证（包括特殊作业人员操作上岗证）；属高空作业的，中标人应</w:t>
      </w:r>
      <w:r>
        <w:rPr>
          <w:rFonts w:hint="eastAsia" w:asciiTheme="minorEastAsia" w:hAnsiTheme="minorEastAsia" w:eastAsiaTheme="minorEastAsia"/>
          <w:color w:val="auto"/>
          <w:sz w:val="28"/>
          <w:szCs w:val="28"/>
          <w:highlight w:val="none"/>
          <w:lang w:val="en-US" w:eastAsia="zh-CN"/>
        </w:rPr>
        <w:t>负责</w:t>
      </w:r>
      <w:r>
        <w:rPr>
          <w:rFonts w:hint="eastAsia" w:asciiTheme="minorEastAsia" w:hAnsiTheme="minorEastAsia" w:eastAsiaTheme="minorEastAsia"/>
          <w:color w:val="auto"/>
          <w:sz w:val="28"/>
          <w:szCs w:val="28"/>
          <w:highlight w:val="none"/>
        </w:rPr>
        <w:t>为</w:t>
      </w:r>
      <w:r>
        <w:rPr>
          <w:rFonts w:hint="eastAsia" w:asciiTheme="minorEastAsia" w:hAnsiTheme="minorEastAsia" w:eastAsiaTheme="minorEastAsia"/>
          <w:color w:val="auto"/>
          <w:sz w:val="28"/>
          <w:szCs w:val="28"/>
          <w:highlight w:val="none"/>
          <w:lang w:val="en-US" w:eastAsia="zh-CN"/>
        </w:rPr>
        <w:t>作业者</w:t>
      </w:r>
      <w:r>
        <w:rPr>
          <w:rFonts w:hint="eastAsia" w:asciiTheme="minorEastAsia" w:hAnsiTheme="minorEastAsia" w:eastAsiaTheme="minorEastAsia"/>
          <w:color w:val="auto"/>
          <w:sz w:val="28"/>
          <w:szCs w:val="28"/>
          <w:highlight w:val="none"/>
        </w:rPr>
        <w:t>购买高空作业保险单据复印报甲方备案。</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3、中标人应对员工的安全负责</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中标人工作人员在工作中发生安全事故或作出违法、违章行为，其后果由中标人自行负责，采购方不承当任何责任和费用；中标人在履行合同过程中，给采购方或第三方造成人身或财产损失的，有中标人承担全部的赔偿责任。</w:t>
      </w:r>
    </w:p>
    <w:p>
      <w:pPr>
        <w:tabs>
          <w:tab w:val="left" w:pos="2721"/>
        </w:tabs>
        <w:spacing w:line="360" w:lineRule="auto"/>
        <w:ind w:firstLine="560" w:firstLineChars="200"/>
        <w:rPr>
          <w:rFonts w:ascii="宋体" w:hAnsi="宋体"/>
          <w:color w:val="auto"/>
          <w:sz w:val="28"/>
          <w:szCs w:val="28"/>
          <w:highlight w:val="none"/>
        </w:rPr>
      </w:pPr>
      <w:r>
        <w:rPr>
          <w:rFonts w:hint="eastAsia" w:asciiTheme="minorEastAsia" w:hAnsiTheme="minorEastAsia" w:eastAsiaTheme="minorEastAsia"/>
          <w:color w:val="auto"/>
          <w:sz w:val="28"/>
          <w:szCs w:val="28"/>
          <w:highlight w:val="none"/>
        </w:rPr>
        <w:t>4、中标人应按安全工作有关规定，采取严格、科学的安全防护措施，确保中标人保养人员及他人的人身安全，承担由于自身安全措施不力造成的事故的责任和发生</w:t>
      </w:r>
      <w:r>
        <w:rPr>
          <w:rFonts w:hint="eastAsia" w:ascii="宋体" w:hAnsi="宋体"/>
          <w:color w:val="auto"/>
          <w:sz w:val="28"/>
          <w:szCs w:val="28"/>
          <w:highlight w:val="none"/>
        </w:rPr>
        <w:t>的费用。</w:t>
      </w:r>
    </w:p>
    <w:p>
      <w:pPr>
        <w:tabs>
          <w:tab w:val="left" w:pos="2721"/>
        </w:tabs>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5、若发生重大伤亡事故，中标人应按有关规定立即报告当地消防局并通知采购方代表，</w:t>
      </w:r>
      <w:r>
        <w:rPr>
          <w:rFonts w:hint="eastAsia" w:ascii="宋体" w:hAnsi="宋体"/>
          <w:color w:val="auto"/>
          <w:sz w:val="28"/>
          <w:szCs w:val="28"/>
          <w:highlight w:val="none"/>
          <w:lang w:val="en-US" w:eastAsia="zh-CN"/>
        </w:rPr>
        <w:t>并</w:t>
      </w:r>
      <w:r>
        <w:rPr>
          <w:rFonts w:hint="eastAsia" w:ascii="宋体" w:hAnsi="宋体"/>
          <w:color w:val="auto"/>
          <w:sz w:val="28"/>
          <w:szCs w:val="28"/>
          <w:highlight w:val="none"/>
        </w:rPr>
        <w:t>为抢救提供必要的条件，发生费用由责任方承担。</w:t>
      </w:r>
    </w:p>
    <w:p>
      <w:pPr>
        <w:tabs>
          <w:tab w:val="left" w:pos="2721"/>
        </w:tabs>
        <w:spacing w:line="360" w:lineRule="auto"/>
        <w:ind w:firstLine="560" w:firstLineChars="200"/>
        <w:rPr>
          <w:rFonts w:asciiTheme="minorEastAsia" w:hAnsiTheme="minorEastAsia" w:eastAsiaTheme="minorEastAsia"/>
          <w:color w:val="auto"/>
          <w:sz w:val="28"/>
          <w:szCs w:val="28"/>
          <w:highlight w:val="none"/>
        </w:rPr>
      </w:pPr>
      <w:r>
        <w:rPr>
          <w:rFonts w:hint="eastAsia" w:ascii="宋体" w:hAnsi="宋体"/>
          <w:color w:val="auto"/>
          <w:sz w:val="28"/>
          <w:szCs w:val="28"/>
          <w:highlight w:val="none"/>
        </w:rPr>
        <w:t>6、中标人在动力设备、易燃易爆场所和贵重设备等易发生危险的场合进行维修保养时，应事先向采购方代表报告应采取的安全保护措施。采购方应派员在现场监督和协助中标人进行有关工作。不论采购方是否采取上述配合措施，中标人均应在满足安全的条件下进行工作。</w:t>
      </w:r>
    </w:p>
    <w:p>
      <w:pPr>
        <w:ind w:firstLine="562" w:firstLineChars="200"/>
        <w:rPr>
          <w:b/>
          <w:color w:val="auto"/>
          <w:sz w:val="28"/>
          <w:szCs w:val="28"/>
          <w:highlight w:val="none"/>
        </w:rPr>
      </w:pPr>
      <w:r>
        <w:rPr>
          <w:rFonts w:hint="eastAsia"/>
          <w:b/>
          <w:color w:val="auto"/>
          <w:sz w:val="28"/>
          <w:szCs w:val="28"/>
          <w:highlight w:val="none"/>
        </w:rPr>
        <w:t>十、费用支付方式</w:t>
      </w:r>
    </w:p>
    <w:p>
      <w:pPr>
        <w:ind w:firstLine="560" w:firstLineChars="200"/>
        <w:rPr>
          <w:rFonts w:ascii="宋体" w:hAnsi="宋体" w:cs="Arial"/>
          <w:color w:val="auto"/>
          <w:sz w:val="28"/>
          <w:szCs w:val="28"/>
          <w:highlight w:val="none"/>
        </w:rPr>
      </w:pPr>
      <w:r>
        <w:rPr>
          <w:rFonts w:ascii="宋体" w:hAnsi="宋体" w:cs="Arial"/>
          <w:color w:val="auto"/>
          <w:sz w:val="28"/>
          <w:szCs w:val="28"/>
          <w:highlight w:val="none"/>
        </w:rPr>
        <w:t>1、</w:t>
      </w:r>
      <w:r>
        <w:rPr>
          <w:rFonts w:hint="eastAsia" w:ascii="宋体" w:hAnsi="宋体" w:cs="Arial"/>
          <w:color w:val="auto"/>
          <w:sz w:val="28"/>
          <w:szCs w:val="28"/>
          <w:highlight w:val="none"/>
        </w:rPr>
        <w:t>全年维修保养费用按季度支付；</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2、每季度保养季度工作完成，经采购方考核认定中标人服务符合合同约定，转季的头一个月内付清上季度的维修保养费。</w:t>
      </w:r>
    </w:p>
    <w:p>
      <w:pPr>
        <w:ind w:firstLine="560" w:firstLineChars="200"/>
        <w:rPr>
          <w:rFonts w:ascii="宋体" w:hAnsi="宋体" w:cs="Arial"/>
          <w:color w:val="auto"/>
          <w:sz w:val="28"/>
          <w:szCs w:val="28"/>
          <w:highlight w:val="none"/>
        </w:rPr>
      </w:pPr>
      <w:r>
        <w:rPr>
          <w:rFonts w:ascii="宋体" w:hAnsi="宋体" w:cs="Arial"/>
          <w:color w:val="auto"/>
          <w:sz w:val="28"/>
          <w:szCs w:val="28"/>
          <w:highlight w:val="none"/>
        </w:rPr>
        <w:t>3、</w:t>
      </w:r>
      <w:r>
        <w:rPr>
          <w:rFonts w:hint="eastAsia" w:ascii="宋体" w:hAnsi="宋体" w:cs="Arial"/>
          <w:color w:val="auto"/>
          <w:sz w:val="28"/>
          <w:szCs w:val="28"/>
          <w:highlight w:val="none"/>
        </w:rPr>
        <w:t>合同到期，经采购方考核认定中标人服务符合合同约定，合同终止后一个月内付清余款。</w:t>
      </w:r>
    </w:p>
    <w:p>
      <w:pPr>
        <w:ind w:firstLine="560" w:firstLineChars="200"/>
        <w:rPr>
          <w:rFonts w:ascii="宋体" w:hAnsi="宋体" w:cs="Arial"/>
          <w:color w:val="auto"/>
          <w:sz w:val="28"/>
          <w:szCs w:val="28"/>
          <w:highlight w:val="none"/>
        </w:rPr>
      </w:pPr>
      <w:r>
        <w:rPr>
          <w:rFonts w:ascii="宋体" w:hAnsi="宋体" w:cs="Arial"/>
          <w:color w:val="auto"/>
          <w:sz w:val="28"/>
          <w:szCs w:val="28"/>
          <w:highlight w:val="none"/>
        </w:rPr>
        <w:t>4</w:t>
      </w:r>
      <w:r>
        <w:rPr>
          <w:rFonts w:hint="eastAsia" w:ascii="宋体" w:hAnsi="宋体" w:cs="Arial"/>
          <w:color w:val="auto"/>
          <w:sz w:val="28"/>
          <w:szCs w:val="28"/>
          <w:highlight w:val="none"/>
        </w:rPr>
        <w:t>、每次付款前乙方开具符合国家税务规定的等额合格的增值税专用发票给甲方。乙方晚于付款期限提供的，甲方付款期限相应顺延。</w:t>
      </w:r>
    </w:p>
    <w:p>
      <w:pPr>
        <w:ind w:firstLine="562" w:firstLineChars="200"/>
        <w:rPr>
          <w:b/>
          <w:color w:val="auto"/>
          <w:sz w:val="28"/>
          <w:szCs w:val="28"/>
          <w:highlight w:val="none"/>
        </w:rPr>
      </w:pPr>
      <w:r>
        <w:rPr>
          <w:rFonts w:hint="eastAsia"/>
          <w:b/>
          <w:color w:val="auto"/>
          <w:sz w:val="28"/>
          <w:szCs w:val="28"/>
          <w:highlight w:val="none"/>
        </w:rPr>
        <w:t>十一、投标文件</w:t>
      </w:r>
    </w:p>
    <w:p>
      <w:pPr>
        <w:ind w:firstLine="560" w:firstLineChars="200"/>
        <w:rPr>
          <w:color w:val="auto"/>
          <w:sz w:val="28"/>
          <w:szCs w:val="28"/>
          <w:highlight w:val="none"/>
        </w:rPr>
      </w:pPr>
      <w:r>
        <w:rPr>
          <w:rFonts w:hint="eastAsia"/>
          <w:color w:val="auto"/>
          <w:sz w:val="28"/>
          <w:szCs w:val="28"/>
          <w:highlight w:val="none"/>
        </w:rPr>
        <w:t>根据甲方要求的投标文件格式，进行密封报价（盖章）。投标文件应包含以下内容：</w:t>
      </w:r>
    </w:p>
    <w:p>
      <w:pPr>
        <w:ind w:firstLine="560" w:firstLineChars="200"/>
        <w:rPr>
          <w:color w:val="auto"/>
          <w:sz w:val="28"/>
          <w:szCs w:val="28"/>
          <w:highlight w:val="none"/>
        </w:rPr>
      </w:pPr>
      <w:r>
        <w:rPr>
          <w:rFonts w:hint="eastAsia"/>
          <w:color w:val="auto"/>
          <w:sz w:val="28"/>
          <w:szCs w:val="28"/>
          <w:highlight w:val="none"/>
        </w:rPr>
        <w:t>（一）商务部分（提供复印件，并加盖公章）</w:t>
      </w:r>
    </w:p>
    <w:p>
      <w:pPr>
        <w:numPr>
          <w:ilvl w:val="0"/>
          <w:numId w:val="2"/>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有效的企业工商营业执照、企业法人组织机构代码证书、税务登记证书（或三证合一）；</w:t>
      </w:r>
    </w:p>
    <w:p>
      <w:pPr>
        <w:numPr>
          <w:ilvl w:val="0"/>
          <w:numId w:val="2"/>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供应商调查表（格式见附件2）</w:t>
      </w:r>
    </w:p>
    <w:p>
      <w:pPr>
        <w:numPr>
          <w:ilvl w:val="0"/>
          <w:numId w:val="2"/>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法定代表人证明书、法定代表人授权委托书原件（格式见附件3和附件4）；</w:t>
      </w:r>
    </w:p>
    <w:p>
      <w:pPr>
        <w:numPr>
          <w:ilvl w:val="0"/>
          <w:numId w:val="2"/>
        </w:numPr>
        <w:ind w:left="0" w:firstLine="560" w:firstLineChars="200"/>
        <w:rPr>
          <w:rFonts w:ascii="宋体" w:hAnsi="宋体"/>
          <w:color w:val="auto"/>
          <w:sz w:val="28"/>
          <w:szCs w:val="28"/>
          <w:highlight w:val="none"/>
        </w:rPr>
      </w:pPr>
      <w:r>
        <w:rPr>
          <w:rFonts w:hint="eastAsia" w:ascii="宋体" w:hAnsi="宋体" w:cs="Arial"/>
          <w:color w:val="auto"/>
          <w:sz w:val="28"/>
          <w:szCs w:val="28"/>
          <w:highlight w:val="none"/>
        </w:rPr>
        <w:t>有效的资质证书和安全生产许可证；</w:t>
      </w:r>
    </w:p>
    <w:p>
      <w:pPr>
        <w:numPr>
          <w:ilvl w:val="0"/>
          <w:numId w:val="2"/>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本工程拟派项目负责人简历表</w:t>
      </w:r>
      <w:r>
        <w:rPr>
          <w:rFonts w:ascii="宋体" w:hAnsi="宋体"/>
          <w:color w:val="auto"/>
          <w:sz w:val="28"/>
          <w:szCs w:val="28"/>
          <w:highlight w:val="none"/>
        </w:rPr>
        <w:t>（包括姓名、部门和职务、</w:t>
      </w:r>
      <w:r>
        <w:rPr>
          <w:rFonts w:hint="eastAsia" w:ascii="宋体" w:hAnsi="宋体"/>
          <w:color w:val="auto"/>
          <w:sz w:val="28"/>
          <w:szCs w:val="28"/>
          <w:highlight w:val="none"/>
        </w:rPr>
        <w:t>所学专业和</w:t>
      </w:r>
      <w:r>
        <w:rPr>
          <w:rFonts w:ascii="宋体" w:hAnsi="宋体"/>
          <w:color w:val="auto"/>
          <w:sz w:val="28"/>
          <w:szCs w:val="28"/>
          <w:highlight w:val="none"/>
        </w:rPr>
        <w:t>毕业</w:t>
      </w:r>
      <w:r>
        <w:rPr>
          <w:rFonts w:hint="eastAsia" w:ascii="宋体" w:hAnsi="宋体"/>
          <w:color w:val="auto"/>
          <w:sz w:val="28"/>
          <w:szCs w:val="28"/>
          <w:highlight w:val="none"/>
        </w:rPr>
        <w:t>院校名称及毕业</w:t>
      </w:r>
      <w:r>
        <w:rPr>
          <w:rFonts w:ascii="宋体" w:hAnsi="宋体"/>
          <w:color w:val="auto"/>
          <w:sz w:val="28"/>
          <w:szCs w:val="28"/>
          <w:highlight w:val="none"/>
        </w:rPr>
        <w:t>时间、主要资历、经验及承担过的</w:t>
      </w:r>
      <w:r>
        <w:rPr>
          <w:rFonts w:hint="eastAsia" w:ascii="宋体" w:hAnsi="宋体"/>
          <w:color w:val="auto"/>
          <w:sz w:val="28"/>
          <w:szCs w:val="28"/>
          <w:highlight w:val="none"/>
        </w:rPr>
        <w:t>类似</w:t>
      </w:r>
      <w:r>
        <w:rPr>
          <w:rFonts w:ascii="宋体" w:hAnsi="宋体"/>
          <w:color w:val="auto"/>
          <w:sz w:val="28"/>
          <w:szCs w:val="28"/>
          <w:highlight w:val="none"/>
        </w:rPr>
        <w:t>项目</w:t>
      </w:r>
      <w:r>
        <w:rPr>
          <w:rFonts w:hint="eastAsia" w:ascii="宋体" w:hAnsi="宋体"/>
          <w:color w:val="auto"/>
          <w:sz w:val="28"/>
          <w:szCs w:val="28"/>
          <w:highlight w:val="none"/>
        </w:rPr>
        <w:t>，</w:t>
      </w:r>
      <w:r>
        <w:rPr>
          <w:rFonts w:ascii="宋体" w:hAnsi="宋体"/>
          <w:color w:val="auto"/>
          <w:sz w:val="28"/>
          <w:szCs w:val="28"/>
          <w:highlight w:val="none"/>
        </w:rPr>
        <w:t>获得认证资质证书</w:t>
      </w:r>
      <w:r>
        <w:rPr>
          <w:rFonts w:hint="eastAsia" w:ascii="宋体" w:hAnsi="宋体"/>
          <w:color w:val="auto"/>
          <w:sz w:val="28"/>
          <w:szCs w:val="28"/>
          <w:highlight w:val="none"/>
        </w:rPr>
        <w:t>及复印件</w:t>
      </w:r>
      <w:r>
        <w:rPr>
          <w:rFonts w:ascii="宋体" w:hAnsi="宋体"/>
          <w:color w:val="auto"/>
          <w:sz w:val="28"/>
          <w:szCs w:val="28"/>
          <w:highlight w:val="none"/>
        </w:rPr>
        <w:t>）</w:t>
      </w:r>
      <w:r>
        <w:rPr>
          <w:rFonts w:hint="eastAsia" w:ascii="宋体" w:hAnsi="宋体"/>
          <w:color w:val="auto"/>
          <w:sz w:val="28"/>
          <w:szCs w:val="28"/>
          <w:highlight w:val="none"/>
        </w:rPr>
        <w:t>；</w:t>
      </w:r>
    </w:p>
    <w:p>
      <w:pPr>
        <w:numPr>
          <w:ilvl w:val="0"/>
          <w:numId w:val="2"/>
        </w:numPr>
        <w:ind w:left="0" w:firstLine="560" w:firstLineChars="200"/>
        <w:rPr>
          <w:rFonts w:ascii="宋体" w:hAnsi="宋体"/>
          <w:color w:val="auto"/>
          <w:sz w:val="28"/>
          <w:szCs w:val="28"/>
          <w:highlight w:val="none"/>
        </w:rPr>
      </w:pPr>
      <w:r>
        <w:rPr>
          <w:rFonts w:hint="eastAsia" w:ascii="宋体" w:hAnsi="宋体"/>
          <w:color w:val="auto"/>
          <w:sz w:val="28"/>
          <w:szCs w:val="28"/>
          <w:highlight w:val="none"/>
        </w:rPr>
        <w:t>投标人近3年内(201</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年1月1日至今)完成过质量合格的类似工程项目业绩（需提供合同等相关证明材料复印件）</w:t>
      </w:r>
      <w:r>
        <w:rPr>
          <w:rFonts w:hint="eastAsia"/>
          <w:color w:val="auto"/>
          <w:sz w:val="28"/>
          <w:szCs w:val="28"/>
          <w:highlight w:val="none"/>
        </w:rPr>
        <w:t>；</w:t>
      </w:r>
    </w:p>
    <w:p>
      <w:pPr>
        <w:numPr>
          <w:ilvl w:val="0"/>
          <w:numId w:val="2"/>
        </w:numPr>
        <w:ind w:left="0" w:firstLine="560" w:firstLineChars="200"/>
        <w:rPr>
          <w:color w:val="auto"/>
          <w:sz w:val="28"/>
          <w:szCs w:val="28"/>
          <w:highlight w:val="none"/>
        </w:rPr>
      </w:pPr>
      <w:r>
        <w:rPr>
          <w:rFonts w:hint="eastAsia" w:ascii="宋体" w:hAnsi="宋体"/>
          <w:color w:val="auto"/>
          <w:sz w:val="28"/>
          <w:szCs w:val="28"/>
          <w:highlight w:val="none"/>
        </w:rPr>
        <w:t>投标人</w:t>
      </w:r>
      <w:r>
        <w:rPr>
          <w:rFonts w:hint="eastAsia" w:ascii="宋体" w:hAnsi="宋体" w:cs="Arial"/>
          <w:color w:val="auto"/>
          <w:sz w:val="28"/>
          <w:szCs w:val="28"/>
          <w:highlight w:val="none"/>
        </w:rPr>
        <w:t>认为有必要的其他资质等材料复印件。</w:t>
      </w:r>
    </w:p>
    <w:p>
      <w:pPr>
        <w:ind w:firstLine="560" w:firstLineChars="200"/>
        <w:rPr>
          <w:color w:val="auto"/>
          <w:sz w:val="28"/>
          <w:szCs w:val="28"/>
          <w:highlight w:val="none"/>
        </w:rPr>
      </w:pPr>
      <w:r>
        <w:rPr>
          <w:rFonts w:hint="eastAsia"/>
          <w:color w:val="auto"/>
          <w:sz w:val="28"/>
          <w:szCs w:val="28"/>
          <w:highlight w:val="none"/>
        </w:rPr>
        <w:t>（二）技术部分（格式自定，加盖公章）</w:t>
      </w:r>
    </w:p>
    <w:p>
      <w:pPr>
        <w:ind w:firstLine="560" w:firstLineChars="200"/>
        <w:rPr>
          <w:color w:val="auto"/>
          <w:sz w:val="28"/>
          <w:szCs w:val="28"/>
          <w:highlight w:val="none"/>
        </w:rPr>
      </w:pPr>
      <w:r>
        <w:rPr>
          <w:rFonts w:hint="eastAsia"/>
          <w:color w:val="auto"/>
          <w:sz w:val="28"/>
          <w:szCs w:val="28"/>
          <w:highlight w:val="none"/>
        </w:rPr>
        <w:t>维保方案：</w:t>
      </w:r>
      <w:r>
        <w:rPr>
          <w:rFonts w:hint="eastAsia"/>
          <w:b/>
          <w:color w:val="auto"/>
          <w:sz w:val="28"/>
          <w:szCs w:val="28"/>
          <w:highlight w:val="none"/>
        </w:rPr>
        <w:t>维保单位应充分了解现场条件，并针对本项目制定切实可行的</w:t>
      </w:r>
      <w:r>
        <w:rPr>
          <w:rFonts w:hint="eastAsia"/>
          <w:b/>
          <w:color w:val="auto"/>
          <w:sz w:val="28"/>
          <w:szCs w:val="28"/>
          <w:highlight w:val="none"/>
          <w:u w:val="double"/>
        </w:rPr>
        <w:t>维保方案</w:t>
      </w:r>
      <w:r>
        <w:rPr>
          <w:rFonts w:hint="eastAsia"/>
          <w:color w:val="auto"/>
          <w:sz w:val="28"/>
          <w:szCs w:val="28"/>
          <w:highlight w:val="none"/>
        </w:rPr>
        <w:t>，包括但不限于：</w:t>
      </w:r>
    </w:p>
    <w:p>
      <w:pPr>
        <w:widowControl/>
        <w:numPr>
          <w:ilvl w:val="0"/>
          <w:numId w:val="3"/>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总体实施方案；</w:t>
      </w:r>
    </w:p>
    <w:p>
      <w:pPr>
        <w:widowControl/>
        <w:numPr>
          <w:ilvl w:val="0"/>
          <w:numId w:val="3"/>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实施进度计划；</w:t>
      </w:r>
    </w:p>
    <w:p>
      <w:pPr>
        <w:widowControl/>
        <w:numPr>
          <w:ilvl w:val="0"/>
          <w:numId w:val="3"/>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确保实施进度的技术和组织措施；</w:t>
      </w:r>
    </w:p>
    <w:p>
      <w:pPr>
        <w:widowControl/>
        <w:numPr>
          <w:ilvl w:val="0"/>
          <w:numId w:val="3"/>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投入的机械设备；</w:t>
      </w:r>
    </w:p>
    <w:p>
      <w:pPr>
        <w:widowControl/>
        <w:numPr>
          <w:ilvl w:val="0"/>
          <w:numId w:val="3"/>
        </w:numPr>
        <w:ind w:left="0" w:firstLine="560" w:firstLineChars="200"/>
        <w:rPr>
          <w:color w:val="auto"/>
          <w:sz w:val="28"/>
          <w:szCs w:val="28"/>
          <w:highlight w:val="none"/>
        </w:rPr>
      </w:pPr>
      <w:r>
        <w:rPr>
          <w:rFonts w:hint="eastAsia" w:ascii="宋体" w:hAnsi="宋体" w:cs="Arial"/>
          <w:color w:val="auto"/>
          <w:sz w:val="28"/>
          <w:szCs w:val="28"/>
          <w:highlight w:val="none"/>
        </w:rPr>
        <w:t>投标人认为其它需要说明的文字。</w:t>
      </w:r>
    </w:p>
    <w:p>
      <w:pPr>
        <w:ind w:firstLine="560" w:firstLineChars="200"/>
        <w:rPr>
          <w:color w:val="auto"/>
          <w:sz w:val="28"/>
          <w:szCs w:val="28"/>
          <w:highlight w:val="none"/>
        </w:rPr>
      </w:pPr>
      <w:r>
        <w:rPr>
          <w:rFonts w:hint="eastAsia"/>
          <w:color w:val="auto"/>
          <w:sz w:val="28"/>
          <w:szCs w:val="28"/>
          <w:highlight w:val="none"/>
        </w:rPr>
        <w:t>（三）价格文件（加盖公章）</w:t>
      </w:r>
    </w:p>
    <w:p>
      <w:pPr>
        <w:numPr>
          <w:ilvl w:val="0"/>
          <w:numId w:val="4"/>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报价一览表：（格式见附件1）</w:t>
      </w:r>
    </w:p>
    <w:p>
      <w:pPr>
        <w:numPr>
          <w:ilvl w:val="0"/>
          <w:numId w:val="4"/>
        </w:numPr>
        <w:ind w:left="0"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报价明细表：格式自拟，包括但不限于各项目单价及综合总报价，并注明未含税总价、税率及含税总价。</w:t>
      </w:r>
    </w:p>
    <w:p>
      <w:pPr>
        <w:ind w:firstLine="562" w:firstLineChars="200"/>
        <w:rPr>
          <w:b/>
          <w:color w:val="auto"/>
          <w:sz w:val="28"/>
          <w:szCs w:val="28"/>
          <w:highlight w:val="none"/>
        </w:rPr>
      </w:pPr>
      <w:r>
        <w:rPr>
          <w:rFonts w:hint="eastAsia"/>
          <w:b/>
          <w:color w:val="auto"/>
          <w:sz w:val="28"/>
          <w:szCs w:val="28"/>
          <w:highlight w:val="none"/>
        </w:rPr>
        <w:t>十二、评标方法</w:t>
      </w:r>
    </w:p>
    <w:p>
      <w:pPr>
        <w:ind w:firstLine="560" w:firstLineChars="200"/>
        <w:rPr>
          <w:color w:val="auto"/>
          <w:sz w:val="28"/>
          <w:szCs w:val="28"/>
          <w:highlight w:val="none"/>
        </w:rPr>
      </w:pPr>
      <w:r>
        <w:rPr>
          <w:rFonts w:hint="eastAsia"/>
          <w:color w:val="auto"/>
          <w:sz w:val="28"/>
          <w:szCs w:val="28"/>
          <w:highlight w:val="none"/>
        </w:rPr>
        <w:t>本项目采用综合评</w:t>
      </w:r>
      <w:r>
        <w:rPr>
          <w:rFonts w:hint="eastAsia"/>
          <w:color w:val="auto"/>
          <w:sz w:val="28"/>
          <w:szCs w:val="28"/>
          <w:highlight w:val="none"/>
          <w:lang w:val="en-US" w:eastAsia="zh-CN"/>
        </w:rPr>
        <w:t>分</w:t>
      </w:r>
      <w:r>
        <w:rPr>
          <w:rFonts w:hint="eastAsia"/>
          <w:color w:val="auto"/>
          <w:sz w:val="28"/>
          <w:szCs w:val="28"/>
          <w:highlight w:val="none"/>
        </w:rPr>
        <w:t>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ind w:firstLine="560" w:firstLineChars="200"/>
        <w:rPr>
          <w:color w:val="auto"/>
          <w:sz w:val="28"/>
          <w:szCs w:val="28"/>
          <w:highlight w:val="none"/>
        </w:rPr>
      </w:pPr>
    </w:p>
    <w:p>
      <w:pPr>
        <w:ind w:firstLine="562" w:firstLineChars="200"/>
        <w:rPr>
          <w:rFonts w:ascii="宋体" w:hAnsi="宋体" w:cs="Arial"/>
          <w:b/>
          <w:color w:val="auto"/>
          <w:sz w:val="28"/>
          <w:szCs w:val="28"/>
          <w:highlight w:val="none"/>
        </w:rPr>
      </w:pPr>
      <w:r>
        <w:rPr>
          <w:rFonts w:hint="eastAsia" w:ascii="宋体" w:hAnsi="宋体" w:cs="Arial"/>
          <w:b/>
          <w:color w:val="auto"/>
          <w:sz w:val="28"/>
          <w:szCs w:val="28"/>
          <w:highlight w:val="none"/>
        </w:rPr>
        <w:t>十</w:t>
      </w:r>
      <w:r>
        <w:rPr>
          <w:rFonts w:hint="eastAsia"/>
          <w:b/>
          <w:color w:val="auto"/>
          <w:sz w:val="28"/>
          <w:szCs w:val="28"/>
          <w:highlight w:val="none"/>
        </w:rPr>
        <w:t>三</w:t>
      </w:r>
      <w:r>
        <w:rPr>
          <w:rFonts w:hint="eastAsia" w:ascii="宋体" w:hAnsi="宋体" w:cs="Arial"/>
          <w:b/>
          <w:color w:val="auto"/>
          <w:sz w:val="28"/>
          <w:szCs w:val="28"/>
          <w:highlight w:val="none"/>
        </w:rPr>
        <w:t>、勘踏现场</w:t>
      </w:r>
    </w:p>
    <w:p>
      <w:pPr>
        <w:ind w:firstLine="560" w:firstLineChars="200"/>
        <w:rPr>
          <w:color w:val="auto"/>
          <w:sz w:val="28"/>
          <w:szCs w:val="28"/>
          <w:highlight w:val="none"/>
        </w:rPr>
      </w:pPr>
      <w:r>
        <w:rPr>
          <w:rFonts w:hint="eastAsia"/>
          <w:color w:val="auto"/>
          <w:sz w:val="28"/>
          <w:szCs w:val="28"/>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20</w:t>
      </w:r>
      <w:r>
        <w:rPr>
          <w:color w:val="auto"/>
          <w:sz w:val="28"/>
          <w:szCs w:val="28"/>
          <w:highlight w:val="none"/>
        </w:rPr>
        <w:t>2</w:t>
      </w:r>
      <w:r>
        <w:rPr>
          <w:rFonts w:hint="eastAsia"/>
          <w:color w:val="auto"/>
          <w:sz w:val="28"/>
          <w:szCs w:val="28"/>
          <w:highlight w:val="none"/>
          <w:lang w:val="en-US" w:eastAsia="zh-CN"/>
        </w:rPr>
        <w:t>2</w:t>
      </w:r>
      <w:r>
        <w:rPr>
          <w:rFonts w:hint="eastAsia"/>
          <w:color w:val="auto"/>
          <w:sz w:val="28"/>
          <w:szCs w:val="28"/>
          <w:highlight w:val="none"/>
        </w:rPr>
        <w:t>年</w:t>
      </w:r>
      <w:r>
        <w:rPr>
          <w:rFonts w:hint="eastAsia"/>
          <w:color w:val="auto"/>
          <w:sz w:val="28"/>
          <w:szCs w:val="28"/>
          <w:highlight w:val="none"/>
          <w:lang w:val="en-US" w:eastAsia="zh-CN"/>
        </w:rPr>
        <w:t>6</w:t>
      </w:r>
      <w:r>
        <w:rPr>
          <w:rFonts w:hint="eastAsia"/>
          <w:color w:val="auto"/>
          <w:sz w:val="28"/>
          <w:szCs w:val="28"/>
          <w:highlight w:val="none"/>
        </w:rPr>
        <w:t>月</w:t>
      </w:r>
      <w:r>
        <w:rPr>
          <w:rFonts w:hint="eastAsia"/>
          <w:color w:val="auto"/>
          <w:sz w:val="28"/>
          <w:szCs w:val="28"/>
          <w:highlight w:val="none"/>
          <w:lang w:val="en-US" w:eastAsia="zh-CN"/>
        </w:rPr>
        <w:t>15</w:t>
      </w:r>
      <w:bookmarkStart w:id="0" w:name="_GoBack"/>
      <w:bookmarkEnd w:id="0"/>
      <w:r>
        <w:rPr>
          <w:rFonts w:hint="eastAsia"/>
          <w:color w:val="auto"/>
          <w:sz w:val="28"/>
          <w:szCs w:val="28"/>
          <w:highlight w:val="none"/>
        </w:rPr>
        <w:t>日</w:t>
      </w:r>
      <w:r>
        <w:rPr>
          <w:color w:val="auto"/>
          <w:sz w:val="28"/>
          <w:szCs w:val="28"/>
          <w:highlight w:val="none"/>
        </w:rPr>
        <w:t>10</w:t>
      </w:r>
      <w:r>
        <w:rPr>
          <w:rFonts w:hint="eastAsia"/>
          <w:color w:val="auto"/>
          <w:sz w:val="28"/>
          <w:szCs w:val="28"/>
          <w:highlight w:val="none"/>
        </w:rPr>
        <w:t>:</w:t>
      </w:r>
      <w:r>
        <w:rPr>
          <w:color w:val="auto"/>
          <w:sz w:val="28"/>
          <w:szCs w:val="28"/>
          <w:highlight w:val="none"/>
        </w:rPr>
        <w:t>00</w:t>
      </w:r>
      <w:r>
        <w:rPr>
          <w:rFonts w:hint="eastAsia"/>
          <w:color w:val="auto"/>
          <w:sz w:val="28"/>
          <w:szCs w:val="28"/>
          <w:highlight w:val="none"/>
        </w:rPr>
        <w:t>时，集中地点：广州市番禺区大学城明志街1号信息枢纽楼一楼西门。勘踏现场联系人梁工，联系电话：</w:t>
      </w:r>
      <w:r>
        <w:rPr>
          <w:color w:val="auto"/>
          <w:sz w:val="28"/>
          <w:szCs w:val="28"/>
          <w:highlight w:val="none"/>
        </w:rPr>
        <w:t>020-39302020</w:t>
      </w:r>
      <w:r>
        <w:rPr>
          <w:rFonts w:hint="eastAsia"/>
          <w:color w:val="auto"/>
          <w:sz w:val="28"/>
          <w:szCs w:val="28"/>
          <w:highlight w:val="none"/>
        </w:rPr>
        <w:t>。投标人未在规定时间勘踏现场的，甲方不再另行组织，由投标人自行前往勘踏。</w:t>
      </w:r>
    </w:p>
    <w:p>
      <w:pPr>
        <w:ind w:firstLine="562" w:firstLineChars="200"/>
        <w:rPr>
          <w:rFonts w:ascii="宋体" w:hAnsi="宋体" w:cs="Arial"/>
          <w:b/>
          <w:color w:val="auto"/>
          <w:sz w:val="28"/>
          <w:szCs w:val="28"/>
          <w:highlight w:val="none"/>
        </w:rPr>
      </w:pPr>
      <w:r>
        <w:rPr>
          <w:rFonts w:hint="eastAsia" w:ascii="宋体" w:hAnsi="宋体" w:cs="Arial"/>
          <w:b/>
          <w:color w:val="auto"/>
          <w:sz w:val="28"/>
          <w:szCs w:val="28"/>
          <w:highlight w:val="none"/>
        </w:rPr>
        <w:t>十四、递交投标文件</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（一）</w:t>
      </w:r>
      <w:r>
        <w:rPr>
          <w:rFonts w:hint="eastAsia" w:ascii="宋体" w:hAnsi="宋体" w:cs="Arial"/>
          <w:b/>
          <w:color w:val="auto"/>
          <w:sz w:val="28"/>
          <w:szCs w:val="28"/>
          <w:highlight w:val="none"/>
        </w:rPr>
        <w:t>投标单位以密封的形式（一式一份，无需装订）</w:t>
      </w:r>
      <w:r>
        <w:rPr>
          <w:rFonts w:hint="eastAsia" w:ascii="宋体" w:hAnsi="宋体" w:cs="Arial"/>
          <w:color w:val="auto"/>
          <w:sz w:val="28"/>
          <w:szCs w:val="28"/>
          <w:highlight w:val="none"/>
        </w:rPr>
        <w:t>提供投标文件到：广州市番禺区大学城明志街1号信息枢纽楼9楼采购合同部，采购方接受现场递交或邮寄两种方式。</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（二）投标文件递交截止时间：20</w:t>
      </w:r>
      <w:r>
        <w:rPr>
          <w:rFonts w:ascii="宋体" w:hAnsi="宋体" w:cs="Arial"/>
          <w:color w:val="auto"/>
          <w:sz w:val="28"/>
          <w:szCs w:val="28"/>
          <w:highlight w:val="none"/>
        </w:rPr>
        <w:t>2</w:t>
      </w:r>
      <w:r>
        <w:rPr>
          <w:rFonts w:hint="eastAsia" w:ascii="宋体" w:hAnsi="宋体" w:cs="Arial"/>
          <w:color w:val="auto"/>
          <w:sz w:val="28"/>
          <w:szCs w:val="28"/>
          <w:highlight w:val="none"/>
          <w:lang w:val="en-US" w:eastAsia="zh-CN"/>
        </w:rPr>
        <w:t>2</w:t>
      </w:r>
      <w:r>
        <w:rPr>
          <w:rFonts w:hint="eastAsia" w:ascii="宋体" w:hAnsi="宋体" w:cs="Arial"/>
          <w:color w:val="auto"/>
          <w:sz w:val="28"/>
          <w:szCs w:val="28"/>
          <w:highlight w:val="none"/>
        </w:rPr>
        <w:t>年</w:t>
      </w:r>
      <w:r>
        <w:rPr>
          <w:rFonts w:hint="eastAsia" w:ascii="宋体" w:hAnsi="宋体" w:cs="Arial"/>
          <w:color w:val="auto"/>
          <w:sz w:val="28"/>
          <w:szCs w:val="28"/>
          <w:highlight w:val="none"/>
          <w:lang w:val="en-US" w:eastAsia="zh-CN"/>
        </w:rPr>
        <w:t>6</w:t>
      </w:r>
      <w:r>
        <w:rPr>
          <w:rFonts w:hint="eastAsia" w:ascii="宋体" w:hAnsi="宋体" w:cs="Arial"/>
          <w:color w:val="auto"/>
          <w:sz w:val="28"/>
          <w:szCs w:val="28"/>
          <w:highlight w:val="none"/>
        </w:rPr>
        <w:t>月</w:t>
      </w:r>
      <w:r>
        <w:rPr>
          <w:rFonts w:hint="eastAsia" w:ascii="宋体" w:hAnsi="宋体" w:cs="Arial"/>
          <w:color w:val="auto"/>
          <w:sz w:val="28"/>
          <w:szCs w:val="28"/>
          <w:highlight w:val="none"/>
          <w:lang w:val="en-US" w:eastAsia="zh-CN"/>
        </w:rPr>
        <w:t>20</w:t>
      </w:r>
      <w:r>
        <w:rPr>
          <w:rFonts w:hint="eastAsia" w:ascii="宋体" w:hAnsi="宋体" w:cs="Arial"/>
          <w:color w:val="auto"/>
          <w:sz w:val="28"/>
          <w:szCs w:val="28"/>
          <w:highlight w:val="none"/>
        </w:rPr>
        <w:t>日北京时间</w:t>
      </w:r>
      <w:r>
        <w:rPr>
          <w:rFonts w:ascii="宋体" w:hAnsi="宋体" w:cs="Arial"/>
          <w:color w:val="auto"/>
          <w:sz w:val="28"/>
          <w:szCs w:val="28"/>
          <w:highlight w:val="none"/>
        </w:rPr>
        <w:t>15</w:t>
      </w:r>
      <w:r>
        <w:rPr>
          <w:rFonts w:hint="eastAsia" w:ascii="宋体" w:hAnsi="宋体" w:cs="Arial"/>
          <w:color w:val="auto"/>
          <w:sz w:val="28"/>
          <w:szCs w:val="28"/>
          <w:highlight w:val="none"/>
        </w:rPr>
        <w:t>时</w:t>
      </w:r>
      <w:r>
        <w:rPr>
          <w:rFonts w:ascii="宋体" w:hAnsi="宋体" w:cs="Arial"/>
          <w:color w:val="auto"/>
          <w:sz w:val="28"/>
          <w:szCs w:val="28"/>
          <w:highlight w:val="none"/>
        </w:rPr>
        <w:t>30</w:t>
      </w:r>
      <w:r>
        <w:rPr>
          <w:rFonts w:hint="eastAsia" w:ascii="宋体" w:hAnsi="宋体" w:cs="Arial"/>
          <w:color w:val="auto"/>
          <w:sz w:val="28"/>
          <w:szCs w:val="28"/>
          <w:highlight w:val="none"/>
        </w:rPr>
        <w:t>分前。递交的投标文件或投标文件信封未密封，或未在骑缝处盖章或签字，或逾期送达的采购方有权不予受理。</w:t>
      </w:r>
    </w:p>
    <w:p>
      <w:pPr>
        <w:ind w:firstLine="562" w:firstLineChars="200"/>
        <w:rPr>
          <w:rFonts w:ascii="宋体" w:hAnsi="宋体" w:cs="Arial"/>
          <w:b/>
          <w:color w:val="auto"/>
          <w:sz w:val="28"/>
          <w:szCs w:val="28"/>
          <w:highlight w:val="none"/>
        </w:rPr>
      </w:pPr>
      <w:r>
        <w:rPr>
          <w:rFonts w:ascii="宋体" w:hAnsi="宋体" w:cs="Arial"/>
          <w:b/>
          <w:color w:val="auto"/>
          <w:sz w:val="28"/>
          <w:szCs w:val="28"/>
          <w:highlight w:val="none"/>
        </w:rPr>
        <w:t>十</w:t>
      </w:r>
      <w:r>
        <w:rPr>
          <w:rFonts w:hint="eastAsia" w:ascii="宋体" w:hAnsi="宋体" w:cs="Arial"/>
          <w:b/>
          <w:color w:val="auto"/>
          <w:sz w:val="28"/>
          <w:szCs w:val="28"/>
          <w:highlight w:val="none"/>
        </w:rPr>
        <w:t>五、</w:t>
      </w:r>
      <w:r>
        <w:rPr>
          <w:rFonts w:hint="eastAsia" w:ascii="宋体" w:hAnsi="宋体" w:cs="Arial"/>
          <w:color w:val="auto"/>
          <w:sz w:val="28"/>
          <w:szCs w:val="28"/>
          <w:highlight w:val="none"/>
        </w:rPr>
        <w:t>本竞选文件在广东建设工程信息网（http://www.buildinfo.com.cn/）、广州国企阳光采购服务平台（http://cg.gemas.com.cn/）、广州大学城投资经营管理有限公司网站（网址：https://www.gzuci.com/）同时发布。本竞选文件在各媒体发布的文本如有不同之处，以在广州大学城投资经营管理有限公司网站发布的文本为准。</w:t>
      </w:r>
      <w:r>
        <w:rPr>
          <w:rFonts w:hint="eastAsia" w:cs="宋体" w:asciiTheme="minorEastAsia" w:hAnsiTheme="minorEastAsia"/>
          <w:color w:val="auto"/>
          <w:sz w:val="28"/>
          <w:szCs w:val="28"/>
          <w:highlight w:val="none"/>
        </w:rPr>
        <w:t>项目相关竞选文件等资料请自行在网站下载。</w:t>
      </w:r>
    </w:p>
    <w:p>
      <w:pPr>
        <w:ind w:firstLine="562" w:firstLineChars="200"/>
        <w:rPr>
          <w:rFonts w:ascii="宋体" w:hAnsi="宋体" w:cs="Arial"/>
          <w:b/>
          <w:color w:val="auto"/>
          <w:sz w:val="28"/>
          <w:szCs w:val="28"/>
          <w:highlight w:val="none"/>
        </w:rPr>
      </w:pPr>
      <w:r>
        <w:rPr>
          <w:rFonts w:hint="eastAsia" w:ascii="宋体" w:hAnsi="宋体" w:cs="Arial"/>
          <w:b/>
          <w:color w:val="auto"/>
          <w:sz w:val="28"/>
          <w:szCs w:val="28"/>
          <w:highlight w:val="none"/>
        </w:rPr>
        <w:t>十六、采购人地址和联系方式</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采购人：广州大学城投资经营管理有限公司</w:t>
      </w:r>
    </w:p>
    <w:p>
      <w:pPr>
        <w:ind w:firstLine="560" w:firstLineChars="200"/>
        <w:rPr>
          <w:rFonts w:ascii="宋体" w:hAnsi="宋体" w:cs="Arial"/>
          <w:color w:val="auto"/>
          <w:sz w:val="28"/>
          <w:szCs w:val="28"/>
          <w:highlight w:val="none"/>
        </w:rPr>
      </w:pPr>
      <w:r>
        <w:rPr>
          <w:rFonts w:hint="eastAsia" w:ascii="宋体" w:hAnsi="宋体" w:cs="Arial"/>
          <w:color w:val="auto"/>
          <w:sz w:val="28"/>
          <w:szCs w:val="28"/>
          <w:highlight w:val="none"/>
        </w:rPr>
        <w:t>联系地址：广州市番禺区大学城明志街</w:t>
      </w:r>
      <w:r>
        <w:rPr>
          <w:rFonts w:ascii="Arial" w:hAnsi="Arial" w:cs="Arial"/>
          <w:color w:val="auto"/>
          <w:sz w:val="28"/>
          <w:szCs w:val="28"/>
          <w:highlight w:val="none"/>
        </w:rPr>
        <w:t>1</w:t>
      </w:r>
      <w:r>
        <w:rPr>
          <w:rFonts w:hint="eastAsia" w:ascii="宋体" w:hAnsi="宋体" w:cs="Arial"/>
          <w:color w:val="auto"/>
          <w:sz w:val="28"/>
          <w:szCs w:val="28"/>
          <w:highlight w:val="none"/>
        </w:rPr>
        <w:t>号信息枢纽楼9楼</w:t>
      </w:r>
    </w:p>
    <w:p>
      <w:pPr>
        <w:ind w:firstLine="560" w:firstLineChars="200"/>
        <w:rPr>
          <w:rFonts w:ascii="Arial" w:hAnsi="Arial" w:cs="Arial"/>
          <w:color w:val="auto"/>
          <w:sz w:val="28"/>
          <w:szCs w:val="28"/>
          <w:highlight w:val="none"/>
        </w:rPr>
      </w:pPr>
      <w:r>
        <w:rPr>
          <w:rFonts w:hint="eastAsia" w:ascii="宋体" w:hAnsi="宋体" w:cs="Arial"/>
          <w:color w:val="auto"/>
          <w:sz w:val="28"/>
          <w:szCs w:val="28"/>
          <w:highlight w:val="none"/>
        </w:rPr>
        <w:t>联系人：</w:t>
      </w:r>
      <w:r>
        <w:rPr>
          <w:rFonts w:hint="eastAsia" w:ascii="宋体" w:hAnsi="宋体" w:cs="Arial"/>
          <w:color w:val="auto"/>
          <w:sz w:val="28"/>
          <w:szCs w:val="28"/>
          <w:highlight w:val="none"/>
          <w:lang w:val="en-US" w:eastAsia="zh-CN"/>
        </w:rPr>
        <w:t>詹</w:t>
      </w:r>
      <w:r>
        <w:rPr>
          <w:rFonts w:hint="eastAsia" w:ascii="宋体" w:hAnsi="宋体" w:cs="Arial"/>
          <w:color w:val="auto"/>
          <w:sz w:val="28"/>
          <w:szCs w:val="28"/>
          <w:highlight w:val="none"/>
        </w:rPr>
        <w:t>工</w:t>
      </w:r>
    </w:p>
    <w:p>
      <w:pPr>
        <w:ind w:firstLine="560" w:firstLineChars="200"/>
        <w:rPr>
          <w:rFonts w:ascii="Arial" w:hAnsi="Arial" w:cs="Arial"/>
          <w:color w:val="auto"/>
          <w:sz w:val="28"/>
          <w:szCs w:val="28"/>
          <w:highlight w:val="none"/>
        </w:rPr>
      </w:pPr>
      <w:r>
        <w:rPr>
          <w:rFonts w:hint="eastAsia" w:ascii="宋体" w:hAnsi="宋体" w:cs="Arial"/>
          <w:color w:val="auto"/>
          <w:sz w:val="28"/>
          <w:szCs w:val="28"/>
          <w:highlight w:val="none"/>
        </w:rPr>
        <w:t>联系电话：0</w:t>
      </w:r>
      <w:r>
        <w:rPr>
          <w:rFonts w:ascii="宋体" w:hAnsi="宋体" w:cs="Arial"/>
          <w:color w:val="auto"/>
          <w:sz w:val="28"/>
          <w:szCs w:val="28"/>
          <w:highlight w:val="none"/>
        </w:rPr>
        <w:t>20-39302078</w:t>
      </w:r>
    </w:p>
    <w:p>
      <w:pPr>
        <w:rPr>
          <w:rFonts w:ascii="宋体" w:hAnsi="宋体" w:cs="Arial"/>
          <w:color w:val="auto"/>
          <w:sz w:val="28"/>
          <w:szCs w:val="28"/>
          <w:highlight w:val="none"/>
        </w:rPr>
      </w:pPr>
      <w:r>
        <w:rPr>
          <w:rFonts w:hint="eastAsia" w:ascii="宋体" w:hAnsi="宋体" w:cs="Arial"/>
          <w:color w:val="auto"/>
          <w:sz w:val="28"/>
          <w:szCs w:val="28"/>
          <w:highlight w:val="none"/>
        </w:rPr>
        <w:t>附件：1、报价一览表</w:t>
      </w:r>
    </w:p>
    <w:p>
      <w:pPr>
        <w:ind w:firstLine="840" w:firstLineChars="300"/>
        <w:rPr>
          <w:rFonts w:ascii="宋体" w:hAnsi="宋体" w:cs="Arial"/>
          <w:color w:val="auto"/>
          <w:sz w:val="28"/>
          <w:szCs w:val="28"/>
          <w:highlight w:val="none"/>
        </w:rPr>
      </w:pPr>
      <w:r>
        <w:rPr>
          <w:rFonts w:ascii="宋体" w:hAnsi="宋体" w:cs="Arial"/>
          <w:color w:val="auto"/>
          <w:sz w:val="28"/>
          <w:szCs w:val="28"/>
          <w:highlight w:val="none"/>
        </w:rPr>
        <w:t>2</w:t>
      </w:r>
      <w:r>
        <w:rPr>
          <w:rFonts w:hint="eastAsia" w:ascii="宋体" w:hAnsi="宋体" w:cs="Arial"/>
          <w:color w:val="auto"/>
          <w:sz w:val="28"/>
          <w:szCs w:val="28"/>
          <w:highlight w:val="none"/>
        </w:rPr>
        <w:t>、供应商调查表</w:t>
      </w:r>
    </w:p>
    <w:p>
      <w:pPr>
        <w:ind w:firstLine="840" w:firstLineChars="300"/>
        <w:rPr>
          <w:rFonts w:ascii="宋体" w:hAnsi="宋体" w:cs="Arial"/>
          <w:color w:val="auto"/>
          <w:sz w:val="28"/>
          <w:szCs w:val="28"/>
          <w:highlight w:val="none"/>
        </w:rPr>
      </w:pPr>
      <w:r>
        <w:rPr>
          <w:rFonts w:hint="eastAsia" w:ascii="宋体" w:hAnsi="宋体" w:cs="Arial"/>
          <w:color w:val="auto"/>
          <w:sz w:val="28"/>
          <w:szCs w:val="28"/>
          <w:highlight w:val="none"/>
        </w:rPr>
        <w:t>3、法定代表人身份证明书</w:t>
      </w:r>
    </w:p>
    <w:p>
      <w:pPr>
        <w:ind w:firstLine="840" w:firstLineChars="300"/>
        <w:rPr>
          <w:rFonts w:ascii="宋体" w:hAnsi="宋体" w:cs="Arial"/>
          <w:color w:val="auto"/>
          <w:sz w:val="28"/>
          <w:szCs w:val="28"/>
          <w:highlight w:val="none"/>
        </w:rPr>
      </w:pPr>
      <w:r>
        <w:rPr>
          <w:rFonts w:hint="eastAsia" w:ascii="宋体" w:hAnsi="宋体" w:cs="Arial"/>
          <w:color w:val="auto"/>
          <w:sz w:val="28"/>
          <w:szCs w:val="28"/>
          <w:highlight w:val="none"/>
        </w:rPr>
        <w:t>4、法定代表人授权委托证明书</w:t>
      </w:r>
    </w:p>
    <w:p>
      <w:pPr>
        <w:ind w:firstLine="840" w:firstLineChars="300"/>
        <w:rPr>
          <w:rFonts w:ascii="宋体" w:hAnsi="宋体" w:cs="Arial"/>
          <w:color w:val="auto"/>
          <w:sz w:val="28"/>
          <w:szCs w:val="28"/>
          <w:highlight w:val="none"/>
        </w:rPr>
      </w:pPr>
      <w:r>
        <w:rPr>
          <w:rFonts w:hint="eastAsia" w:ascii="宋体" w:hAnsi="宋体" w:cs="Arial"/>
          <w:color w:val="auto"/>
          <w:sz w:val="28"/>
          <w:szCs w:val="28"/>
          <w:highlight w:val="none"/>
        </w:rPr>
        <w:t>5、投标人资格审查表</w:t>
      </w:r>
    </w:p>
    <w:p>
      <w:pPr>
        <w:ind w:firstLine="840" w:firstLineChars="300"/>
        <w:rPr>
          <w:rFonts w:hint="eastAsia" w:ascii="宋体" w:hAnsi="宋体" w:cs="Arial"/>
          <w:color w:val="auto"/>
          <w:sz w:val="28"/>
          <w:szCs w:val="28"/>
          <w:highlight w:val="none"/>
        </w:rPr>
      </w:pPr>
      <w:r>
        <w:rPr>
          <w:rFonts w:hint="eastAsia" w:ascii="宋体" w:hAnsi="宋体" w:cs="Arial"/>
          <w:color w:val="auto"/>
          <w:sz w:val="28"/>
          <w:szCs w:val="28"/>
          <w:highlight w:val="none"/>
        </w:rPr>
        <w:t>6、投标文件有效性审查表</w:t>
      </w:r>
    </w:p>
    <w:p>
      <w:pPr>
        <w:ind w:firstLine="840" w:firstLineChars="300"/>
        <w:rPr>
          <w:rFonts w:hint="default" w:ascii="宋体" w:hAnsi="宋体" w:eastAsia="宋体" w:cs="Arial"/>
          <w:color w:val="auto"/>
          <w:sz w:val="28"/>
          <w:szCs w:val="28"/>
          <w:highlight w:val="none"/>
          <w:lang w:val="en-US" w:eastAsia="zh-CN"/>
        </w:rPr>
      </w:pPr>
      <w:r>
        <w:rPr>
          <w:rFonts w:hint="eastAsia" w:ascii="宋体" w:hAnsi="宋体" w:cs="Arial"/>
          <w:color w:val="auto"/>
          <w:sz w:val="28"/>
          <w:szCs w:val="28"/>
          <w:highlight w:val="none"/>
          <w:lang w:val="en-US" w:eastAsia="zh-CN"/>
        </w:rPr>
        <w:t>7、冷站消防图纸（另册）</w:t>
      </w:r>
    </w:p>
    <w:p>
      <w:pPr>
        <w:pStyle w:val="5"/>
        <w:spacing w:line="360" w:lineRule="auto"/>
        <w:ind w:left="0" w:leftChars="0" w:right="1120" w:firstLine="2520" w:firstLineChars="900"/>
        <w:rPr>
          <w:color w:val="auto"/>
          <w:sz w:val="28"/>
          <w:szCs w:val="28"/>
          <w:highlight w:val="none"/>
        </w:rPr>
      </w:pPr>
    </w:p>
    <w:p>
      <w:pPr>
        <w:pStyle w:val="5"/>
        <w:spacing w:line="360" w:lineRule="auto"/>
        <w:ind w:left="0" w:leftChars="0" w:right="1120" w:firstLine="2520" w:firstLineChars="900"/>
        <w:rPr>
          <w:color w:val="auto"/>
          <w:sz w:val="28"/>
          <w:szCs w:val="28"/>
          <w:highlight w:val="none"/>
        </w:rPr>
      </w:pPr>
      <w:r>
        <w:rPr>
          <w:rFonts w:hint="eastAsia"/>
          <w:color w:val="auto"/>
          <w:sz w:val="28"/>
          <w:szCs w:val="28"/>
          <w:highlight w:val="none"/>
        </w:rPr>
        <w:t>采购人：广州大学城投资经营管理有限公司</w:t>
      </w:r>
    </w:p>
    <w:p>
      <w:pPr>
        <w:spacing w:line="360" w:lineRule="auto"/>
        <w:ind w:firstLine="4760" w:firstLineChars="1700"/>
        <w:rPr>
          <w:color w:val="auto"/>
          <w:sz w:val="28"/>
          <w:szCs w:val="28"/>
          <w:highlight w:val="none"/>
        </w:rPr>
      </w:pPr>
      <w:r>
        <w:rPr>
          <w:rFonts w:hint="eastAsia"/>
          <w:color w:val="auto"/>
          <w:sz w:val="28"/>
          <w:szCs w:val="28"/>
          <w:highlight w:val="none"/>
        </w:rPr>
        <w:t>20</w:t>
      </w:r>
      <w:r>
        <w:rPr>
          <w:color w:val="auto"/>
          <w:sz w:val="28"/>
          <w:szCs w:val="28"/>
          <w:highlight w:val="none"/>
        </w:rPr>
        <w:t>2</w:t>
      </w:r>
      <w:r>
        <w:rPr>
          <w:rFonts w:hint="eastAsia"/>
          <w:color w:val="auto"/>
          <w:sz w:val="28"/>
          <w:szCs w:val="28"/>
          <w:highlight w:val="none"/>
          <w:lang w:val="en-US" w:eastAsia="zh-CN"/>
        </w:rPr>
        <w:t>2</w:t>
      </w:r>
      <w:r>
        <w:rPr>
          <w:rFonts w:hint="eastAsia"/>
          <w:color w:val="auto"/>
          <w:sz w:val="28"/>
          <w:szCs w:val="28"/>
          <w:highlight w:val="none"/>
        </w:rPr>
        <w:t>年</w:t>
      </w:r>
      <w:r>
        <w:rPr>
          <w:rFonts w:hint="eastAsia"/>
          <w:color w:val="auto"/>
          <w:sz w:val="28"/>
          <w:szCs w:val="28"/>
          <w:highlight w:val="none"/>
          <w:lang w:val="en-US" w:eastAsia="zh-CN"/>
        </w:rPr>
        <w:t>6</w:t>
      </w:r>
      <w:r>
        <w:rPr>
          <w:rFonts w:hint="eastAsia"/>
          <w:color w:val="auto"/>
          <w:sz w:val="28"/>
          <w:szCs w:val="28"/>
          <w:highlight w:val="none"/>
        </w:rPr>
        <w:t>月</w:t>
      </w:r>
      <w:r>
        <w:rPr>
          <w:rFonts w:hint="eastAsia"/>
          <w:color w:val="auto"/>
          <w:sz w:val="28"/>
          <w:szCs w:val="28"/>
          <w:highlight w:val="none"/>
          <w:lang w:val="en-US" w:eastAsia="zh-CN"/>
        </w:rPr>
        <w:t>14</w:t>
      </w:r>
      <w:r>
        <w:rPr>
          <w:rFonts w:hint="eastAsia"/>
          <w:color w:val="auto"/>
          <w:sz w:val="28"/>
          <w:szCs w:val="28"/>
          <w:highlight w:val="none"/>
        </w:rPr>
        <w:t>日</w:t>
      </w:r>
    </w:p>
    <w:p>
      <w:pPr>
        <w:spacing w:line="400" w:lineRule="exact"/>
        <w:rPr>
          <w:rFonts w:ascii="宋体" w:hAnsi="宋体" w:cs="Arial"/>
          <w:color w:val="auto"/>
          <w:sz w:val="30"/>
          <w:szCs w:val="30"/>
          <w:highlight w:val="none"/>
        </w:rPr>
      </w:pPr>
    </w:p>
    <w:p>
      <w:pPr>
        <w:widowControl/>
        <w:jc w:val="left"/>
        <w:rPr>
          <w:rFonts w:ascii="宋体" w:hAnsi="宋体" w:cs="Arial"/>
          <w:color w:val="auto"/>
          <w:sz w:val="30"/>
          <w:szCs w:val="30"/>
          <w:highlight w:val="none"/>
        </w:rPr>
      </w:pPr>
      <w:r>
        <w:rPr>
          <w:rFonts w:ascii="宋体" w:hAnsi="宋体" w:cs="Arial"/>
          <w:color w:val="auto"/>
          <w:sz w:val="30"/>
          <w:szCs w:val="30"/>
          <w:highlight w:val="none"/>
        </w:rPr>
        <w:br w:type="page"/>
      </w:r>
    </w:p>
    <w:p>
      <w:pPr>
        <w:spacing w:line="400" w:lineRule="exact"/>
        <w:rPr>
          <w:rFonts w:hAnsi="宋体"/>
          <w:b/>
          <w:color w:val="auto"/>
          <w:sz w:val="28"/>
          <w:szCs w:val="28"/>
          <w:highlight w:val="none"/>
        </w:rPr>
      </w:pPr>
      <w:r>
        <w:rPr>
          <w:rFonts w:hint="eastAsia" w:ascii="宋体" w:hAnsi="宋体" w:cs="Arial"/>
          <w:color w:val="auto"/>
          <w:sz w:val="30"/>
          <w:szCs w:val="30"/>
          <w:highlight w:val="none"/>
        </w:rPr>
        <w:t>附件1</w:t>
      </w:r>
    </w:p>
    <w:p>
      <w:pPr>
        <w:pStyle w:val="7"/>
        <w:ind w:firstLine="0" w:firstLineChars="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报价一览表</w:t>
      </w:r>
    </w:p>
    <w:p>
      <w:pPr>
        <w:spacing w:line="360" w:lineRule="auto"/>
        <w:rPr>
          <w:rFonts w:hAnsi="宋体"/>
          <w:color w:val="auto"/>
          <w:szCs w:val="21"/>
          <w:highlight w:val="none"/>
        </w:rPr>
      </w:pPr>
      <w:r>
        <w:rPr>
          <w:rFonts w:hint="eastAsia" w:hAnsi="宋体"/>
          <w:color w:val="auto"/>
          <w:szCs w:val="21"/>
          <w:highlight w:val="none"/>
        </w:rPr>
        <w:t>项目名称：广州大学城信息枢纽楼及冷站消防系统维护保养项目</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color w:val="auto"/>
                <w:sz w:val="24"/>
                <w:highlight w:val="none"/>
              </w:rPr>
            </w:pPr>
            <w:r>
              <w:rPr>
                <w:rFonts w:hint="eastAsia" w:hAnsi="宋体"/>
                <w:bCs/>
                <w:color w:val="auto"/>
                <w:sz w:val="24"/>
                <w:highlight w:val="none"/>
              </w:rPr>
              <w:t>序号</w:t>
            </w:r>
          </w:p>
        </w:tc>
        <w:tc>
          <w:tcPr>
            <w:tcW w:w="2268" w:type="dxa"/>
            <w:vAlign w:val="center"/>
          </w:tcPr>
          <w:p>
            <w:pPr>
              <w:rPr>
                <w:rFonts w:hAnsi="宋体"/>
                <w:bCs/>
                <w:color w:val="auto"/>
                <w:sz w:val="24"/>
                <w:highlight w:val="none"/>
              </w:rPr>
            </w:pPr>
            <w:r>
              <w:rPr>
                <w:rFonts w:hint="eastAsia" w:hAnsi="宋体"/>
                <w:bCs/>
                <w:color w:val="auto"/>
                <w:sz w:val="24"/>
                <w:highlight w:val="none"/>
              </w:rPr>
              <w:t>项目名称</w:t>
            </w:r>
          </w:p>
        </w:tc>
        <w:tc>
          <w:tcPr>
            <w:tcW w:w="5996" w:type="dxa"/>
            <w:gridSpan w:val="2"/>
            <w:vAlign w:val="center"/>
          </w:tcPr>
          <w:p>
            <w:pPr>
              <w:rPr>
                <w:rFonts w:hAnsi="宋体"/>
                <w:bCs/>
                <w:color w:val="auto"/>
                <w:sz w:val="24"/>
                <w:highlight w:val="none"/>
              </w:rPr>
            </w:pPr>
            <w:r>
              <w:rPr>
                <w:rFonts w:hint="eastAsia" w:hAnsi="宋体"/>
                <w:bCs/>
                <w:color w:val="auto"/>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color w:val="auto"/>
                <w:sz w:val="24"/>
                <w:highlight w:val="none"/>
              </w:rPr>
            </w:pPr>
            <w:r>
              <w:rPr>
                <w:rFonts w:hint="eastAsia" w:hAnsi="宋体"/>
                <w:color w:val="auto"/>
                <w:sz w:val="24"/>
                <w:highlight w:val="none"/>
              </w:rPr>
              <w:t>1</w:t>
            </w:r>
          </w:p>
        </w:tc>
        <w:tc>
          <w:tcPr>
            <w:tcW w:w="2268" w:type="dxa"/>
            <w:vAlign w:val="center"/>
          </w:tcPr>
          <w:p>
            <w:pPr>
              <w:rPr>
                <w:rFonts w:hAnsi="宋体"/>
                <w:color w:val="auto"/>
                <w:sz w:val="24"/>
                <w:highlight w:val="none"/>
              </w:rPr>
            </w:pPr>
            <w:r>
              <w:rPr>
                <w:rFonts w:hint="eastAsia" w:hAnsi="宋体"/>
                <w:color w:val="auto"/>
                <w:sz w:val="24"/>
                <w:highlight w:val="none"/>
              </w:rPr>
              <w:t>投标总价</w:t>
            </w:r>
          </w:p>
        </w:tc>
        <w:tc>
          <w:tcPr>
            <w:tcW w:w="5996" w:type="dxa"/>
            <w:gridSpan w:val="2"/>
            <w:vAlign w:val="center"/>
          </w:tcPr>
          <w:p>
            <w:pPr>
              <w:rPr>
                <w:rFonts w:hAnsi="宋体"/>
                <w:color w:val="auto"/>
                <w:sz w:val="24"/>
                <w:highlight w:val="none"/>
              </w:rPr>
            </w:pPr>
            <w:r>
              <w:rPr>
                <w:rFonts w:hint="eastAsia" w:ascii="宋体" w:hAnsi="宋体"/>
                <w:color w:val="auto"/>
                <w:sz w:val="24"/>
                <w:highlight w:val="none"/>
              </w:rPr>
              <w:t>大写</w:t>
            </w:r>
            <w:r>
              <w:rPr>
                <w:rFonts w:hint="eastAsia" w:hAnsi="宋体"/>
                <w:color w:val="auto"/>
                <w:sz w:val="24"/>
                <w:highlight w:val="none"/>
              </w:rPr>
              <w:t>：</w:t>
            </w:r>
          </w:p>
          <w:p>
            <w:pPr>
              <w:rPr>
                <w:rFonts w:hAnsi="宋体"/>
                <w:color w:val="auto"/>
                <w:sz w:val="24"/>
                <w:highlight w:val="none"/>
              </w:rPr>
            </w:pPr>
            <w:r>
              <w:rPr>
                <w:rFonts w:hint="eastAsia" w:hAnsi="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color w:val="auto"/>
                <w:sz w:val="24"/>
                <w:highlight w:val="none"/>
              </w:rPr>
            </w:pPr>
            <w:r>
              <w:rPr>
                <w:rFonts w:hAnsi="宋体"/>
                <w:color w:val="auto"/>
                <w:sz w:val="24"/>
                <w:highlight w:val="none"/>
              </w:rPr>
              <w:t>2</w:t>
            </w:r>
          </w:p>
        </w:tc>
        <w:tc>
          <w:tcPr>
            <w:tcW w:w="2268" w:type="dxa"/>
            <w:vAlign w:val="center"/>
          </w:tcPr>
          <w:p>
            <w:pPr>
              <w:rPr>
                <w:rFonts w:hAnsi="宋体"/>
                <w:color w:val="auto"/>
                <w:sz w:val="24"/>
                <w:highlight w:val="none"/>
              </w:rPr>
            </w:pPr>
            <w:r>
              <w:rPr>
                <w:rFonts w:hint="eastAsia" w:hAnsi="宋体"/>
                <w:color w:val="auto"/>
                <w:sz w:val="24"/>
                <w:highlight w:val="none"/>
              </w:rPr>
              <w:t>服务期限</w:t>
            </w:r>
          </w:p>
        </w:tc>
        <w:tc>
          <w:tcPr>
            <w:tcW w:w="5996" w:type="dxa"/>
            <w:gridSpan w:val="2"/>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color w:val="auto"/>
                <w:sz w:val="24"/>
                <w:highlight w:val="none"/>
              </w:rPr>
            </w:pPr>
            <w:r>
              <w:rPr>
                <w:rFonts w:hAnsi="宋体"/>
                <w:color w:val="auto"/>
                <w:sz w:val="24"/>
                <w:highlight w:val="none"/>
              </w:rPr>
              <w:t>3</w:t>
            </w:r>
          </w:p>
        </w:tc>
        <w:tc>
          <w:tcPr>
            <w:tcW w:w="2268" w:type="dxa"/>
            <w:vMerge w:val="restart"/>
            <w:vAlign w:val="center"/>
          </w:tcPr>
          <w:p>
            <w:pPr>
              <w:rPr>
                <w:rFonts w:hAnsi="宋体"/>
                <w:color w:val="auto"/>
                <w:sz w:val="24"/>
                <w:highlight w:val="none"/>
              </w:rPr>
            </w:pPr>
            <w:r>
              <w:rPr>
                <w:rFonts w:hint="eastAsia" w:hAnsi="宋体"/>
                <w:color w:val="auto"/>
                <w:sz w:val="24"/>
                <w:highlight w:val="none"/>
              </w:rPr>
              <w:t>拟委派的项目</w:t>
            </w:r>
          </w:p>
          <w:p>
            <w:pPr>
              <w:rPr>
                <w:rFonts w:hAnsi="宋体"/>
                <w:color w:val="auto"/>
                <w:sz w:val="24"/>
                <w:highlight w:val="none"/>
              </w:rPr>
            </w:pPr>
            <w:r>
              <w:rPr>
                <w:rFonts w:hint="eastAsia" w:hAnsi="宋体"/>
                <w:color w:val="auto"/>
                <w:sz w:val="24"/>
                <w:highlight w:val="none"/>
              </w:rPr>
              <w:t>负责人</w:t>
            </w:r>
          </w:p>
        </w:tc>
        <w:tc>
          <w:tcPr>
            <w:tcW w:w="2126" w:type="dxa"/>
            <w:vAlign w:val="center"/>
          </w:tcPr>
          <w:p>
            <w:pPr>
              <w:rPr>
                <w:rFonts w:hAnsi="宋体"/>
                <w:color w:val="auto"/>
                <w:sz w:val="24"/>
                <w:highlight w:val="none"/>
              </w:rPr>
            </w:pPr>
            <w:r>
              <w:rPr>
                <w:rFonts w:hint="eastAsia" w:hAnsi="宋体"/>
                <w:color w:val="auto"/>
                <w:sz w:val="24"/>
                <w:highlight w:val="none"/>
              </w:rPr>
              <w:t>姓名</w:t>
            </w:r>
          </w:p>
        </w:tc>
        <w:tc>
          <w:tcPr>
            <w:tcW w:w="3870" w:type="dxa"/>
            <w:vAlign w:val="center"/>
          </w:tcPr>
          <w:p>
            <w:pP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color w:val="auto"/>
                <w:sz w:val="24"/>
                <w:highlight w:val="none"/>
              </w:rPr>
            </w:pPr>
          </w:p>
        </w:tc>
        <w:tc>
          <w:tcPr>
            <w:tcW w:w="2268" w:type="dxa"/>
            <w:vMerge w:val="continue"/>
            <w:vAlign w:val="center"/>
          </w:tcPr>
          <w:p>
            <w:pPr>
              <w:rPr>
                <w:rFonts w:hAnsi="宋体"/>
                <w:color w:val="auto"/>
                <w:sz w:val="24"/>
                <w:highlight w:val="none"/>
              </w:rPr>
            </w:pPr>
          </w:p>
        </w:tc>
        <w:tc>
          <w:tcPr>
            <w:tcW w:w="2126" w:type="dxa"/>
            <w:vAlign w:val="center"/>
          </w:tcPr>
          <w:p>
            <w:pPr>
              <w:rPr>
                <w:rFonts w:hAnsi="宋体"/>
                <w:color w:val="auto"/>
                <w:sz w:val="24"/>
                <w:highlight w:val="none"/>
              </w:rPr>
            </w:pPr>
            <w:r>
              <w:rPr>
                <w:rFonts w:hint="eastAsia" w:hAnsi="宋体"/>
                <w:color w:val="auto"/>
                <w:sz w:val="24"/>
                <w:highlight w:val="none"/>
              </w:rPr>
              <w:t>技术职称</w:t>
            </w:r>
          </w:p>
        </w:tc>
        <w:tc>
          <w:tcPr>
            <w:tcW w:w="3870" w:type="dxa"/>
            <w:vAlign w:val="center"/>
          </w:tcPr>
          <w:p>
            <w:pPr>
              <w:rPr>
                <w:rFonts w:hAnsi="宋体"/>
                <w:color w:val="auto"/>
                <w:sz w:val="24"/>
                <w:highlight w:val="none"/>
              </w:rPr>
            </w:pPr>
          </w:p>
        </w:tc>
      </w:tr>
    </w:tbl>
    <w:p>
      <w:pPr>
        <w:rPr>
          <w:rFonts w:hAnsi="宋体"/>
          <w:color w:val="auto"/>
          <w:highlight w:val="none"/>
        </w:rPr>
      </w:pPr>
    </w:p>
    <w:p>
      <w:pPr>
        <w:spacing w:line="360" w:lineRule="auto"/>
        <w:rPr>
          <w:rFonts w:hAnsi="宋体"/>
          <w:color w:val="auto"/>
          <w:highlight w:val="none"/>
        </w:rPr>
      </w:pPr>
      <w:r>
        <w:rPr>
          <w:rFonts w:hint="eastAsia" w:hAnsi="宋体"/>
          <w:color w:val="auto"/>
          <w:highlight w:val="none"/>
        </w:rPr>
        <w:t>注：（1）投标总价为人民币报价。</w:t>
      </w:r>
    </w:p>
    <w:p>
      <w:pPr>
        <w:spacing w:line="360" w:lineRule="auto"/>
        <w:ind w:firstLine="420" w:firstLineChars="200"/>
        <w:rPr>
          <w:rFonts w:hAnsi="宋体"/>
          <w:color w:val="auto"/>
          <w:highlight w:val="none"/>
        </w:rPr>
      </w:pPr>
      <w:r>
        <w:rPr>
          <w:rFonts w:hint="eastAsia" w:hAnsi="宋体"/>
          <w:color w:val="auto"/>
          <w:highlight w:val="none"/>
        </w:rPr>
        <w:t>（2）投标总价是所有需采购人支付的本次项目采购的金额总数，应包括竞选文件要求的全部内容，投标人完成本项目（如果中标）所必须的</w:t>
      </w:r>
      <w:r>
        <w:rPr>
          <w:rFonts w:hint="eastAsia" w:hAnsi="宋体"/>
          <w:bCs/>
          <w:color w:val="auto"/>
          <w:highlight w:val="none"/>
        </w:rPr>
        <w:t>所有成本费用和投标人应承担的一切税费</w:t>
      </w:r>
      <w:r>
        <w:rPr>
          <w:rFonts w:hint="eastAsia" w:hAnsi="宋体"/>
          <w:color w:val="auto"/>
          <w:highlight w:val="none"/>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color w:val="auto"/>
          <w:highlight w:val="none"/>
        </w:rPr>
      </w:pPr>
      <w:r>
        <w:rPr>
          <w:rFonts w:hint="eastAsia" w:hAnsi="宋体"/>
          <w:color w:val="auto"/>
          <w:highlight w:val="none"/>
        </w:rPr>
        <w:t>（3）若用小写表示的金额和用大写表示的金额不一致，以大写表示的金额为准。</w:t>
      </w:r>
    </w:p>
    <w:p>
      <w:pPr>
        <w:spacing w:line="400" w:lineRule="exact"/>
        <w:rPr>
          <w:rFonts w:hAnsi="宋体"/>
          <w:color w:val="auto"/>
          <w:szCs w:val="21"/>
          <w:highlight w:val="none"/>
        </w:rPr>
      </w:pPr>
    </w:p>
    <w:p>
      <w:pPr>
        <w:spacing w:line="400" w:lineRule="exact"/>
        <w:rPr>
          <w:rFonts w:hAnsi="宋体"/>
          <w:color w:val="auto"/>
          <w:szCs w:val="21"/>
          <w:highlight w:val="none"/>
        </w:rPr>
      </w:pPr>
    </w:p>
    <w:p>
      <w:pPr>
        <w:spacing w:line="400" w:lineRule="exact"/>
        <w:rPr>
          <w:rFonts w:hAnsi="宋体"/>
          <w:color w:val="auto"/>
          <w:szCs w:val="21"/>
          <w:highlight w:val="none"/>
        </w:rPr>
      </w:pPr>
      <w:r>
        <w:rPr>
          <w:rFonts w:hint="eastAsia" w:hAnsi="宋体"/>
          <w:color w:val="auto"/>
          <w:szCs w:val="21"/>
          <w:highlight w:val="none"/>
        </w:rPr>
        <w:t>投标人名称（盖章）：</w:t>
      </w:r>
    </w:p>
    <w:p>
      <w:pPr>
        <w:rPr>
          <w:rFonts w:hAnsi="宋体"/>
          <w:color w:val="auto"/>
          <w:szCs w:val="21"/>
          <w:highlight w:val="none"/>
        </w:rPr>
      </w:pPr>
    </w:p>
    <w:p>
      <w:pPr>
        <w:rPr>
          <w:rFonts w:hAnsi="宋体"/>
          <w:color w:val="auto"/>
          <w:szCs w:val="21"/>
          <w:highlight w:val="none"/>
        </w:rPr>
      </w:pPr>
    </w:p>
    <w:p>
      <w:pPr>
        <w:rPr>
          <w:rFonts w:ascii="仿宋" w:hAnsi="仿宋" w:eastAsia="仿宋" w:cs="仿宋"/>
          <w:color w:val="auto"/>
          <w:szCs w:val="21"/>
          <w:highlight w:val="none"/>
        </w:rPr>
      </w:pPr>
      <w:r>
        <w:rPr>
          <w:rFonts w:hint="eastAsia" w:hAnsi="宋体"/>
          <w:color w:val="auto"/>
          <w:szCs w:val="21"/>
          <w:highlight w:val="none"/>
        </w:rPr>
        <w:t>日期：202</w:t>
      </w:r>
      <w:r>
        <w:rPr>
          <w:rFonts w:hint="eastAsia" w:hAnsi="宋体"/>
          <w:color w:val="auto"/>
          <w:szCs w:val="21"/>
          <w:highlight w:val="none"/>
          <w:lang w:val="en-US" w:eastAsia="zh-CN"/>
        </w:rPr>
        <w:t>2</w:t>
      </w:r>
      <w:r>
        <w:rPr>
          <w:rFonts w:hint="eastAsia" w:hAnsi="宋体"/>
          <w:color w:val="auto"/>
          <w:szCs w:val="21"/>
          <w:highlight w:val="none"/>
        </w:rPr>
        <w:t xml:space="preserve">年 </w:t>
      </w:r>
      <w:r>
        <w:rPr>
          <w:rFonts w:hAnsi="宋体"/>
          <w:color w:val="auto"/>
          <w:szCs w:val="21"/>
          <w:highlight w:val="none"/>
        </w:rPr>
        <w:t xml:space="preserve"> </w:t>
      </w:r>
      <w:r>
        <w:rPr>
          <w:rFonts w:hint="eastAsia" w:hAnsi="宋体"/>
          <w:color w:val="auto"/>
          <w:szCs w:val="21"/>
          <w:highlight w:val="none"/>
        </w:rPr>
        <w:t xml:space="preserve">月 </w:t>
      </w:r>
      <w:r>
        <w:rPr>
          <w:rFonts w:hAnsi="宋体"/>
          <w:color w:val="auto"/>
          <w:szCs w:val="21"/>
          <w:highlight w:val="none"/>
        </w:rPr>
        <w:t xml:space="preserve"> </w:t>
      </w:r>
      <w:r>
        <w:rPr>
          <w:rFonts w:hint="eastAsia" w:hAnsi="宋体"/>
          <w:color w:val="auto"/>
          <w:szCs w:val="21"/>
          <w:highlight w:val="none"/>
        </w:rPr>
        <w:t>日</w:t>
      </w:r>
      <w:r>
        <w:rPr>
          <w:rFonts w:ascii="仿宋" w:hAnsi="仿宋" w:eastAsia="仿宋" w:cs="仿宋"/>
          <w:color w:val="auto"/>
          <w:szCs w:val="21"/>
          <w:highlight w:val="none"/>
        </w:rPr>
        <w:br w:type="page"/>
      </w:r>
    </w:p>
    <w:p>
      <w:pPr>
        <w:spacing w:line="400" w:lineRule="exact"/>
        <w:rPr>
          <w:rFonts w:ascii="宋体" w:hAnsi="宋体" w:cs="Arial"/>
          <w:color w:val="auto"/>
          <w:sz w:val="30"/>
          <w:szCs w:val="30"/>
          <w:highlight w:val="none"/>
        </w:rPr>
      </w:pPr>
      <w:r>
        <w:rPr>
          <w:rFonts w:hint="eastAsia" w:ascii="宋体" w:hAnsi="宋体" w:cs="Arial"/>
          <w:color w:val="auto"/>
          <w:sz w:val="30"/>
          <w:szCs w:val="30"/>
          <w:highlight w:val="none"/>
        </w:rPr>
        <w:t>附件</w:t>
      </w:r>
      <w:r>
        <w:rPr>
          <w:rFonts w:ascii="宋体" w:hAnsi="宋体" w:cs="Arial"/>
          <w:color w:val="auto"/>
          <w:sz w:val="30"/>
          <w:szCs w:val="30"/>
          <w:highlight w:val="none"/>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color w:val="auto"/>
                <w:kern w:val="0"/>
                <w:sz w:val="44"/>
                <w:szCs w:val="44"/>
                <w:highlight w:val="none"/>
              </w:rPr>
            </w:pPr>
            <w:r>
              <w:rPr>
                <w:rFonts w:hint="eastAsia" w:ascii="黑体" w:hAnsi="黑体" w:eastAsia="黑体" w:cs="宋体"/>
                <w:color w:val="auto"/>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项目名称：广州大学城信息枢纽楼及冷站消防系统维护保养项目工程</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p>
            <w:pPr>
              <w:widowControl/>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auto"/>
                <w:kern w:val="0"/>
                <w:sz w:val="24"/>
                <w:highlight w:val="none"/>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color w:val="auto"/>
                <w:kern w:val="0"/>
                <w:sz w:val="24"/>
                <w:highlight w:val="none"/>
              </w:rPr>
            </w:pPr>
          </w:p>
        </w:tc>
      </w:tr>
    </w:tbl>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r>
        <w:rPr>
          <w:color w:val="auto"/>
          <w:sz w:val="28"/>
          <w:szCs w:val="28"/>
          <w:highlight w:val="none"/>
        </w:rPr>
        <w:t>投标单位</w:t>
      </w:r>
      <w:r>
        <w:rPr>
          <w:rFonts w:hint="eastAsia"/>
          <w:color w:val="auto"/>
          <w:sz w:val="28"/>
          <w:szCs w:val="28"/>
          <w:highlight w:val="none"/>
        </w:rPr>
        <w:t>（盖章）：</w:t>
      </w:r>
    </w:p>
    <w:p>
      <w:pPr>
        <w:spacing w:line="400" w:lineRule="exact"/>
        <w:ind w:left="560" w:hanging="560" w:hangingChars="200"/>
        <w:rPr>
          <w:color w:val="auto"/>
          <w:sz w:val="28"/>
          <w:szCs w:val="28"/>
          <w:highlight w:val="none"/>
        </w:rPr>
      </w:pPr>
    </w:p>
    <w:p>
      <w:pPr>
        <w:spacing w:line="400" w:lineRule="exact"/>
        <w:ind w:left="560" w:hanging="560" w:hangingChars="200"/>
        <w:rPr>
          <w:color w:val="auto"/>
          <w:sz w:val="28"/>
          <w:szCs w:val="28"/>
          <w:highlight w:val="none"/>
        </w:rPr>
      </w:pPr>
      <w:r>
        <w:rPr>
          <w:rFonts w:hint="eastAsia"/>
          <w:color w:val="auto"/>
          <w:sz w:val="28"/>
          <w:szCs w:val="28"/>
          <w:highlight w:val="none"/>
        </w:rPr>
        <w:t>日期：202</w:t>
      </w:r>
      <w:r>
        <w:rPr>
          <w:rFonts w:hint="eastAsia"/>
          <w:color w:val="auto"/>
          <w:sz w:val="28"/>
          <w:szCs w:val="28"/>
          <w:highlight w:val="none"/>
          <w:lang w:val="en-US" w:eastAsia="zh-CN"/>
        </w:rPr>
        <w:t>2</w:t>
      </w:r>
      <w:r>
        <w:rPr>
          <w:rFonts w:hint="eastAsia"/>
          <w:color w:val="auto"/>
          <w:sz w:val="28"/>
          <w:szCs w:val="28"/>
          <w:highlight w:val="none"/>
        </w:rPr>
        <w:t xml:space="preserve">年 </w:t>
      </w:r>
      <w:r>
        <w:rPr>
          <w:color w:val="auto"/>
          <w:sz w:val="28"/>
          <w:szCs w:val="28"/>
          <w:highlight w:val="none"/>
        </w:rPr>
        <w:t xml:space="preserve"> </w:t>
      </w:r>
      <w:r>
        <w:rPr>
          <w:rFonts w:hint="eastAsia"/>
          <w:color w:val="auto"/>
          <w:sz w:val="28"/>
          <w:szCs w:val="28"/>
          <w:highlight w:val="none"/>
        </w:rPr>
        <w:t xml:space="preserve">月 </w:t>
      </w:r>
      <w:r>
        <w:rPr>
          <w:color w:val="auto"/>
          <w:sz w:val="28"/>
          <w:szCs w:val="28"/>
          <w:highlight w:val="none"/>
        </w:rPr>
        <w:t xml:space="preserve"> </w:t>
      </w:r>
      <w:r>
        <w:rPr>
          <w:rFonts w:hint="eastAsia"/>
          <w:color w:val="auto"/>
          <w:sz w:val="28"/>
          <w:szCs w:val="28"/>
          <w:highlight w:val="none"/>
        </w:rPr>
        <w:t>日</w:t>
      </w:r>
    </w:p>
    <w:p>
      <w:pPr>
        <w:spacing w:line="400" w:lineRule="exact"/>
        <w:ind w:left="560" w:hanging="560" w:hangingChars="200"/>
        <w:rPr>
          <w:rFonts w:ascii="宋体" w:hAnsi="宋体"/>
          <w:bCs/>
          <w:color w:val="auto"/>
          <w:sz w:val="30"/>
          <w:szCs w:val="30"/>
          <w:highlight w:val="none"/>
        </w:rPr>
      </w:pPr>
      <w:r>
        <w:rPr>
          <w:color w:val="auto"/>
          <w:sz w:val="28"/>
          <w:szCs w:val="28"/>
          <w:highlight w:val="none"/>
        </w:rPr>
        <w:br w:type="page"/>
      </w:r>
      <w:r>
        <w:rPr>
          <w:rFonts w:hint="eastAsia" w:ascii="宋体" w:hAnsi="宋体"/>
          <w:bCs/>
          <w:color w:val="auto"/>
          <w:sz w:val="30"/>
          <w:szCs w:val="30"/>
          <w:highlight w:val="none"/>
        </w:rPr>
        <w:t>附件</w:t>
      </w:r>
      <w:r>
        <w:rPr>
          <w:rFonts w:ascii="宋体" w:hAnsi="宋体"/>
          <w:bCs/>
          <w:color w:val="auto"/>
          <w:sz w:val="30"/>
          <w:szCs w:val="30"/>
          <w:highlight w:val="none"/>
        </w:rPr>
        <w:t>3</w:t>
      </w:r>
    </w:p>
    <w:p>
      <w:pPr>
        <w:spacing w:line="500" w:lineRule="exact"/>
        <w:jc w:val="center"/>
        <w:rPr>
          <w:rFonts w:eastAsia="黑体"/>
          <w:b/>
          <w:bCs/>
          <w:color w:val="auto"/>
          <w:sz w:val="36"/>
          <w:highlight w:val="none"/>
        </w:rPr>
      </w:pPr>
      <w:r>
        <w:rPr>
          <w:rFonts w:hint="eastAsia" w:eastAsia="黑体"/>
          <w:b/>
          <w:bCs/>
          <w:color w:val="auto"/>
          <w:sz w:val="36"/>
          <w:highlight w:val="none"/>
        </w:rPr>
        <w:t>法定代表人身份证明书</w:t>
      </w:r>
    </w:p>
    <w:p>
      <w:pPr>
        <w:spacing w:line="500" w:lineRule="exact"/>
        <w:jc w:val="center"/>
        <w:rPr>
          <w:b/>
          <w:bCs/>
          <w:color w:val="auto"/>
          <w:szCs w:val="21"/>
          <w:highlight w:val="none"/>
        </w:rPr>
      </w:pPr>
    </w:p>
    <w:p>
      <w:pPr>
        <w:spacing w:line="500" w:lineRule="exact"/>
        <w:ind w:firstLine="560" w:firstLineChars="200"/>
        <w:rPr>
          <w:rFonts w:ascii="宋体" w:hAnsi="宋体" w:cs="宋体"/>
          <w:color w:val="auto"/>
          <w:sz w:val="28"/>
          <w:highlight w:val="none"/>
        </w:rPr>
      </w:pPr>
      <w:r>
        <w:rPr>
          <w:rFonts w:hint="eastAsia" w:ascii="宋体" w:hAnsi="宋体" w:cs="宋体"/>
          <w:color w:val="auto"/>
          <w:sz w:val="28"/>
          <w:highlight w:val="none"/>
          <w:u w:val="single"/>
        </w:rPr>
        <w:t xml:space="preserve"> </w:t>
      </w:r>
      <w:r>
        <w:rPr>
          <w:rFonts w:ascii="宋体" w:hAnsi="宋体" w:cs="宋体"/>
          <w:color w:val="auto"/>
          <w:sz w:val="28"/>
          <w:highlight w:val="none"/>
          <w:u w:val="single"/>
        </w:rPr>
        <w:t xml:space="preserve">        </w:t>
      </w:r>
      <w:r>
        <w:rPr>
          <w:rFonts w:hint="eastAsia" w:ascii="宋体" w:hAnsi="宋体" w:cs="宋体"/>
          <w:color w:val="auto"/>
          <w:sz w:val="28"/>
          <w:highlight w:val="none"/>
        </w:rPr>
        <w:t>在我单位任</w:t>
      </w:r>
      <w:r>
        <w:rPr>
          <w:rFonts w:hint="eastAsia" w:ascii="宋体" w:hAnsi="宋体" w:cs="宋体"/>
          <w:color w:val="auto"/>
          <w:sz w:val="28"/>
          <w:highlight w:val="none"/>
          <w:u w:val="single"/>
        </w:rPr>
        <w:t xml:space="preserve"> </w:t>
      </w:r>
      <w:r>
        <w:rPr>
          <w:rFonts w:ascii="宋体" w:hAnsi="宋体" w:cs="宋体"/>
          <w:color w:val="auto"/>
          <w:sz w:val="28"/>
          <w:highlight w:val="none"/>
          <w:u w:val="single"/>
        </w:rPr>
        <w:t xml:space="preserve">        </w:t>
      </w:r>
      <w:r>
        <w:rPr>
          <w:rFonts w:hint="eastAsia" w:ascii="宋体" w:hAnsi="宋体" w:cs="宋体"/>
          <w:color w:val="auto"/>
          <w:sz w:val="28"/>
          <w:highlight w:val="none"/>
        </w:rPr>
        <w:t>职务，是我单位法定代表人，身份证号为</w:t>
      </w:r>
      <w:r>
        <w:rPr>
          <w:rFonts w:hint="eastAsia" w:ascii="宋体" w:hAnsi="宋体" w:cs="宋体"/>
          <w:color w:val="auto"/>
          <w:sz w:val="28"/>
          <w:highlight w:val="none"/>
          <w:u w:val="single"/>
        </w:rPr>
        <w:t xml:space="preserve"> </w:t>
      </w:r>
      <w:r>
        <w:rPr>
          <w:rFonts w:ascii="宋体" w:hAnsi="宋体" w:cs="宋体"/>
          <w:color w:val="auto"/>
          <w:sz w:val="28"/>
          <w:highlight w:val="none"/>
          <w:u w:val="single"/>
        </w:rPr>
        <w:t xml:space="preserve">                    </w:t>
      </w:r>
      <w:r>
        <w:rPr>
          <w:rFonts w:hint="eastAsia" w:ascii="宋体" w:hAnsi="宋体" w:cs="宋体"/>
          <w:color w:val="auto"/>
          <w:sz w:val="28"/>
          <w:highlight w:val="none"/>
        </w:rPr>
        <w:t>，特此证明。</w:t>
      </w:r>
    </w:p>
    <w:p>
      <w:pPr>
        <w:spacing w:line="500" w:lineRule="exact"/>
        <w:ind w:firstLine="627" w:firstLineChars="224"/>
        <w:rPr>
          <w:rFonts w:ascii="宋体" w:hAnsi="宋体" w:cs="宋体"/>
          <w:color w:val="auto"/>
          <w:sz w:val="28"/>
          <w:highlight w:val="none"/>
        </w:rPr>
      </w:pPr>
    </w:p>
    <w:p>
      <w:pPr>
        <w:spacing w:line="500" w:lineRule="exact"/>
        <w:jc w:val="left"/>
        <w:rPr>
          <w:rFonts w:ascii="宋体" w:hAnsi="宋体" w:cs="宋体"/>
          <w:color w:val="auto"/>
          <w:sz w:val="28"/>
          <w:highlight w:val="none"/>
        </w:rPr>
      </w:pPr>
      <w:r>
        <w:rPr>
          <w:rFonts w:hint="eastAsia" w:ascii="宋体" w:hAnsi="宋体" w:cs="宋体"/>
          <w:color w:val="auto"/>
          <w:sz w:val="28"/>
          <w:highlight w:val="none"/>
        </w:rPr>
        <w:t>（单位盖章）</w:t>
      </w:r>
    </w:p>
    <w:p>
      <w:pPr>
        <w:spacing w:line="500" w:lineRule="exact"/>
        <w:ind w:firstLine="627" w:firstLineChars="224"/>
        <w:rPr>
          <w:rFonts w:hAnsi="宋体" w:cs="宋体"/>
          <w:color w:val="auto"/>
          <w:sz w:val="28"/>
          <w:szCs w:val="28"/>
          <w:highlight w:val="none"/>
        </w:rPr>
      </w:pPr>
    </w:p>
    <w:p>
      <w:pPr>
        <w:spacing w:line="500" w:lineRule="exact"/>
        <w:rPr>
          <w:rFonts w:ascii="宋体" w:hAnsi="宋体" w:cs="宋体"/>
          <w:color w:val="auto"/>
          <w:sz w:val="28"/>
          <w:highlight w:val="none"/>
        </w:rPr>
      </w:pPr>
      <w:r>
        <w:rPr>
          <w:rFonts w:hint="eastAsia" w:hAnsi="宋体" w:cs="宋体"/>
          <w:color w:val="auto"/>
          <w:sz w:val="28"/>
          <w:szCs w:val="28"/>
          <w:highlight w:val="none"/>
        </w:rPr>
        <w:t>日期：202</w:t>
      </w:r>
      <w:r>
        <w:rPr>
          <w:rFonts w:hint="eastAsia" w:hAnsi="宋体" w:cs="宋体"/>
          <w:color w:val="auto"/>
          <w:sz w:val="28"/>
          <w:szCs w:val="28"/>
          <w:highlight w:val="none"/>
          <w:lang w:val="en-US" w:eastAsia="zh-CN"/>
        </w:rPr>
        <w:t>2</w:t>
      </w:r>
      <w:r>
        <w:rPr>
          <w:rFonts w:hint="eastAsia" w:hAnsi="宋体" w:cs="宋体"/>
          <w:color w:val="auto"/>
          <w:sz w:val="28"/>
          <w:szCs w:val="28"/>
          <w:highlight w:val="none"/>
        </w:rPr>
        <w:t xml:space="preserve">年 </w:t>
      </w:r>
      <w:r>
        <w:rPr>
          <w:rFonts w:hAnsi="宋体" w:cs="宋体"/>
          <w:color w:val="auto"/>
          <w:sz w:val="28"/>
          <w:szCs w:val="28"/>
          <w:highlight w:val="none"/>
        </w:rPr>
        <w:t xml:space="preserve"> </w:t>
      </w:r>
      <w:r>
        <w:rPr>
          <w:rFonts w:hint="eastAsia" w:hAnsi="宋体" w:cs="宋体"/>
          <w:color w:val="auto"/>
          <w:sz w:val="28"/>
          <w:szCs w:val="28"/>
          <w:highlight w:val="none"/>
        </w:rPr>
        <w:t xml:space="preserve">月 </w:t>
      </w:r>
      <w:r>
        <w:rPr>
          <w:rFonts w:hAnsi="宋体" w:cs="宋体"/>
          <w:color w:val="auto"/>
          <w:sz w:val="28"/>
          <w:szCs w:val="28"/>
          <w:highlight w:val="none"/>
        </w:rPr>
        <w:t xml:space="preserve"> </w:t>
      </w:r>
      <w:r>
        <w:rPr>
          <w:rFonts w:hint="eastAsia" w:hAnsi="宋体" w:cs="宋体"/>
          <w:color w:val="auto"/>
          <w:sz w:val="28"/>
          <w:szCs w:val="28"/>
          <w:highlight w:val="none"/>
        </w:rPr>
        <w:t>日</w:t>
      </w:r>
    </w:p>
    <w:p>
      <w:pPr>
        <w:spacing w:line="500" w:lineRule="exact"/>
        <w:rPr>
          <w:rFonts w:ascii="宋体" w:hAnsi="宋体" w:cs="宋体"/>
          <w:color w:val="auto"/>
          <w:sz w:val="28"/>
          <w:highlight w:val="none"/>
        </w:rPr>
      </w:pPr>
      <w:r>
        <w:rPr>
          <w:rFonts w:hint="eastAsia" w:ascii="宋体" w:hAnsi="宋体" w:cs="宋体"/>
          <w:color w:val="auto"/>
          <w:sz w:val="28"/>
          <w:highlight w:val="none"/>
        </w:rPr>
        <w:t xml:space="preserve">单位通信地址：                                </w:t>
      </w: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r>
        <w:rPr>
          <w:rFonts w:hint="eastAsia" w:ascii="宋体" w:hAnsi="宋体" w:cs="宋体"/>
          <w:color w:val="auto"/>
          <w:sz w:val="28"/>
          <w:highlight w:val="none"/>
        </w:rPr>
        <w:t xml:space="preserve">邮政编码：                 单位联系电话：   </w:t>
      </w:r>
    </w:p>
    <w:p>
      <w:pPr>
        <w:rPr>
          <w:color w:val="auto"/>
          <w:highlight w:val="none"/>
        </w:rPr>
      </w:pP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附：法定代表人身份证正反面或其他身份证明材料复印件</w:t>
      </w:r>
    </w:p>
    <w:p>
      <w:pPr>
        <w:spacing w:line="360" w:lineRule="auto"/>
        <w:rPr>
          <w:rFonts w:ascii="宋体" w:hAnsi="宋体" w:cs="Arial"/>
          <w:color w:val="auto"/>
          <w:sz w:val="28"/>
          <w:szCs w:val="28"/>
          <w:highlight w:val="none"/>
        </w:rPr>
      </w:pPr>
    </w:p>
    <w:p>
      <w:pPr>
        <w:spacing w:line="360" w:lineRule="auto"/>
        <w:rPr>
          <w:rFonts w:ascii="宋体" w:hAnsi="宋体" w:cs="Arial"/>
          <w:color w:val="auto"/>
          <w:sz w:val="30"/>
          <w:szCs w:val="30"/>
          <w:highlight w:val="none"/>
        </w:rPr>
      </w:pPr>
      <w:r>
        <w:rPr>
          <w:rFonts w:hint="eastAsia" w:ascii="宋体" w:hAnsi="宋体" w:cs="Arial"/>
          <w:color w:val="auto"/>
          <w:sz w:val="28"/>
          <w:szCs w:val="28"/>
          <w:highlight w:val="none"/>
        </w:rPr>
        <w:br w:type="page"/>
      </w:r>
      <w:r>
        <w:rPr>
          <w:rFonts w:hint="eastAsia" w:ascii="宋体" w:hAnsi="宋体" w:cs="黑体"/>
          <w:color w:val="auto"/>
          <w:sz w:val="30"/>
          <w:szCs w:val="30"/>
          <w:highlight w:val="none"/>
        </w:rPr>
        <w:t>附件</w:t>
      </w:r>
      <w:r>
        <w:rPr>
          <w:rFonts w:ascii="宋体" w:hAnsi="宋体" w:cs="黑体"/>
          <w:color w:val="auto"/>
          <w:sz w:val="30"/>
          <w:szCs w:val="30"/>
          <w:highlight w:val="none"/>
        </w:rPr>
        <w:t>4</w:t>
      </w:r>
    </w:p>
    <w:p>
      <w:pPr>
        <w:spacing w:line="500" w:lineRule="exact"/>
        <w:ind w:firstLine="2168" w:firstLineChars="600"/>
        <w:rPr>
          <w:rFonts w:eastAsia="黑体"/>
          <w:b/>
          <w:bCs/>
          <w:color w:val="auto"/>
          <w:sz w:val="36"/>
          <w:highlight w:val="none"/>
        </w:rPr>
      </w:pPr>
      <w:r>
        <w:rPr>
          <w:rFonts w:hint="eastAsia" w:eastAsia="黑体"/>
          <w:b/>
          <w:bCs/>
          <w:color w:val="auto"/>
          <w:sz w:val="36"/>
          <w:highlight w:val="none"/>
        </w:rPr>
        <w:t>法定代表人授权委托证明书</w:t>
      </w:r>
    </w:p>
    <w:p>
      <w:pPr>
        <w:pStyle w:val="18"/>
        <w:spacing w:line="360" w:lineRule="auto"/>
        <w:ind w:firstLine="424" w:firstLineChars="177"/>
        <w:rPr>
          <w:rFonts w:hAnsi="宋体"/>
          <w:bCs/>
          <w:color w:val="auto"/>
          <w:sz w:val="24"/>
          <w:szCs w:val="24"/>
          <w:highlight w:val="none"/>
        </w:rPr>
      </w:pPr>
    </w:p>
    <w:p>
      <w:pPr>
        <w:pStyle w:val="18"/>
        <w:spacing w:line="360" w:lineRule="auto"/>
        <w:ind w:firstLine="480" w:firstLineChars="200"/>
        <w:rPr>
          <w:rFonts w:hAnsi="宋体"/>
          <w:color w:val="auto"/>
          <w:sz w:val="24"/>
          <w:szCs w:val="24"/>
          <w:highlight w:val="none"/>
        </w:rPr>
      </w:pPr>
      <w:r>
        <w:rPr>
          <w:rFonts w:hint="eastAsia" w:hAnsi="宋体"/>
          <w:bCs/>
          <w:color w:val="auto"/>
          <w:sz w:val="24"/>
          <w:szCs w:val="24"/>
          <w:highlight w:val="none"/>
        </w:rPr>
        <w:t>兹授权</w:t>
      </w:r>
      <w:r>
        <w:rPr>
          <w:rFonts w:hint="eastAsia" w:hAnsi="宋体"/>
          <w:bCs/>
          <w:color w:val="auto"/>
          <w:sz w:val="24"/>
          <w:szCs w:val="24"/>
          <w:highlight w:val="none"/>
          <w:u w:val="single"/>
        </w:rPr>
        <w:t>（委托代理人姓名）</w:t>
      </w:r>
      <w:r>
        <w:rPr>
          <w:rFonts w:hint="eastAsia" w:hAnsi="宋体"/>
          <w:bCs/>
          <w:color w:val="auto"/>
          <w:sz w:val="24"/>
          <w:szCs w:val="24"/>
          <w:highlight w:val="none"/>
        </w:rPr>
        <w:t>为采购方委托代理人，其权限是：</w:t>
      </w:r>
      <w:r>
        <w:rPr>
          <w:rFonts w:hint="eastAsia" w:hAnsi="宋体"/>
          <w:color w:val="auto"/>
          <w:sz w:val="24"/>
          <w:szCs w:val="24"/>
          <w:highlight w:val="none"/>
        </w:rPr>
        <w:t xml:space="preserve">办理                       </w:t>
      </w:r>
      <w:r>
        <w:rPr>
          <w:rFonts w:hint="eastAsia" w:hAnsi="宋体"/>
          <w:color w:val="auto"/>
          <w:sz w:val="24"/>
          <w:szCs w:val="24"/>
          <w:highlight w:val="none"/>
          <w:u w:val="single"/>
        </w:rPr>
        <w:t>广州大学城投资经营管理有限公司</w:t>
      </w:r>
      <w:r>
        <w:rPr>
          <w:rFonts w:hint="eastAsia" w:hAnsi="宋体"/>
          <w:color w:val="auto"/>
          <w:sz w:val="24"/>
          <w:szCs w:val="24"/>
          <w:highlight w:val="none"/>
        </w:rPr>
        <w:t>组织的“</w:t>
      </w:r>
      <w:r>
        <w:rPr>
          <w:rFonts w:hint="eastAsia" w:hAnsi="宋体"/>
          <w:color w:val="auto"/>
          <w:sz w:val="24"/>
          <w:szCs w:val="24"/>
          <w:highlight w:val="none"/>
          <w:u w:val="single"/>
        </w:rPr>
        <w:t>广州大学城信息枢纽楼及冷站消防系统维护保养项目</w:t>
      </w:r>
      <w:r>
        <w:rPr>
          <w:rFonts w:hint="eastAsia" w:hAnsi="宋体"/>
          <w:color w:val="auto"/>
          <w:sz w:val="24"/>
          <w:szCs w:val="24"/>
          <w:highlight w:val="none"/>
        </w:rPr>
        <w:t>”的投标和合同执行，以采购方的名义处理一切与之有关的事宜。</w:t>
      </w:r>
    </w:p>
    <w:p>
      <w:pPr>
        <w:pStyle w:val="18"/>
        <w:spacing w:line="360" w:lineRule="auto"/>
        <w:ind w:firstLine="480" w:firstLineChars="200"/>
        <w:rPr>
          <w:rFonts w:hAnsi="宋体"/>
          <w:bCs/>
          <w:color w:val="auto"/>
          <w:sz w:val="24"/>
          <w:szCs w:val="24"/>
          <w:highlight w:val="none"/>
        </w:rPr>
      </w:pPr>
      <w:r>
        <w:rPr>
          <w:rFonts w:hint="eastAsia" w:hAnsi="宋体"/>
          <w:color w:val="auto"/>
          <w:sz w:val="24"/>
          <w:szCs w:val="24"/>
          <w:highlight w:val="none"/>
          <w:lang w:val="en-GB"/>
        </w:rPr>
        <w:t>本</w:t>
      </w:r>
      <w:r>
        <w:rPr>
          <w:rFonts w:hint="eastAsia" w:hAnsi="宋体"/>
          <w:color w:val="auto"/>
          <w:sz w:val="24"/>
          <w:szCs w:val="24"/>
          <w:highlight w:val="none"/>
        </w:rPr>
        <w:t>授权书</w:t>
      </w:r>
      <w:r>
        <w:rPr>
          <w:rFonts w:hint="eastAsia" w:hAnsi="宋体"/>
          <w:color w:val="auto"/>
          <w:sz w:val="24"/>
          <w:szCs w:val="24"/>
          <w:highlight w:val="none"/>
          <w:lang w:val="en-GB"/>
        </w:rPr>
        <w:t>自</w:t>
      </w:r>
      <w:r>
        <w:rPr>
          <w:rFonts w:hint="eastAsia" w:hAnsi="宋体"/>
          <w:color w:val="auto"/>
          <w:sz w:val="24"/>
          <w:szCs w:val="24"/>
          <w:highlight w:val="none"/>
        </w:rPr>
        <w:t>年月日</w:t>
      </w:r>
      <w:r>
        <w:rPr>
          <w:rFonts w:hint="eastAsia" w:hAnsi="宋体"/>
          <w:color w:val="auto"/>
          <w:sz w:val="24"/>
          <w:szCs w:val="24"/>
          <w:highlight w:val="none"/>
          <w:lang w:val="en-GB"/>
        </w:rPr>
        <w:t>签章之日起生效，特此声明。</w:t>
      </w:r>
    </w:p>
    <w:p>
      <w:pPr>
        <w:pStyle w:val="18"/>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附：代理人性别：   年龄：   职务：</w:t>
      </w:r>
    </w:p>
    <w:p>
      <w:pPr>
        <w:pStyle w:val="18"/>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身份证号码：</w:t>
      </w:r>
    </w:p>
    <w:p>
      <w:pPr>
        <w:pStyle w:val="18"/>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（营业执照等）注册号码：</w:t>
      </w:r>
    </w:p>
    <w:p>
      <w:pPr>
        <w:pStyle w:val="18"/>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企业类型：</w:t>
      </w:r>
    </w:p>
    <w:p>
      <w:pPr>
        <w:pStyle w:val="18"/>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　　经营范围：</w:t>
      </w:r>
    </w:p>
    <w:p>
      <w:pPr>
        <w:pStyle w:val="18"/>
        <w:spacing w:line="360" w:lineRule="auto"/>
        <w:rPr>
          <w:rFonts w:hAnsi="宋体"/>
          <w:color w:val="auto"/>
          <w:sz w:val="24"/>
          <w:szCs w:val="24"/>
          <w:highlight w:val="none"/>
        </w:rPr>
      </w:pPr>
      <w:r>
        <w:rPr>
          <w:rFonts w:hint="eastAsia" w:hAnsi="宋体"/>
          <w:color w:val="auto"/>
          <w:sz w:val="24"/>
          <w:szCs w:val="24"/>
          <w:highlight w:val="none"/>
        </w:rPr>
        <w:t>附：被授权人有效身份证正反面或其他身份证明材料复印　　　　　　　</w:t>
      </w:r>
    </w:p>
    <w:p>
      <w:pPr>
        <w:pStyle w:val="17"/>
        <w:spacing w:line="360" w:lineRule="auto"/>
        <w:jc w:val="both"/>
        <w:rPr>
          <w:rFonts w:hAnsi="宋体"/>
          <w:color w:val="auto"/>
          <w:sz w:val="24"/>
          <w:szCs w:val="24"/>
          <w:highlight w:val="none"/>
        </w:rPr>
      </w:pPr>
    </w:p>
    <w:p>
      <w:pPr>
        <w:pStyle w:val="17"/>
        <w:spacing w:line="360" w:lineRule="auto"/>
        <w:jc w:val="both"/>
        <w:rPr>
          <w:rFonts w:hAnsi="宋体" w:eastAsia="宋体" w:cs="宋体"/>
          <w:color w:val="auto"/>
          <w:sz w:val="28"/>
          <w:highlight w:val="none"/>
        </w:rPr>
      </w:pPr>
    </w:p>
    <w:p>
      <w:pPr>
        <w:pStyle w:val="17"/>
        <w:spacing w:line="360" w:lineRule="auto"/>
        <w:jc w:val="both"/>
        <w:rPr>
          <w:rFonts w:hAnsi="宋体" w:eastAsia="宋体" w:cs="宋体"/>
          <w:color w:val="auto"/>
          <w:sz w:val="28"/>
          <w:highlight w:val="none"/>
        </w:rPr>
      </w:pPr>
    </w:p>
    <w:p>
      <w:pPr>
        <w:pStyle w:val="17"/>
        <w:spacing w:line="360" w:lineRule="auto"/>
        <w:jc w:val="both"/>
        <w:rPr>
          <w:rFonts w:hAnsi="宋体" w:eastAsia="宋体" w:cs="宋体"/>
          <w:color w:val="auto"/>
          <w:sz w:val="28"/>
          <w:highlight w:val="none"/>
        </w:rPr>
      </w:pPr>
    </w:p>
    <w:p>
      <w:pPr>
        <w:pStyle w:val="17"/>
        <w:spacing w:line="360" w:lineRule="auto"/>
        <w:jc w:val="both"/>
        <w:rPr>
          <w:rFonts w:hAnsi="宋体" w:eastAsia="宋体" w:cs="宋体"/>
          <w:color w:val="auto"/>
          <w:sz w:val="28"/>
          <w:highlight w:val="none"/>
        </w:rPr>
      </w:pPr>
    </w:p>
    <w:p>
      <w:pPr>
        <w:pStyle w:val="17"/>
        <w:spacing w:line="360" w:lineRule="auto"/>
        <w:jc w:val="both"/>
        <w:rPr>
          <w:rFonts w:hAnsi="宋体" w:eastAsia="宋体" w:cs="宋体"/>
          <w:color w:val="auto"/>
          <w:sz w:val="28"/>
          <w:highlight w:val="none"/>
        </w:rPr>
      </w:pPr>
    </w:p>
    <w:p>
      <w:pPr>
        <w:pStyle w:val="17"/>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（单位盖章）：</w:t>
      </w:r>
    </w:p>
    <w:p>
      <w:pPr>
        <w:pStyle w:val="17"/>
        <w:spacing w:line="360" w:lineRule="auto"/>
        <w:jc w:val="both"/>
        <w:rPr>
          <w:rFonts w:hAnsi="宋体" w:eastAsia="宋体" w:cs="宋体"/>
          <w:color w:val="auto"/>
          <w:sz w:val="24"/>
          <w:szCs w:val="24"/>
          <w:highlight w:val="none"/>
        </w:rPr>
      </w:pPr>
    </w:p>
    <w:p>
      <w:pPr>
        <w:pStyle w:val="17"/>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法定代表人（签字或盖章）：</w:t>
      </w:r>
    </w:p>
    <w:p>
      <w:pPr>
        <w:pStyle w:val="17"/>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被授权人（签字或盖章）：</w:t>
      </w:r>
    </w:p>
    <w:p>
      <w:pPr>
        <w:pStyle w:val="17"/>
        <w:spacing w:line="360" w:lineRule="auto"/>
        <w:jc w:val="both"/>
        <w:rPr>
          <w:rFonts w:hAnsi="宋体" w:eastAsia="宋体" w:cs="宋体"/>
          <w:color w:val="auto"/>
          <w:sz w:val="24"/>
          <w:szCs w:val="24"/>
          <w:highlight w:val="none"/>
        </w:rPr>
      </w:pPr>
      <w:r>
        <w:rPr>
          <w:rFonts w:hint="eastAsia" w:hAnsi="宋体" w:eastAsia="宋体" w:cs="宋体"/>
          <w:color w:val="auto"/>
          <w:sz w:val="24"/>
          <w:szCs w:val="24"/>
          <w:highlight w:val="none"/>
        </w:rPr>
        <w:t>日期： 202</w:t>
      </w:r>
      <w:r>
        <w:rPr>
          <w:rFonts w:hint="eastAsia" w:hAnsi="宋体" w:eastAsia="宋体" w:cs="宋体"/>
          <w:color w:val="auto"/>
          <w:sz w:val="24"/>
          <w:szCs w:val="24"/>
          <w:highlight w:val="none"/>
          <w:lang w:val="en-US" w:eastAsia="zh-CN"/>
        </w:rPr>
        <w:t>2</w:t>
      </w:r>
      <w:r>
        <w:rPr>
          <w:rFonts w:hint="eastAsia" w:hAnsi="宋体" w:eastAsia="宋体" w:cs="宋体"/>
          <w:color w:val="auto"/>
          <w:sz w:val="24"/>
          <w:szCs w:val="24"/>
          <w:highlight w:val="none"/>
        </w:rPr>
        <w:t>年   月   日</w:t>
      </w:r>
    </w:p>
    <w:p>
      <w:pPr>
        <w:rPr>
          <w:color w:val="auto"/>
          <w:sz w:val="24"/>
          <w:highlight w:val="none"/>
        </w:rPr>
      </w:pPr>
      <w:r>
        <w:rPr>
          <w:rFonts w:hint="eastAsia" w:hAnsi="宋体" w:cs="宋体"/>
          <w:color w:val="auto"/>
          <w:sz w:val="24"/>
          <w:highlight w:val="none"/>
          <w:lang w:val="zh-CN"/>
        </w:rPr>
        <w:t>说明：法定代表人亲自办理投标事宜的，无需提交本证明书。</w:t>
      </w:r>
    </w:p>
    <w:p>
      <w:pPr>
        <w:spacing w:line="360" w:lineRule="auto"/>
        <w:rPr>
          <w:color w:val="auto"/>
          <w:sz w:val="28"/>
          <w:szCs w:val="28"/>
          <w:highlight w:val="none"/>
        </w:rPr>
      </w:pPr>
    </w:p>
    <w:p>
      <w:pPr>
        <w:rPr>
          <w:rFonts w:ascii="仿宋" w:hAnsi="仿宋" w:eastAsia="仿宋" w:cs="仿宋"/>
          <w:color w:val="auto"/>
          <w:szCs w:val="21"/>
          <w:highlight w:val="none"/>
        </w:rPr>
      </w:pPr>
      <w:r>
        <w:rPr>
          <w:rFonts w:ascii="仿宋" w:hAnsi="仿宋" w:eastAsia="仿宋" w:cs="仿宋"/>
          <w:color w:val="auto"/>
          <w:szCs w:val="21"/>
          <w:highlight w:val="none"/>
        </w:rPr>
        <w:br w:type="page"/>
      </w:r>
    </w:p>
    <w:p>
      <w:pPr>
        <w:rPr>
          <w:rFonts w:hAnsi="宋体"/>
          <w:color w:val="auto"/>
          <w:sz w:val="30"/>
          <w:szCs w:val="30"/>
          <w:highlight w:val="none"/>
        </w:rPr>
      </w:pPr>
      <w:r>
        <w:rPr>
          <w:rFonts w:hint="eastAsia" w:ascii="宋体" w:hAnsi="宋体" w:cs="Arial"/>
          <w:color w:val="auto"/>
          <w:sz w:val="30"/>
          <w:szCs w:val="30"/>
          <w:highlight w:val="none"/>
        </w:rPr>
        <w:t>附件</w:t>
      </w:r>
      <w:r>
        <w:rPr>
          <w:rFonts w:ascii="宋体" w:hAnsi="宋体" w:cs="Arial"/>
          <w:color w:val="auto"/>
          <w:sz w:val="30"/>
          <w:szCs w:val="30"/>
          <w:highlight w:val="none"/>
        </w:rPr>
        <w:t>5</w:t>
      </w:r>
    </w:p>
    <w:p>
      <w:pPr>
        <w:ind w:firstLine="2891" w:firstLineChars="800"/>
        <w:rPr>
          <w:rFonts w:ascii="宋体" w:hAnsi="宋体" w:cs="宋体"/>
          <w:b/>
          <w:bCs/>
          <w:color w:val="auto"/>
          <w:sz w:val="36"/>
          <w:szCs w:val="36"/>
          <w:highlight w:val="none"/>
        </w:rPr>
      </w:pPr>
      <w:r>
        <w:rPr>
          <w:rFonts w:hint="eastAsia" w:ascii="宋体" w:hAnsi="宋体" w:cs="宋体"/>
          <w:b/>
          <w:bCs/>
          <w:color w:val="auto"/>
          <w:sz w:val="36"/>
          <w:szCs w:val="36"/>
          <w:highlight w:val="none"/>
        </w:rPr>
        <w:t>投标人资格审查表</w:t>
      </w:r>
    </w:p>
    <w:p>
      <w:pPr>
        <w:spacing w:line="360" w:lineRule="auto"/>
        <w:rPr>
          <w:rFonts w:ascii="宋体" w:hAnsi="宋体"/>
          <w:bCs/>
          <w:color w:val="auto"/>
          <w:szCs w:val="21"/>
          <w:highlight w:val="none"/>
        </w:rPr>
      </w:pPr>
      <w:r>
        <w:rPr>
          <w:rFonts w:hint="eastAsia" w:ascii="宋体" w:hAnsi="宋体"/>
          <w:bCs/>
          <w:color w:val="auto"/>
          <w:szCs w:val="21"/>
          <w:highlight w:val="none"/>
        </w:rPr>
        <w:t>项目名称：</w:t>
      </w:r>
      <w:r>
        <w:rPr>
          <w:rFonts w:hint="eastAsia" w:ascii="宋体" w:hAnsi="宋体" w:cs="宋体"/>
          <w:color w:val="auto"/>
          <w:kern w:val="0"/>
          <w:szCs w:val="21"/>
          <w:highlight w:val="none"/>
        </w:rPr>
        <w:t>广州大学城信息枢纽楼及冷站消防系统维护保养项目</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color w:val="auto"/>
                <w:szCs w:val="21"/>
                <w:highlight w:val="none"/>
              </w:rPr>
            </w:pPr>
            <w:r>
              <w:rPr>
                <w:rFonts w:hint="eastAsia" w:ascii="宋体" w:hAnsi="宋体" w:cs="宋体"/>
                <w:b/>
                <w:bCs/>
                <w:color w:val="auto"/>
                <w:szCs w:val="21"/>
                <w:highlight w:val="none"/>
              </w:rPr>
              <w:t>序号</w:t>
            </w:r>
          </w:p>
        </w:tc>
        <w:tc>
          <w:tcPr>
            <w:tcW w:w="6509" w:type="dxa"/>
            <w:vAlign w:val="center"/>
          </w:tcPr>
          <w:p>
            <w:pPr>
              <w:jc w:val="center"/>
              <w:rPr>
                <w:rFonts w:ascii="宋体" w:hAnsi="宋体"/>
                <w:b/>
                <w:color w:val="auto"/>
                <w:szCs w:val="21"/>
                <w:highlight w:val="none"/>
              </w:rPr>
            </w:pPr>
            <w:r>
              <w:rPr>
                <w:rFonts w:hint="eastAsia" w:ascii="宋体" w:hAnsi="宋体" w:cs="宋体"/>
                <w:b/>
                <w:bCs/>
                <w:color w:val="auto"/>
                <w:szCs w:val="21"/>
                <w:highlight w:val="none"/>
              </w:rPr>
              <w:t>评审内容</w:t>
            </w:r>
          </w:p>
        </w:tc>
        <w:tc>
          <w:tcPr>
            <w:tcW w:w="1549" w:type="dxa"/>
            <w:vAlign w:val="center"/>
          </w:tcPr>
          <w:p>
            <w:pPr>
              <w:rPr>
                <w:rFonts w:ascii="宋体" w:hAnsi="宋体"/>
                <w:b/>
                <w:color w:val="auto"/>
                <w:szCs w:val="21"/>
                <w:highlight w:val="none"/>
              </w:rPr>
            </w:pPr>
            <w:r>
              <w:rPr>
                <w:rFonts w:hint="eastAsia" w:ascii="宋体"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color w:val="auto"/>
                <w:szCs w:val="21"/>
                <w:highlight w:val="none"/>
              </w:rPr>
            </w:pPr>
            <w:r>
              <w:rPr>
                <w:rFonts w:hint="eastAsia" w:ascii="宋体" w:hAnsi="宋体" w:cs="宋体"/>
                <w:color w:val="auto"/>
                <w:szCs w:val="21"/>
                <w:highlight w:val="none"/>
              </w:rPr>
              <w:t>1</w:t>
            </w:r>
          </w:p>
        </w:tc>
        <w:tc>
          <w:tcPr>
            <w:tcW w:w="6509" w:type="dxa"/>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具备有效的工商营业执照、企业法人组织机构代码证书、税务登记证书（或三证合一）（复印件盖章）</w:t>
            </w:r>
          </w:p>
        </w:tc>
        <w:tc>
          <w:tcPr>
            <w:tcW w:w="1549"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color w:val="auto"/>
                <w:szCs w:val="21"/>
                <w:highlight w:val="none"/>
              </w:rPr>
            </w:pPr>
            <w:r>
              <w:rPr>
                <w:rFonts w:ascii="宋体" w:hAnsi="宋体" w:cs="宋体"/>
                <w:color w:val="auto"/>
                <w:szCs w:val="21"/>
                <w:highlight w:val="none"/>
              </w:rPr>
              <w:t>2</w:t>
            </w:r>
          </w:p>
        </w:tc>
        <w:tc>
          <w:tcPr>
            <w:tcW w:w="6509" w:type="dxa"/>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法定代表人证明书原件或法定代表人授权委托书原件</w:t>
            </w:r>
          </w:p>
        </w:tc>
        <w:tc>
          <w:tcPr>
            <w:tcW w:w="1549" w:type="dxa"/>
            <w:vAlign w:val="center"/>
          </w:tcPr>
          <w:p>
            <w:pP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color w:val="auto"/>
                <w:szCs w:val="21"/>
                <w:highlight w:val="none"/>
              </w:rPr>
            </w:pPr>
            <w:r>
              <w:rPr>
                <w:rFonts w:ascii="宋体" w:hAnsi="宋体"/>
                <w:bCs/>
                <w:color w:val="auto"/>
                <w:szCs w:val="21"/>
                <w:highlight w:val="none"/>
              </w:rPr>
              <w:t>3</w:t>
            </w:r>
          </w:p>
        </w:tc>
        <w:tc>
          <w:tcPr>
            <w:tcW w:w="6509" w:type="dxa"/>
            <w:vAlign w:val="center"/>
          </w:tcPr>
          <w:p>
            <w:pPr>
              <w:rPr>
                <w:rFonts w:ascii="宋体" w:hAnsi="宋体" w:cs="宋体"/>
                <w:bCs/>
                <w:color w:val="auto"/>
                <w:szCs w:val="21"/>
                <w:highlight w:val="none"/>
              </w:rPr>
            </w:pPr>
            <w:r>
              <w:rPr>
                <w:rFonts w:hint="eastAsia" w:ascii="宋体" w:hAnsi="宋体" w:cs="宋体"/>
                <w:color w:val="auto"/>
                <w:szCs w:val="21"/>
                <w:highlight w:val="none"/>
              </w:rPr>
              <w:t>具备消防设施维护保养检测机构</w:t>
            </w:r>
            <w:r>
              <w:rPr>
                <w:rFonts w:hint="eastAsia" w:ascii="宋体" w:hAnsi="宋体" w:cs="宋体"/>
                <w:color w:val="auto"/>
                <w:szCs w:val="21"/>
                <w:highlight w:val="none"/>
                <w:lang w:val="en-US" w:eastAsia="zh-CN"/>
              </w:rPr>
              <w:t>贰</w:t>
            </w:r>
            <w:r>
              <w:rPr>
                <w:rFonts w:ascii="宋体" w:hAnsi="宋体" w:cs="宋体"/>
                <w:color w:val="auto"/>
                <w:szCs w:val="21"/>
                <w:highlight w:val="none"/>
              </w:rPr>
              <w:t>级或消防设施工程专业承包贰级</w:t>
            </w:r>
            <w:r>
              <w:rPr>
                <w:rFonts w:hint="eastAsia" w:ascii="宋体" w:hAnsi="宋体" w:cs="宋体"/>
                <w:color w:val="auto"/>
                <w:szCs w:val="21"/>
                <w:highlight w:val="none"/>
              </w:rPr>
              <w:t>或以上资质</w:t>
            </w:r>
          </w:p>
        </w:tc>
        <w:tc>
          <w:tcPr>
            <w:tcW w:w="1549"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color w:val="auto"/>
                <w:szCs w:val="21"/>
                <w:highlight w:val="none"/>
              </w:rPr>
            </w:pPr>
            <w:r>
              <w:rPr>
                <w:rFonts w:hint="eastAsia" w:ascii="宋体" w:hAnsi="宋体"/>
                <w:bCs/>
                <w:color w:val="auto"/>
                <w:szCs w:val="21"/>
                <w:highlight w:val="none"/>
              </w:rPr>
              <w:t>4</w:t>
            </w:r>
          </w:p>
        </w:tc>
        <w:tc>
          <w:tcPr>
            <w:tcW w:w="6509" w:type="dxa"/>
            <w:vAlign w:val="center"/>
          </w:tcPr>
          <w:p>
            <w:pPr>
              <w:rPr>
                <w:rFonts w:ascii="宋体" w:hAnsi="宋体" w:cs="宋体"/>
                <w:color w:val="auto"/>
                <w:szCs w:val="21"/>
                <w:highlight w:val="none"/>
              </w:rPr>
            </w:pPr>
            <w:r>
              <w:rPr>
                <w:rFonts w:hint="eastAsia" w:ascii="宋体" w:hAnsi="宋体" w:cs="宋体"/>
                <w:bCs/>
                <w:color w:val="auto"/>
                <w:szCs w:val="21"/>
                <w:highlight w:val="none"/>
              </w:rPr>
              <w:t>有效的</w:t>
            </w:r>
            <w:r>
              <w:rPr>
                <w:rFonts w:ascii="宋体" w:hAnsi="宋体" w:cs="宋体"/>
                <w:bCs/>
                <w:color w:val="auto"/>
                <w:szCs w:val="21"/>
                <w:highlight w:val="none"/>
              </w:rPr>
              <w:t>安全生产许可证</w:t>
            </w:r>
            <w:r>
              <w:rPr>
                <w:rFonts w:hint="eastAsia" w:ascii="宋体" w:hAnsi="宋体" w:cs="宋体"/>
                <w:bCs/>
                <w:color w:val="auto"/>
                <w:szCs w:val="21"/>
                <w:highlight w:val="none"/>
              </w:rPr>
              <w:t>（复印件盖章）</w:t>
            </w:r>
          </w:p>
        </w:tc>
        <w:tc>
          <w:tcPr>
            <w:tcW w:w="1549"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color w:val="auto"/>
                <w:szCs w:val="21"/>
                <w:highlight w:val="none"/>
              </w:rPr>
            </w:pPr>
            <w:r>
              <w:rPr>
                <w:rFonts w:hint="eastAsia" w:ascii="宋体" w:hAnsi="宋体"/>
                <w:bCs/>
                <w:color w:val="auto"/>
                <w:szCs w:val="21"/>
                <w:highlight w:val="none"/>
              </w:rPr>
              <w:t>5</w:t>
            </w:r>
          </w:p>
        </w:tc>
        <w:tc>
          <w:tcPr>
            <w:tcW w:w="6509" w:type="dxa"/>
            <w:vAlign w:val="center"/>
          </w:tcPr>
          <w:p>
            <w:pPr>
              <w:rPr>
                <w:rFonts w:ascii="宋体" w:hAnsi="宋体" w:cs="宋体"/>
                <w:color w:val="auto"/>
                <w:szCs w:val="21"/>
                <w:highlight w:val="none"/>
              </w:rPr>
            </w:pPr>
            <w:r>
              <w:rPr>
                <w:rFonts w:hint="eastAsia" w:ascii="宋体" w:hAnsi="宋体" w:cs="宋体"/>
                <w:color w:val="auto"/>
                <w:szCs w:val="21"/>
                <w:highlight w:val="none"/>
              </w:rPr>
              <w:t>投标人近3年内(20</w:t>
            </w:r>
            <w:r>
              <w:rPr>
                <w:rFonts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年1月1日至今)完成过质量合格的类似工程项目业绩（需提供合同等相关证明材料复印件）</w:t>
            </w:r>
          </w:p>
        </w:tc>
        <w:tc>
          <w:tcPr>
            <w:tcW w:w="1549"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color w:val="auto"/>
                <w:szCs w:val="21"/>
                <w:highlight w:val="none"/>
              </w:rPr>
            </w:pPr>
          </w:p>
        </w:tc>
        <w:tc>
          <w:tcPr>
            <w:tcW w:w="6509" w:type="dxa"/>
            <w:vAlign w:val="center"/>
          </w:tcPr>
          <w:p>
            <w:pPr>
              <w:rPr>
                <w:rFonts w:ascii="宋体" w:hAnsi="宋体"/>
                <w:color w:val="auto"/>
                <w:szCs w:val="21"/>
                <w:highlight w:val="none"/>
              </w:rPr>
            </w:pPr>
            <w:r>
              <w:rPr>
                <w:rFonts w:hint="eastAsia" w:ascii="宋体" w:hAnsi="宋体" w:cs="宋体"/>
                <w:b/>
                <w:bCs/>
                <w:color w:val="auto"/>
                <w:szCs w:val="21"/>
                <w:highlight w:val="none"/>
              </w:rPr>
              <w:t>评审结论（</w:t>
            </w:r>
            <w:r>
              <w:rPr>
                <w:rFonts w:hint="eastAsia" w:ascii="宋体" w:hAnsi="宋体"/>
                <w:color w:val="auto"/>
                <w:szCs w:val="21"/>
                <w:highlight w:val="none"/>
              </w:rPr>
              <w:t>通过/不通过</w:t>
            </w:r>
            <w:r>
              <w:rPr>
                <w:rFonts w:hint="eastAsia" w:ascii="宋体" w:hAnsi="宋体" w:cs="宋体"/>
                <w:b/>
                <w:bCs/>
                <w:color w:val="auto"/>
                <w:szCs w:val="21"/>
                <w:highlight w:val="none"/>
              </w:rPr>
              <w:t>）</w:t>
            </w:r>
          </w:p>
        </w:tc>
        <w:tc>
          <w:tcPr>
            <w:tcW w:w="1549" w:type="dxa"/>
            <w:vAlign w:val="center"/>
          </w:tcPr>
          <w:p>
            <w:pPr>
              <w:spacing w:line="360" w:lineRule="auto"/>
              <w:rPr>
                <w:rFonts w:ascii="宋体" w:hAnsi="宋体"/>
                <w:b/>
                <w:color w:val="auto"/>
                <w:szCs w:val="21"/>
                <w:highlight w:val="none"/>
              </w:rPr>
            </w:pPr>
          </w:p>
        </w:tc>
      </w:tr>
    </w:tbl>
    <w:p>
      <w:pPr>
        <w:spacing w:line="400" w:lineRule="exact"/>
        <w:rPr>
          <w:rFonts w:ascii="宋体" w:hAnsi="宋体"/>
          <w:color w:val="auto"/>
          <w:szCs w:val="21"/>
          <w:highlight w:val="none"/>
        </w:rPr>
      </w:pPr>
      <w:r>
        <w:rPr>
          <w:rFonts w:hint="eastAsia" w:ascii="宋体" w:hAnsi="宋体"/>
          <w:color w:val="auto"/>
          <w:szCs w:val="21"/>
          <w:highlight w:val="none"/>
        </w:rPr>
        <w:t>注：</w:t>
      </w:r>
    </w:p>
    <w:p>
      <w:pPr>
        <w:numPr>
          <w:ilvl w:val="0"/>
          <w:numId w:val="5"/>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投标人分栏中填写“√”表示该项符合竞选文件要求，“×”表示该项不符合竞选文件要求，“○”表示无该项内容；</w:t>
      </w:r>
    </w:p>
    <w:p>
      <w:pPr>
        <w:numPr>
          <w:ilvl w:val="0"/>
          <w:numId w:val="5"/>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经评标委员会审核后，出现一个“×”的结论为“不通过”，即按废标处理。</w:t>
      </w:r>
    </w:p>
    <w:p>
      <w:pPr>
        <w:numPr>
          <w:ilvl w:val="0"/>
          <w:numId w:val="5"/>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表中全部条件满足为“通过”，同意进入下一阶段评审。</w:t>
      </w:r>
    </w:p>
    <w:p>
      <w:pPr>
        <w:numPr>
          <w:ilvl w:val="0"/>
          <w:numId w:val="5"/>
        </w:numPr>
        <w:adjustRightInd w:val="0"/>
        <w:snapToGrid w:val="0"/>
        <w:spacing w:line="400" w:lineRule="exact"/>
        <w:rPr>
          <w:rFonts w:ascii="宋体" w:hAnsi="宋体"/>
          <w:color w:val="auto"/>
          <w:szCs w:val="21"/>
          <w:highlight w:val="none"/>
        </w:rPr>
      </w:pPr>
      <w:r>
        <w:rPr>
          <w:rFonts w:hint="eastAsia"/>
          <w:color w:val="auto"/>
          <w:szCs w:val="21"/>
          <w:highlight w:val="none"/>
        </w:rPr>
        <w:t>如对本表中某种情形的</w:t>
      </w:r>
      <w:r>
        <w:rPr>
          <w:rFonts w:hint="eastAsia" w:ascii="宋体" w:hAnsi="宋体"/>
          <w:color w:val="auto"/>
          <w:szCs w:val="21"/>
          <w:highlight w:val="none"/>
        </w:rPr>
        <w:t>评委意见不一致时，</w:t>
      </w:r>
      <w:r>
        <w:rPr>
          <w:rFonts w:hint="eastAsia"/>
          <w:color w:val="auto"/>
          <w:szCs w:val="21"/>
          <w:highlight w:val="none"/>
        </w:rPr>
        <w:t>以评标委员会过半数成员的意见作为评标委员会对该情形的认定结论。</w:t>
      </w:r>
    </w:p>
    <w:p>
      <w:pPr>
        <w:adjustRightInd w:val="0"/>
        <w:snapToGrid w:val="0"/>
        <w:spacing w:line="400" w:lineRule="exact"/>
        <w:rPr>
          <w:rFonts w:ascii="宋体" w:hAnsi="宋体"/>
          <w:color w:val="auto"/>
          <w:szCs w:val="21"/>
          <w:highlight w:val="none"/>
        </w:rPr>
      </w:pPr>
    </w:p>
    <w:p>
      <w:pPr>
        <w:spacing w:line="400" w:lineRule="exact"/>
        <w:rPr>
          <w:rFonts w:ascii="宋体" w:hAnsi="宋体"/>
          <w:bCs/>
          <w:color w:val="auto"/>
          <w:szCs w:val="21"/>
          <w:highlight w:val="none"/>
        </w:rPr>
      </w:pPr>
      <w:r>
        <w:rPr>
          <w:rFonts w:hint="eastAsia" w:ascii="宋体" w:hAnsi="宋体"/>
          <w:bCs/>
          <w:color w:val="auto"/>
          <w:szCs w:val="21"/>
          <w:highlight w:val="none"/>
        </w:rPr>
        <w:t xml:space="preserve">评委签名：    </w:t>
      </w:r>
    </w:p>
    <w:p>
      <w:pPr>
        <w:spacing w:line="400" w:lineRule="exact"/>
        <w:ind w:left="420"/>
        <w:rPr>
          <w:rFonts w:ascii="宋体" w:hAnsi="宋体"/>
          <w:bCs/>
          <w:color w:val="auto"/>
          <w:szCs w:val="21"/>
          <w:highlight w:val="none"/>
        </w:rPr>
      </w:pPr>
    </w:p>
    <w:p>
      <w:pPr>
        <w:spacing w:line="400" w:lineRule="exact"/>
        <w:rPr>
          <w:rFonts w:ascii="宋体" w:hAnsi="宋体"/>
          <w:color w:val="auto"/>
          <w:szCs w:val="21"/>
          <w:highlight w:val="none"/>
        </w:rPr>
      </w:pPr>
      <w:r>
        <w:rPr>
          <w:rFonts w:hint="eastAsia" w:ascii="宋体" w:hAnsi="宋体"/>
          <w:bCs/>
          <w:color w:val="auto"/>
          <w:szCs w:val="21"/>
          <w:highlight w:val="none"/>
        </w:rPr>
        <w:t>日 期：</w:t>
      </w:r>
      <w:r>
        <w:rPr>
          <w:rFonts w:ascii="宋体" w:hAnsi="宋体"/>
          <w:color w:val="auto"/>
          <w:szCs w:val="21"/>
          <w:highlight w:val="none"/>
        </w:rPr>
        <w:t>202</w:t>
      </w:r>
      <w:r>
        <w:rPr>
          <w:rFonts w:hint="eastAsia" w:ascii="宋体" w:hAnsi="宋体"/>
          <w:color w:val="auto"/>
          <w:szCs w:val="21"/>
          <w:highlight w:val="none"/>
          <w:lang w:val="en-US" w:eastAsia="zh-CN"/>
        </w:rPr>
        <w:t>2</w:t>
      </w:r>
      <w:r>
        <w:rPr>
          <w:rFonts w:hint="eastAsia" w:ascii="宋体" w:hAnsi="宋体"/>
          <w:color w:val="auto"/>
          <w:szCs w:val="21"/>
          <w:highlight w:val="none"/>
        </w:rPr>
        <w:t>年   月   日</w:t>
      </w:r>
    </w:p>
    <w:p>
      <w:pPr>
        <w:rPr>
          <w:rFonts w:ascii="仿宋" w:hAnsi="仿宋" w:eastAsia="仿宋" w:cs="仿宋"/>
          <w:color w:val="auto"/>
          <w:szCs w:val="21"/>
          <w:highlight w:val="none"/>
        </w:rPr>
      </w:pPr>
      <w:r>
        <w:rPr>
          <w:rFonts w:ascii="仿宋" w:hAnsi="仿宋" w:eastAsia="仿宋" w:cs="仿宋"/>
          <w:color w:val="auto"/>
          <w:szCs w:val="21"/>
          <w:highlight w:val="none"/>
        </w:rPr>
        <w:br w:type="page"/>
      </w:r>
    </w:p>
    <w:p>
      <w:pPr>
        <w:spacing w:line="400" w:lineRule="exact"/>
        <w:rPr>
          <w:rFonts w:hAnsi="宋体"/>
          <w:color w:val="auto"/>
          <w:szCs w:val="21"/>
          <w:highlight w:val="none"/>
        </w:rPr>
      </w:pPr>
      <w:r>
        <w:rPr>
          <w:rFonts w:hint="eastAsia" w:ascii="宋体" w:hAnsi="宋体" w:cs="Arial"/>
          <w:color w:val="auto"/>
          <w:sz w:val="30"/>
          <w:szCs w:val="30"/>
          <w:highlight w:val="none"/>
        </w:rPr>
        <w:t>附件</w:t>
      </w:r>
      <w:r>
        <w:rPr>
          <w:rFonts w:ascii="宋体" w:hAnsi="宋体" w:cs="Arial"/>
          <w:color w:val="auto"/>
          <w:sz w:val="30"/>
          <w:szCs w:val="30"/>
          <w:highlight w:val="none"/>
        </w:rPr>
        <w:t>6</w:t>
      </w:r>
    </w:p>
    <w:p>
      <w:pPr>
        <w:jc w:val="center"/>
        <w:rPr>
          <w:rFonts w:ascii="宋体" w:hAnsi="宋体" w:cs="宋体"/>
          <w:b/>
          <w:bCs/>
          <w:color w:val="auto"/>
          <w:sz w:val="24"/>
          <w:highlight w:val="none"/>
        </w:rPr>
      </w:pPr>
      <w:r>
        <w:rPr>
          <w:rFonts w:hint="eastAsia" w:ascii="宋体" w:hAnsi="宋体" w:cs="宋体"/>
          <w:b/>
          <w:bCs/>
          <w:color w:val="auto"/>
          <w:sz w:val="36"/>
          <w:szCs w:val="36"/>
          <w:highlight w:val="none"/>
        </w:rPr>
        <w:t>投标文件有效性审查表</w:t>
      </w:r>
    </w:p>
    <w:p>
      <w:pPr>
        <w:spacing w:line="360" w:lineRule="auto"/>
        <w:rPr>
          <w:rFonts w:ascii="宋体" w:hAnsi="宋体"/>
          <w:bCs/>
          <w:color w:val="auto"/>
          <w:szCs w:val="21"/>
          <w:highlight w:val="none"/>
        </w:rPr>
      </w:pPr>
      <w:r>
        <w:rPr>
          <w:rFonts w:hint="eastAsia" w:ascii="宋体" w:hAnsi="宋体"/>
          <w:bCs/>
          <w:color w:val="auto"/>
          <w:szCs w:val="21"/>
          <w:highlight w:val="none"/>
        </w:rPr>
        <w:t>项目名称：广州大学城信息枢纽楼及冷站消防系统维护保养项目</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color w:val="auto"/>
                <w:szCs w:val="21"/>
                <w:highlight w:val="none"/>
              </w:rPr>
            </w:pPr>
            <w:r>
              <w:rPr>
                <w:rFonts w:hint="eastAsia" w:ascii="宋体" w:hAnsi="宋体" w:cs="宋体"/>
                <w:b/>
                <w:bCs/>
                <w:color w:val="auto"/>
                <w:szCs w:val="21"/>
                <w:highlight w:val="none"/>
              </w:rPr>
              <w:t>序号</w:t>
            </w:r>
          </w:p>
        </w:tc>
        <w:tc>
          <w:tcPr>
            <w:tcW w:w="6225" w:type="dxa"/>
            <w:vAlign w:val="center"/>
          </w:tcPr>
          <w:p>
            <w:pPr>
              <w:jc w:val="center"/>
              <w:rPr>
                <w:rFonts w:ascii="宋体" w:hAnsi="宋体"/>
                <w:b/>
                <w:color w:val="auto"/>
                <w:szCs w:val="21"/>
                <w:highlight w:val="none"/>
              </w:rPr>
            </w:pPr>
            <w:r>
              <w:rPr>
                <w:rFonts w:hint="eastAsia" w:ascii="宋体" w:hAnsi="宋体" w:cs="宋体"/>
                <w:b/>
                <w:bCs/>
                <w:color w:val="auto"/>
                <w:szCs w:val="21"/>
                <w:highlight w:val="none"/>
              </w:rPr>
              <w:t>评审内容</w:t>
            </w:r>
          </w:p>
        </w:tc>
        <w:tc>
          <w:tcPr>
            <w:tcW w:w="1183" w:type="dxa"/>
            <w:vAlign w:val="center"/>
          </w:tcPr>
          <w:p>
            <w:pPr>
              <w:rPr>
                <w:rFonts w:ascii="宋体" w:hAnsi="宋体"/>
                <w:b/>
                <w:color w:val="auto"/>
                <w:szCs w:val="21"/>
                <w:highlight w:val="none"/>
              </w:rPr>
            </w:pPr>
            <w:r>
              <w:rPr>
                <w:rFonts w:hint="eastAsia" w:ascii="宋体" w:hAnsi="宋体" w:cs="宋体"/>
                <w:b/>
                <w:bCs/>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hint="eastAsia" w:ascii="宋体" w:hAnsi="宋体" w:cs="宋体"/>
                <w:color w:val="auto"/>
                <w:szCs w:val="21"/>
                <w:highlight w:val="none"/>
              </w:rPr>
              <w:t>1</w:t>
            </w:r>
          </w:p>
        </w:tc>
        <w:tc>
          <w:tcPr>
            <w:tcW w:w="6225" w:type="dxa"/>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投标文件未按竞选文件的规定密封、盖章和签署；</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hint="eastAsia" w:ascii="宋体" w:hAnsi="宋体" w:cs="宋体"/>
                <w:color w:val="auto"/>
                <w:szCs w:val="21"/>
                <w:highlight w:val="none"/>
              </w:rPr>
              <w:t>2</w:t>
            </w:r>
          </w:p>
        </w:tc>
        <w:tc>
          <w:tcPr>
            <w:tcW w:w="6225" w:type="dxa"/>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投标文件未按竞选文件规定的格式填写，内容不全或关键字迹模糊、无法辩认；</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hint="eastAsia" w:ascii="宋体" w:hAnsi="宋体" w:cs="宋体"/>
                <w:color w:val="auto"/>
                <w:szCs w:val="21"/>
                <w:highlight w:val="none"/>
              </w:rPr>
              <w:t>3</w:t>
            </w:r>
          </w:p>
        </w:tc>
        <w:tc>
          <w:tcPr>
            <w:tcW w:w="6225" w:type="dxa"/>
            <w:shd w:val="clear" w:color="auto" w:fill="auto"/>
            <w:vAlign w:val="center"/>
          </w:tcPr>
          <w:p>
            <w:pPr>
              <w:rPr>
                <w:rFonts w:ascii="宋体" w:hAnsi="宋体"/>
                <w:color w:val="auto"/>
                <w:szCs w:val="21"/>
                <w:highlight w:val="none"/>
              </w:rPr>
            </w:pPr>
            <w:r>
              <w:rPr>
                <w:rFonts w:hint="eastAsia" w:ascii="宋体" w:hAnsi="宋体" w:cs="宋体"/>
                <w:color w:val="auto"/>
                <w:szCs w:val="21"/>
                <w:highlight w:val="none"/>
              </w:rPr>
              <w:t>对同一竞选项目出现两个或以上的投标报价，且没声明哪个有效；</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4</w:t>
            </w:r>
          </w:p>
        </w:tc>
        <w:tc>
          <w:tcPr>
            <w:tcW w:w="6225" w:type="dxa"/>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投标总报价高于采购限价；</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ascii="宋体" w:hAnsi="宋体" w:cs="宋体"/>
                <w:color w:val="auto"/>
                <w:szCs w:val="21"/>
                <w:highlight w:val="none"/>
              </w:rPr>
              <w:t>5</w:t>
            </w:r>
          </w:p>
        </w:tc>
        <w:tc>
          <w:tcPr>
            <w:tcW w:w="6225" w:type="dxa"/>
            <w:shd w:val="clear" w:color="auto" w:fill="auto"/>
            <w:vAlign w:val="center"/>
          </w:tcPr>
          <w:p>
            <w:pPr>
              <w:rPr>
                <w:rFonts w:ascii="宋体" w:hAnsi="宋体"/>
                <w:color w:val="auto"/>
                <w:szCs w:val="21"/>
                <w:highlight w:val="none"/>
              </w:rPr>
            </w:pPr>
            <w:r>
              <w:rPr>
                <w:rFonts w:hint="eastAsia" w:ascii="宋体" w:hAnsi="宋体" w:cs="宋体"/>
                <w:color w:val="auto"/>
                <w:szCs w:val="21"/>
                <w:highlight w:val="none"/>
              </w:rPr>
              <w:t>投标总报价低于企业自身成本；</w:t>
            </w:r>
          </w:p>
        </w:tc>
        <w:tc>
          <w:tcPr>
            <w:tcW w:w="1183" w:type="dxa"/>
            <w:vAlign w:val="center"/>
          </w:tcPr>
          <w:p>
            <w:pPr>
              <w:tabs>
                <w:tab w:val="left" w:pos="553"/>
              </w:tabs>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color w:val="auto"/>
                <w:szCs w:val="21"/>
                <w:highlight w:val="none"/>
              </w:rPr>
            </w:pPr>
            <w:r>
              <w:rPr>
                <w:rFonts w:ascii="宋体" w:hAnsi="宋体" w:cs="宋体"/>
                <w:color w:val="auto"/>
                <w:szCs w:val="21"/>
                <w:highlight w:val="none"/>
              </w:rPr>
              <w:t>6</w:t>
            </w:r>
          </w:p>
        </w:tc>
        <w:tc>
          <w:tcPr>
            <w:tcW w:w="6225" w:type="dxa"/>
            <w:shd w:val="clear" w:color="auto" w:fill="auto"/>
            <w:vAlign w:val="center"/>
          </w:tcPr>
          <w:p>
            <w:pPr>
              <w:rPr>
                <w:color w:val="auto"/>
                <w:szCs w:val="21"/>
                <w:highlight w:val="none"/>
              </w:rPr>
            </w:pPr>
            <w:r>
              <w:rPr>
                <w:rFonts w:hint="eastAsia" w:ascii="宋体" w:hAnsi="宋体" w:cs="宋体"/>
                <w:color w:val="auto"/>
                <w:szCs w:val="21"/>
                <w:highlight w:val="none"/>
              </w:rPr>
              <w:t>工期不满足竞选文件要求的；</w:t>
            </w:r>
          </w:p>
        </w:tc>
        <w:tc>
          <w:tcPr>
            <w:tcW w:w="1183" w:type="dxa"/>
            <w:vAlign w:val="center"/>
          </w:tcPr>
          <w:p>
            <w:pPr>
              <w:tabs>
                <w:tab w:val="left" w:pos="553"/>
              </w:tabs>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ascii="宋体" w:hAnsi="宋体" w:cs="宋体"/>
                <w:color w:val="auto"/>
                <w:szCs w:val="21"/>
                <w:highlight w:val="none"/>
              </w:rPr>
              <w:t>7</w:t>
            </w:r>
          </w:p>
        </w:tc>
        <w:tc>
          <w:tcPr>
            <w:tcW w:w="6225" w:type="dxa"/>
            <w:shd w:val="clear" w:color="auto" w:fill="auto"/>
            <w:vAlign w:val="center"/>
          </w:tcPr>
          <w:p>
            <w:pPr>
              <w:rPr>
                <w:color w:val="auto"/>
                <w:szCs w:val="21"/>
                <w:highlight w:val="none"/>
              </w:rPr>
            </w:pPr>
            <w:r>
              <w:rPr>
                <w:rFonts w:hint="eastAsia" w:ascii="宋体" w:hAnsi="宋体" w:cs="宋体"/>
                <w:color w:val="auto"/>
                <w:szCs w:val="21"/>
                <w:highlight w:val="none"/>
              </w:rPr>
              <w:t>施工方案或施工组织设计未响应竞选文件中已明确必须要作实质性响应的内容；</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ascii="宋体" w:hAnsi="宋体" w:cs="宋体"/>
                <w:color w:val="auto"/>
                <w:szCs w:val="21"/>
                <w:highlight w:val="none"/>
              </w:rPr>
              <w:t>8</w:t>
            </w:r>
          </w:p>
        </w:tc>
        <w:tc>
          <w:tcPr>
            <w:tcW w:w="6225" w:type="dxa"/>
            <w:shd w:val="clear" w:color="auto" w:fill="auto"/>
            <w:vAlign w:val="center"/>
          </w:tcPr>
          <w:p>
            <w:pPr>
              <w:rPr>
                <w:color w:val="auto"/>
                <w:szCs w:val="21"/>
                <w:highlight w:val="none"/>
              </w:rPr>
            </w:pPr>
            <w:r>
              <w:rPr>
                <w:rFonts w:hint="eastAsia" w:ascii="宋体" w:hAnsi="宋体" w:cs="宋体"/>
                <w:color w:val="auto"/>
                <w:szCs w:val="21"/>
                <w:highlight w:val="none"/>
              </w:rPr>
              <w:t>投标文件附有采购人不能接受的条件；</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color w:val="auto"/>
                <w:szCs w:val="21"/>
                <w:highlight w:val="none"/>
              </w:rPr>
            </w:pPr>
            <w:r>
              <w:rPr>
                <w:rFonts w:ascii="宋体" w:hAnsi="宋体" w:cs="宋体"/>
                <w:color w:val="auto"/>
                <w:szCs w:val="21"/>
                <w:highlight w:val="none"/>
              </w:rPr>
              <w:t>9</w:t>
            </w:r>
          </w:p>
        </w:tc>
        <w:tc>
          <w:tcPr>
            <w:tcW w:w="6225" w:type="dxa"/>
            <w:shd w:val="clear" w:color="auto" w:fill="auto"/>
            <w:vAlign w:val="center"/>
          </w:tcPr>
          <w:p>
            <w:pPr>
              <w:rPr>
                <w:color w:val="auto"/>
                <w:szCs w:val="21"/>
                <w:highlight w:val="none"/>
              </w:rPr>
            </w:pPr>
            <w:r>
              <w:rPr>
                <w:rFonts w:hint="eastAsia" w:ascii="宋体" w:hAnsi="宋体" w:cs="宋体"/>
                <w:color w:val="auto"/>
                <w:szCs w:val="21"/>
                <w:highlight w:val="none"/>
              </w:rPr>
              <w:t>不符合竞选文件中规定的其他实质性要求。</w:t>
            </w:r>
          </w:p>
        </w:tc>
        <w:tc>
          <w:tcPr>
            <w:tcW w:w="1183" w:type="dxa"/>
            <w:vAlign w:val="center"/>
          </w:tcPr>
          <w:p>
            <w:pPr>
              <w:spacing w:line="360" w:lineRule="auto"/>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color w:val="auto"/>
                <w:szCs w:val="21"/>
                <w:highlight w:val="none"/>
              </w:rPr>
            </w:pPr>
          </w:p>
        </w:tc>
        <w:tc>
          <w:tcPr>
            <w:tcW w:w="6225" w:type="dxa"/>
            <w:vAlign w:val="center"/>
          </w:tcPr>
          <w:p>
            <w:pPr>
              <w:rPr>
                <w:rFonts w:ascii="宋体" w:hAnsi="宋体"/>
                <w:color w:val="auto"/>
                <w:szCs w:val="21"/>
                <w:highlight w:val="none"/>
              </w:rPr>
            </w:pPr>
            <w:r>
              <w:rPr>
                <w:rFonts w:hint="eastAsia" w:ascii="宋体" w:hAnsi="宋体" w:cs="宋体"/>
                <w:b/>
                <w:bCs/>
                <w:color w:val="auto"/>
                <w:szCs w:val="21"/>
                <w:highlight w:val="none"/>
              </w:rPr>
              <w:t>评审结论（</w:t>
            </w:r>
            <w:r>
              <w:rPr>
                <w:rFonts w:hint="eastAsia" w:ascii="宋体" w:hAnsi="宋体"/>
                <w:color w:val="auto"/>
                <w:szCs w:val="21"/>
                <w:highlight w:val="none"/>
              </w:rPr>
              <w:t>通过/不通过</w:t>
            </w:r>
            <w:r>
              <w:rPr>
                <w:rFonts w:hint="eastAsia" w:ascii="宋体" w:hAnsi="宋体" w:cs="宋体"/>
                <w:b/>
                <w:bCs/>
                <w:color w:val="auto"/>
                <w:szCs w:val="21"/>
                <w:highlight w:val="none"/>
              </w:rPr>
              <w:t>）</w:t>
            </w:r>
          </w:p>
        </w:tc>
        <w:tc>
          <w:tcPr>
            <w:tcW w:w="1183" w:type="dxa"/>
            <w:vAlign w:val="center"/>
          </w:tcPr>
          <w:p>
            <w:pPr>
              <w:spacing w:line="360" w:lineRule="auto"/>
              <w:rPr>
                <w:rFonts w:ascii="宋体" w:hAnsi="宋体"/>
                <w:b/>
                <w:color w:val="auto"/>
                <w:szCs w:val="21"/>
                <w:highlight w:val="none"/>
              </w:rPr>
            </w:pPr>
          </w:p>
        </w:tc>
      </w:tr>
    </w:tbl>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w:t>
      </w:r>
    </w:p>
    <w:p>
      <w:pPr>
        <w:numPr>
          <w:ilvl w:val="0"/>
          <w:numId w:val="6"/>
        </w:numPr>
        <w:adjustRightInd w:val="0"/>
        <w:snapToGrid w:val="0"/>
        <w:spacing w:line="400" w:lineRule="exact"/>
        <w:ind w:firstLine="424" w:firstLineChars="202"/>
        <w:rPr>
          <w:rFonts w:ascii="宋体" w:hAnsi="宋体"/>
          <w:color w:val="auto"/>
          <w:szCs w:val="21"/>
          <w:highlight w:val="none"/>
        </w:rPr>
      </w:pPr>
      <w:r>
        <w:rPr>
          <w:rFonts w:hint="eastAsia" w:ascii="宋体" w:hAnsi="宋体"/>
          <w:color w:val="auto"/>
          <w:szCs w:val="21"/>
          <w:highlight w:val="none"/>
        </w:rPr>
        <w:t>投标人分栏中填写“√”表示该项符合竞选文件要求，“×”表示该项不符合竞选文件要求，“○”表示无该项内容；</w:t>
      </w:r>
    </w:p>
    <w:p>
      <w:pPr>
        <w:numPr>
          <w:ilvl w:val="0"/>
          <w:numId w:val="6"/>
        </w:numPr>
        <w:adjustRightInd w:val="0"/>
        <w:snapToGrid w:val="0"/>
        <w:spacing w:line="400" w:lineRule="exact"/>
        <w:ind w:firstLine="424" w:firstLineChars="202"/>
        <w:rPr>
          <w:rFonts w:ascii="宋体" w:hAnsi="宋体"/>
          <w:color w:val="auto"/>
          <w:szCs w:val="21"/>
          <w:highlight w:val="none"/>
        </w:rPr>
      </w:pPr>
      <w:r>
        <w:rPr>
          <w:rFonts w:hint="eastAsia" w:ascii="宋体" w:hAnsi="宋体"/>
          <w:color w:val="auto"/>
          <w:szCs w:val="21"/>
          <w:highlight w:val="none"/>
        </w:rPr>
        <w:t>经评标委员会审核后，出现一个“×”的结论为“不通过”，即按废标处理。</w:t>
      </w:r>
    </w:p>
    <w:p>
      <w:pPr>
        <w:numPr>
          <w:ilvl w:val="0"/>
          <w:numId w:val="6"/>
        </w:numPr>
        <w:adjustRightInd w:val="0"/>
        <w:snapToGrid w:val="0"/>
        <w:spacing w:line="400" w:lineRule="exact"/>
        <w:ind w:firstLine="424" w:firstLineChars="202"/>
        <w:rPr>
          <w:rFonts w:ascii="宋体" w:hAnsi="宋体"/>
          <w:color w:val="auto"/>
          <w:szCs w:val="21"/>
          <w:highlight w:val="none"/>
        </w:rPr>
      </w:pPr>
      <w:r>
        <w:rPr>
          <w:rFonts w:hint="eastAsia" w:ascii="宋体" w:hAnsi="宋体"/>
          <w:color w:val="auto"/>
          <w:szCs w:val="21"/>
          <w:highlight w:val="none"/>
        </w:rPr>
        <w:t>表中全部条件满足为“通过”，同意进入下一阶段评审。</w:t>
      </w:r>
    </w:p>
    <w:p>
      <w:pPr>
        <w:numPr>
          <w:ilvl w:val="0"/>
          <w:numId w:val="6"/>
        </w:numPr>
        <w:adjustRightInd w:val="0"/>
        <w:snapToGrid w:val="0"/>
        <w:spacing w:line="400" w:lineRule="exact"/>
        <w:ind w:firstLine="424" w:firstLineChars="202"/>
        <w:rPr>
          <w:rFonts w:ascii="宋体" w:hAnsi="宋体"/>
          <w:color w:val="auto"/>
          <w:szCs w:val="21"/>
          <w:highlight w:val="none"/>
        </w:rPr>
      </w:pPr>
      <w:r>
        <w:rPr>
          <w:rFonts w:hint="eastAsia"/>
          <w:color w:val="auto"/>
          <w:szCs w:val="21"/>
          <w:highlight w:val="none"/>
        </w:rPr>
        <w:t>如对本表中某种情形的</w:t>
      </w:r>
      <w:r>
        <w:rPr>
          <w:rFonts w:hint="eastAsia" w:ascii="宋体" w:hAnsi="宋体"/>
          <w:color w:val="auto"/>
          <w:szCs w:val="21"/>
          <w:highlight w:val="none"/>
        </w:rPr>
        <w:t>评委意见不一致时，</w:t>
      </w:r>
      <w:r>
        <w:rPr>
          <w:rFonts w:hint="eastAsia"/>
          <w:color w:val="auto"/>
          <w:szCs w:val="21"/>
          <w:highlight w:val="none"/>
        </w:rPr>
        <w:t>以评标委员会过半数成员的意见作为评标委员会对该情形的认定结论。</w:t>
      </w:r>
    </w:p>
    <w:p>
      <w:pPr>
        <w:spacing w:line="400" w:lineRule="exact"/>
        <w:ind w:left="420"/>
        <w:rPr>
          <w:rFonts w:ascii="宋体" w:hAnsi="宋体"/>
          <w:bCs/>
          <w:color w:val="auto"/>
          <w:szCs w:val="21"/>
          <w:highlight w:val="none"/>
        </w:rPr>
      </w:pPr>
    </w:p>
    <w:p>
      <w:pPr>
        <w:spacing w:line="400" w:lineRule="exact"/>
        <w:ind w:left="420"/>
        <w:rPr>
          <w:rFonts w:ascii="宋体" w:hAnsi="宋体"/>
          <w:bCs/>
          <w:color w:val="auto"/>
          <w:szCs w:val="21"/>
          <w:highlight w:val="none"/>
        </w:rPr>
      </w:pPr>
      <w:r>
        <w:rPr>
          <w:rFonts w:hint="eastAsia" w:ascii="宋体" w:hAnsi="宋体"/>
          <w:bCs/>
          <w:color w:val="auto"/>
          <w:szCs w:val="21"/>
          <w:highlight w:val="none"/>
        </w:rPr>
        <w:t xml:space="preserve">评委签名：                                                                                </w:t>
      </w:r>
    </w:p>
    <w:p>
      <w:pPr>
        <w:spacing w:line="400" w:lineRule="exact"/>
        <w:ind w:left="420"/>
        <w:rPr>
          <w:rFonts w:ascii="宋体" w:hAnsi="宋体"/>
          <w:bCs/>
          <w:color w:val="auto"/>
          <w:szCs w:val="21"/>
          <w:highlight w:val="none"/>
        </w:rPr>
      </w:pPr>
    </w:p>
    <w:p>
      <w:pPr>
        <w:spacing w:line="400" w:lineRule="exact"/>
        <w:ind w:left="420"/>
        <w:rPr>
          <w:rFonts w:hint="eastAsia" w:ascii="宋体" w:hAnsi="宋体"/>
          <w:color w:val="auto"/>
          <w:szCs w:val="21"/>
          <w:highlight w:val="none"/>
        </w:rPr>
      </w:pPr>
      <w:r>
        <w:rPr>
          <w:rFonts w:hint="eastAsia" w:ascii="宋体" w:hAnsi="宋体"/>
          <w:bCs/>
          <w:color w:val="auto"/>
          <w:szCs w:val="21"/>
          <w:highlight w:val="none"/>
        </w:rPr>
        <w:t>日 期：</w:t>
      </w:r>
      <w:r>
        <w:rPr>
          <w:rFonts w:ascii="宋体" w:hAnsi="宋体"/>
          <w:color w:val="auto"/>
          <w:szCs w:val="21"/>
          <w:highlight w:val="none"/>
        </w:rPr>
        <w:t>202</w:t>
      </w:r>
      <w:r>
        <w:rPr>
          <w:rFonts w:hint="eastAsia" w:ascii="宋体" w:hAnsi="宋体"/>
          <w:color w:val="auto"/>
          <w:szCs w:val="21"/>
          <w:highlight w:val="none"/>
          <w:lang w:val="en-US" w:eastAsia="zh-CN"/>
        </w:rPr>
        <w:t>2</w:t>
      </w:r>
      <w:r>
        <w:rPr>
          <w:rFonts w:hint="eastAsia" w:ascii="宋体" w:hAnsi="宋体"/>
          <w:color w:val="auto"/>
          <w:szCs w:val="21"/>
          <w:highlight w:val="none"/>
        </w:rPr>
        <w:t>年   月   日</w:t>
      </w:r>
    </w:p>
    <w:p>
      <w:pPr>
        <w:spacing w:line="400" w:lineRule="exact"/>
        <w:ind w:left="420"/>
        <w:rPr>
          <w:rFonts w:hint="eastAsia" w:ascii="宋体" w:hAnsi="宋体"/>
          <w:color w:val="auto"/>
          <w:szCs w:val="21"/>
          <w:highlight w:val="none"/>
        </w:rPr>
      </w:pPr>
    </w:p>
    <w:p>
      <w:pPr>
        <w:spacing w:line="400" w:lineRule="exact"/>
        <w:ind w:left="420"/>
        <w:rPr>
          <w:rFonts w:hint="eastAsia" w:ascii="宋体" w:hAnsi="宋体"/>
          <w:color w:val="auto"/>
          <w:szCs w:val="21"/>
          <w:highlight w:val="none"/>
        </w:rPr>
      </w:pPr>
    </w:p>
    <w:p>
      <w:pPr>
        <w:spacing w:line="400" w:lineRule="exact"/>
        <w:ind w:left="420"/>
        <w:rPr>
          <w:rFonts w:hint="eastAsia" w:ascii="宋体" w:hAnsi="宋体"/>
          <w:color w:val="auto"/>
          <w:szCs w:val="21"/>
          <w:highlight w:val="none"/>
        </w:rPr>
      </w:pPr>
    </w:p>
    <w:p>
      <w:pPr>
        <w:spacing w:line="400" w:lineRule="exact"/>
        <w:ind w:left="420"/>
        <w:rPr>
          <w:rFonts w:hint="eastAsia" w:ascii="宋体" w:hAnsi="宋体"/>
          <w:color w:val="auto"/>
          <w:szCs w:val="21"/>
          <w:highlight w:val="none"/>
        </w:rPr>
      </w:pPr>
    </w:p>
    <w:p>
      <w:pPr>
        <w:spacing w:line="400" w:lineRule="exact"/>
        <w:ind w:left="420"/>
        <w:rPr>
          <w:rFonts w:hint="eastAsia" w:ascii="宋体" w:hAnsi="宋体"/>
          <w:color w:val="auto"/>
          <w:szCs w:val="21"/>
          <w:highlight w:val="none"/>
        </w:rPr>
      </w:pPr>
    </w:p>
    <w:p>
      <w:pPr>
        <w:spacing w:line="400" w:lineRule="exact"/>
        <w:ind w:left="0"/>
        <w:rPr>
          <w:rFonts w:hint="eastAsia" w:ascii="宋体" w:hAnsi="宋体" w:cs="Arial"/>
          <w:color w:val="auto"/>
          <w:sz w:val="30"/>
          <w:szCs w:val="30"/>
          <w:highlight w:val="none"/>
          <w:lang w:val="en-US" w:eastAsia="zh-CN"/>
        </w:rPr>
      </w:pPr>
      <w:r>
        <w:rPr>
          <w:rFonts w:hint="eastAsia" w:ascii="宋体" w:hAnsi="宋体" w:cs="Arial"/>
          <w:color w:val="auto"/>
          <w:sz w:val="30"/>
          <w:szCs w:val="30"/>
          <w:highlight w:val="none"/>
          <w:lang w:val="en-US" w:eastAsia="zh-CN"/>
        </w:rPr>
        <w:t>附件7</w:t>
      </w:r>
    </w:p>
    <w:p>
      <w:pPr>
        <w:spacing w:line="400" w:lineRule="exact"/>
        <w:ind w:left="0"/>
        <w:jc w:val="center"/>
        <w:rPr>
          <w:rFonts w:hint="eastAsia" w:ascii="宋体" w:hAnsi="宋体" w:cs="Arial"/>
          <w:color w:val="auto"/>
          <w:sz w:val="30"/>
          <w:szCs w:val="30"/>
          <w:highlight w:val="none"/>
          <w:lang w:val="en-US" w:eastAsia="zh-CN"/>
        </w:rPr>
      </w:pPr>
      <w:r>
        <w:rPr>
          <w:rFonts w:hint="eastAsia" w:ascii="宋体" w:hAnsi="宋体" w:cs="Arial"/>
          <w:color w:val="auto"/>
          <w:sz w:val="30"/>
          <w:szCs w:val="30"/>
          <w:highlight w:val="none"/>
          <w:lang w:val="en-US" w:eastAsia="zh-CN"/>
        </w:rPr>
        <w:t>冷站消防图纸（另册）</w:t>
      </w:r>
    </w:p>
    <w:p>
      <w:pPr>
        <w:widowControl/>
        <w:jc w:val="left"/>
        <w:rPr>
          <w:rFonts w:ascii="宋体" w:hAnsi="宋体" w:cs="宋体"/>
          <w:color w:val="auto"/>
          <w:szCs w:val="21"/>
          <w:highlight w:val="none"/>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26</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1">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F92352D"/>
    <w:multiLevelType w:val="singleLevel"/>
    <w:tmpl w:val="2F92352D"/>
    <w:lvl w:ilvl="0" w:tentative="0">
      <w:start w:val="1"/>
      <w:numFmt w:val="decimal"/>
      <w:suff w:val="nothing"/>
      <w:lvlText w:val="%1."/>
      <w:lvlJc w:val="left"/>
    </w:lvl>
  </w:abstractNum>
  <w:abstractNum w:abstractNumId="4">
    <w:nsid w:val="572DE5B4"/>
    <w:multiLevelType w:val="singleLevel"/>
    <w:tmpl w:val="572DE5B4"/>
    <w:lvl w:ilvl="0" w:tentative="0">
      <w:start w:val="1"/>
      <w:numFmt w:val="decimal"/>
      <w:suff w:val="nothing"/>
      <w:lvlText w:val="%1."/>
      <w:lvlJc w:val="left"/>
    </w:lvl>
  </w:abstractNum>
  <w:abstractNum w:abstractNumId="5">
    <w:nsid w:val="58A1B6D2"/>
    <w:multiLevelType w:val="singleLevel"/>
    <w:tmpl w:val="58A1B6D2"/>
    <w:lvl w:ilvl="0" w:tentative="0">
      <w:start w:val="2"/>
      <w:numFmt w:val="decimal"/>
      <w:suff w:val="nothing"/>
      <w:lvlText w:val="%1、"/>
      <w:lvlJc w:val="left"/>
      <w:rPr>
        <w:rFonts w:cs="Times New Roman"/>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2AC6"/>
    <w:rsid w:val="000542BB"/>
    <w:rsid w:val="00054374"/>
    <w:rsid w:val="00054CE9"/>
    <w:rsid w:val="00066150"/>
    <w:rsid w:val="00066222"/>
    <w:rsid w:val="000712FA"/>
    <w:rsid w:val="00075A5E"/>
    <w:rsid w:val="00084999"/>
    <w:rsid w:val="00086E31"/>
    <w:rsid w:val="00097540"/>
    <w:rsid w:val="000A00B3"/>
    <w:rsid w:val="000A18E3"/>
    <w:rsid w:val="000A2487"/>
    <w:rsid w:val="000A32B4"/>
    <w:rsid w:val="000A4DE7"/>
    <w:rsid w:val="000A75A0"/>
    <w:rsid w:val="000B75B2"/>
    <w:rsid w:val="000C4919"/>
    <w:rsid w:val="000D372E"/>
    <w:rsid w:val="000D4516"/>
    <w:rsid w:val="000E277D"/>
    <w:rsid w:val="000F7025"/>
    <w:rsid w:val="001013A8"/>
    <w:rsid w:val="00105509"/>
    <w:rsid w:val="001300D3"/>
    <w:rsid w:val="00146B63"/>
    <w:rsid w:val="00150E7B"/>
    <w:rsid w:val="00155983"/>
    <w:rsid w:val="00161C4F"/>
    <w:rsid w:val="00167F5B"/>
    <w:rsid w:val="001709D3"/>
    <w:rsid w:val="00171297"/>
    <w:rsid w:val="00172A27"/>
    <w:rsid w:val="00175301"/>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E49C2"/>
    <w:rsid w:val="003F2B4E"/>
    <w:rsid w:val="00426155"/>
    <w:rsid w:val="004469BA"/>
    <w:rsid w:val="00453ADF"/>
    <w:rsid w:val="00456BC1"/>
    <w:rsid w:val="00466D81"/>
    <w:rsid w:val="00467CAD"/>
    <w:rsid w:val="00472277"/>
    <w:rsid w:val="00474A47"/>
    <w:rsid w:val="00476BF0"/>
    <w:rsid w:val="00480966"/>
    <w:rsid w:val="0048752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06EBC"/>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C6CD1"/>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18"/>
    <w:rsid w:val="006567A6"/>
    <w:rsid w:val="00666B5D"/>
    <w:rsid w:val="00690C78"/>
    <w:rsid w:val="00694033"/>
    <w:rsid w:val="006A3B53"/>
    <w:rsid w:val="006B14D1"/>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76875"/>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26F08"/>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D3F0E"/>
    <w:rsid w:val="008E3344"/>
    <w:rsid w:val="008F2808"/>
    <w:rsid w:val="008F4BC0"/>
    <w:rsid w:val="008F50D8"/>
    <w:rsid w:val="008F5C67"/>
    <w:rsid w:val="00902C05"/>
    <w:rsid w:val="00902DAE"/>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D0418"/>
    <w:rsid w:val="009D042E"/>
    <w:rsid w:val="009E12D5"/>
    <w:rsid w:val="009E29EF"/>
    <w:rsid w:val="009E359E"/>
    <w:rsid w:val="009F0D3A"/>
    <w:rsid w:val="00A047AA"/>
    <w:rsid w:val="00A05921"/>
    <w:rsid w:val="00A105FC"/>
    <w:rsid w:val="00A15326"/>
    <w:rsid w:val="00A214CC"/>
    <w:rsid w:val="00A32246"/>
    <w:rsid w:val="00A36C20"/>
    <w:rsid w:val="00A46630"/>
    <w:rsid w:val="00A614CE"/>
    <w:rsid w:val="00A63DD1"/>
    <w:rsid w:val="00A735C6"/>
    <w:rsid w:val="00A81CD4"/>
    <w:rsid w:val="00A81F7A"/>
    <w:rsid w:val="00A919CA"/>
    <w:rsid w:val="00A963B9"/>
    <w:rsid w:val="00AA0371"/>
    <w:rsid w:val="00AA6E44"/>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0E42"/>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065AE"/>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06A4A"/>
    <w:rsid w:val="00E109E2"/>
    <w:rsid w:val="00E1751F"/>
    <w:rsid w:val="00E32D0D"/>
    <w:rsid w:val="00E354F4"/>
    <w:rsid w:val="00E36D06"/>
    <w:rsid w:val="00E458D6"/>
    <w:rsid w:val="00E47B3B"/>
    <w:rsid w:val="00E47B59"/>
    <w:rsid w:val="00E5221B"/>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3D1"/>
    <w:rsid w:val="00F716E9"/>
    <w:rsid w:val="00F71ADB"/>
    <w:rsid w:val="00F728B6"/>
    <w:rsid w:val="00F74258"/>
    <w:rsid w:val="00F91977"/>
    <w:rsid w:val="00FA0034"/>
    <w:rsid w:val="00FB25F3"/>
    <w:rsid w:val="00FC33B2"/>
    <w:rsid w:val="00FC3A89"/>
    <w:rsid w:val="00FD50E2"/>
    <w:rsid w:val="00FE225B"/>
    <w:rsid w:val="01586AB7"/>
    <w:rsid w:val="02B11D60"/>
    <w:rsid w:val="042B4404"/>
    <w:rsid w:val="05F33E19"/>
    <w:rsid w:val="08A607DC"/>
    <w:rsid w:val="11445536"/>
    <w:rsid w:val="13033C28"/>
    <w:rsid w:val="13B94E90"/>
    <w:rsid w:val="16FA62BC"/>
    <w:rsid w:val="19180489"/>
    <w:rsid w:val="214926E0"/>
    <w:rsid w:val="25B9357B"/>
    <w:rsid w:val="3C823756"/>
    <w:rsid w:val="3C9B5EFD"/>
    <w:rsid w:val="3E13186C"/>
    <w:rsid w:val="49F31C4D"/>
    <w:rsid w:val="4BB4029A"/>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2">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0"/>
    <w:qFormat/>
    <w:uiPriority w:val="0"/>
    <w:pPr>
      <w:spacing w:after="120"/>
      <w:ind w:left="420" w:leftChars="200"/>
    </w:pPr>
    <w:rPr>
      <w:rFonts w:ascii="Calibri" w:hAnsi="Calibri"/>
      <w:szCs w:val="22"/>
    </w:r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Char"/>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Char"/>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Char"/>
    <w:basedOn w:val="12"/>
    <w:link w:val="7"/>
    <w:qFormat/>
    <w:uiPriority w:val="0"/>
    <w:rPr>
      <w:rFonts w:ascii="宋体" w:hAnsi="Courier New" w:eastAsia="微软雅黑" w:cs="Courier New"/>
      <w:sz w:val="22"/>
      <w:szCs w:val="21"/>
    </w:rPr>
  </w:style>
  <w:style w:type="character" w:customStyle="1" w:styleId="25">
    <w:name w:val="批注文字 Char"/>
    <w:basedOn w:val="12"/>
    <w:link w:val="4"/>
    <w:semiHidden/>
    <w:qFormat/>
    <w:uiPriority w:val="99"/>
    <w:rPr>
      <w:kern w:val="2"/>
      <w:sz w:val="21"/>
      <w:szCs w:val="24"/>
    </w:rPr>
  </w:style>
  <w:style w:type="character" w:customStyle="1" w:styleId="26">
    <w:name w:val="批注主题 Char"/>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character" w:customStyle="1" w:styleId="28">
    <w:name w:val="标题 1 Char"/>
    <w:basedOn w:val="12"/>
    <w:link w:val="2"/>
    <w:qFormat/>
    <w:uiPriority w:val="9"/>
    <w:rPr>
      <w:rFonts w:ascii="宋体" w:hAnsi="宋体"/>
      <w:b/>
      <w:bCs/>
      <w:snapToGrid w:val="0"/>
      <w:kern w:val="44"/>
      <w:sz w:val="48"/>
      <w:szCs w:val="48"/>
    </w:rPr>
  </w:style>
  <w:style w:type="character" w:customStyle="1" w:styleId="29">
    <w:name w:val="font01"/>
    <w:basedOn w:val="12"/>
    <w:qFormat/>
    <w:uiPriority w:val="0"/>
    <w:rPr>
      <w:rFonts w:hint="eastAsia" w:ascii="宋体" w:hAnsi="宋体" w:eastAsia="宋体" w:cs="宋体"/>
      <w:color w:val="000000"/>
      <w:sz w:val="22"/>
      <w:szCs w:val="22"/>
      <w:u w:val="none"/>
      <w:vertAlign w:val="superscript"/>
    </w:rPr>
  </w:style>
  <w:style w:type="character" w:customStyle="1" w:styleId="30">
    <w:name w:val="正文文本缩进 Char"/>
    <w:basedOn w:val="12"/>
    <w:link w:val="6"/>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29</Pages>
  <Words>2362</Words>
  <Characters>13465</Characters>
  <Lines>112</Lines>
  <Paragraphs>31</Paragraphs>
  <TotalTime>15</TotalTime>
  <ScaleCrop>false</ScaleCrop>
  <LinksUpToDate>false</LinksUpToDate>
  <CharactersWithSpaces>15796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zhanyj</cp:lastModifiedBy>
  <cp:lastPrinted>2011-11-29T08:47:00Z</cp:lastPrinted>
  <dcterms:modified xsi:type="dcterms:W3CDTF">2022-06-14T01:08:27Z</dcterms:modified>
  <dc:title>广州大学城投资经营管理有限公司</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