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lang w:val="en-US" w:eastAsia="zh-CN"/>
        </w:rPr>
        <w:t>冷量表、流量计表头材料采购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6"/>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冷量表、流量计表头材料采购</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包组一冷量表材料限价4.5万元，包组二</w:t>
      </w:r>
      <w:r>
        <w:rPr>
          <w:rFonts w:hint="eastAsia" w:ascii="宋体" w:hAnsi="宋体"/>
          <w:b w:val="0"/>
          <w:sz w:val="24"/>
          <w:highlight w:val="none"/>
          <w:lang w:val="en-US" w:eastAsia="zh-CN"/>
        </w:rPr>
        <w:t>流量计表头材料</w:t>
      </w:r>
      <w:r>
        <w:rPr>
          <w:rFonts w:hint="eastAsia" w:ascii="宋体" w:hAnsi="宋体"/>
          <w:sz w:val="24"/>
          <w:highlight w:val="none"/>
          <w:lang w:val="en-US" w:eastAsia="zh-CN"/>
        </w:rPr>
        <w:t>限价3万元</w:t>
      </w:r>
      <w:r>
        <w:rPr>
          <w:rFonts w:hint="eastAsia" w:ascii="宋体" w:hAnsi="宋体"/>
          <w:sz w:val="24"/>
          <w:highlight w:val="none"/>
        </w:rPr>
        <w:t>。</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包组一冷量表材料，包组二</w:t>
      </w:r>
      <w:r>
        <w:rPr>
          <w:rFonts w:hint="eastAsia" w:ascii="宋体" w:hAnsi="宋体"/>
          <w:b w:val="0"/>
          <w:sz w:val="24"/>
          <w:highlight w:val="none"/>
          <w:lang w:val="en-US" w:eastAsia="zh-CN"/>
        </w:rPr>
        <w:t>流量计表头材料</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6"/>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6"/>
        <w:tabs>
          <w:tab w:val="left" w:pos="420"/>
        </w:tabs>
        <w:spacing w:line="360" w:lineRule="auto"/>
        <w:ind w:firstLine="480"/>
        <w:rPr>
          <w:rFonts w:hint="default" w:ascii="宋体" w:hAnsi="宋体" w:eastAsiaTheme="minorEastAsia"/>
          <w:sz w:val="24"/>
          <w:highlight w:val="none"/>
          <w:lang w:val="en-US" w:eastAsia="zh-CN"/>
        </w:rPr>
      </w:pPr>
      <w:r>
        <w:rPr>
          <w:rFonts w:hint="eastAsia" w:ascii="宋体" w:hAnsi="宋体"/>
          <w:sz w:val="24"/>
          <w:highlight w:val="none"/>
          <w:lang w:val="en-US" w:eastAsia="zh-CN"/>
        </w:rPr>
        <w:t>1、包组一</w:t>
      </w:r>
    </w:p>
    <w:p>
      <w:pPr>
        <w:pStyle w:val="6"/>
        <w:tabs>
          <w:tab w:val="left" w:pos="420"/>
        </w:tabs>
        <w:spacing w:line="360" w:lineRule="auto"/>
        <w:ind w:firstLineChars="0"/>
        <w:rPr>
          <w:rFonts w:hint="eastAsia" w:ascii="宋体" w:hAnsi="宋体"/>
          <w:sz w:val="24"/>
        </w:rPr>
      </w:pPr>
      <w:r>
        <w:rPr>
          <w:rFonts w:hint="eastAsia" w:ascii="宋体" w:hAnsi="宋体"/>
          <w:sz w:val="24"/>
        </w:rPr>
        <w:t>合同签订后预付合同总价的30%款项作为预付款；全部货物货到现场并经双方验收合格签字和收到供方相关的技术资料后15天内支付至结算价的95%款项，同时余下结算价的5%作为质保金，质保期</w:t>
      </w:r>
      <w:r>
        <w:rPr>
          <w:rFonts w:hint="eastAsia" w:ascii="宋体" w:hAnsi="宋体"/>
          <w:sz w:val="24"/>
          <w:lang w:val="en-US" w:eastAsia="zh-CN"/>
        </w:rPr>
        <w:t>2年</w:t>
      </w:r>
      <w:r>
        <w:rPr>
          <w:rFonts w:hint="eastAsia" w:ascii="宋体" w:hAnsi="宋体"/>
          <w:sz w:val="24"/>
        </w:rPr>
        <w:t>，质保期满供方履行完质保期义务后付清余款。付款前供方开具相应金额增值税(含13%增值税)专用发票给需方。</w:t>
      </w:r>
    </w:p>
    <w:p>
      <w:pPr>
        <w:pStyle w:val="6"/>
        <w:numPr>
          <w:ilvl w:val="0"/>
          <w:numId w:val="4"/>
        </w:numPr>
        <w:tabs>
          <w:tab w:val="left" w:pos="420"/>
        </w:tabs>
        <w:spacing w:line="360" w:lineRule="auto"/>
        <w:ind w:firstLineChars="0"/>
        <w:rPr>
          <w:rFonts w:hint="eastAsia" w:ascii="宋体" w:hAnsi="宋体"/>
          <w:sz w:val="24"/>
          <w:highlight w:val="none"/>
          <w:lang w:val="en-US" w:eastAsia="zh-CN"/>
        </w:rPr>
      </w:pPr>
      <w:r>
        <w:rPr>
          <w:rFonts w:hint="eastAsia" w:ascii="宋体" w:hAnsi="宋体"/>
          <w:sz w:val="24"/>
          <w:highlight w:val="none"/>
          <w:lang w:val="en-US" w:eastAsia="zh-CN"/>
        </w:rPr>
        <w:t>包组二</w:t>
      </w:r>
    </w:p>
    <w:p>
      <w:pPr>
        <w:pStyle w:val="6"/>
        <w:tabs>
          <w:tab w:val="left" w:pos="420"/>
        </w:tabs>
        <w:spacing w:line="360" w:lineRule="auto"/>
        <w:rPr>
          <w:rFonts w:hint="eastAsia" w:ascii="宋体" w:hAnsi="宋体"/>
          <w:sz w:val="24"/>
          <w:highlight w:val="none"/>
        </w:rPr>
      </w:pPr>
      <w:r>
        <w:rPr>
          <w:rFonts w:hint="eastAsia" w:ascii="宋体" w:hAnsi="宋体"/>
          <w:sz w:val="24"/>
        </w:rPr>
        <w:t>全部货物货到现场并经双方验收合格签字和收到供方相关的技术资料后15天内支付至结算价的</w:t>
      </w:r>
      <w:r>
        <w:rPr>
          <w:rFonts w:hint="eastAsia" w:ascii="宋体" w:hAnsi="宋体"/>
          <w:sz w:val="24"/>
          <w:lang w:val="en-US" w:eastAsia="zh-CN"/>
        </w:rPr>
        <w:t>100</w:t>
      </w:r>
      <w:r>
        <w:rPr>
          <w:rFonts w:hint="eastAsia" w:ascii="宋体" w:hAnsi="宋体"/>
          <w:sz w:val="24"/>
        </w:rPr>
        <w:t>%款项，质保期</w:t>
      </w:r>
      <w:r>
        <w:rPr>
          <w:rFonts w:hint="eastAsia" w:ascii="宋体" w:hAnsi="宋体"/>
          <w:sz w:val="24"/>
          <w:lang w:val="en-US" w:eastAsia="zh-CN"/>
        </w:rPr>
        <w:t>1年</w:t>
      </w:r>
      <w:r>
        <w:rPr>
          <w:rFonts w:hint="eastAsia" w:ascii="宋体" w:hAnsi="宋体"/>
          <w:sz w:val="24"/>
        </w:rPr>
        <w:t>。付款前供方开具相应金额增值税(含13%增值税)专用发票给需方。</w:t>
      </w:r>
    </w:p>
    <w:p>
      <w:pPr>
        <w:pStyle w:val="6"/>
        <w:numPr>
          <w:ilvl w:val="0"/>
          <w:numId w:val="5"/>
        </w:numPr>
        <w:tabs>
          <w:tab w:val="left" w:pos="0"/>
        </w:tabs>
        <w:spacing w:line="360" w:lineRule="auto"/>
        <w:ind w:left="0" w:leftChars="0" w:firstLine="720" w:firstLineChars="30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6"/>
        <w:tabs>
          <w:tab w:val="left" w:pos="420"/>
        </w:tabs>
        <w:spacing w:line="360" w:lineRule="auto"/>
        <w:ind w:left="480" w:firstLine="240" w:firstLineChars="100"/>
        <w:rPr>
          <w:rFonts w:ascii="宋体" w:hAnsi="宋体"/>
          <w:sz w:val="24"/>
          <w:highlight w:val="none"/>
        </w:rPr>
      </w:pPr>
      <w:r>
        <w:rPr>
          <w:rFonts w:hint="eastAsia" w:ascii="宋体" w:hAnsi="宋体"/>
          <w:sz w:val="24"/>
          <w:highlight w:val="none"/>
        </w:rPr>
        <w:t>（四）送货地点：广州大学城西五路4#冷站旁边仓库（国家档案馆对面）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6"/>
        <w:spacing w:line="360" w:lineRule="auto"/>
        <w:ind w:firstLine="480"/>
        <w:rPr>
          <w:rFonts w:ascii="宋体" w:hAnsi="宋体"/>
          <w:sz w:val="24"/>
          <w:highlight w:val="none"/>
        </w:rPr>
      </w:pPr>
      <w:r>
        <w:rPr>
          <w:rFonts w:hint="eastAsia" w:ascii="宋体" w:hAnsi="宋体"/>
          <w:sz w:val="24"/>
          <w:highlight w:val="none"/>
        </w:rPr>
        <w:t>五、投标文件</w:t>
      </w:r>
    </w:p>
    <w:p>
      <w:pPr>
        <w:pStyle w:val="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14</w:t>
      </w:r>
      <w:r>
        <w:rPr>
          <w:rFonts w:hint="eastAsia" w:ascii="宋体" w:hAnsi="宋体"/>
          <w:sz w:val="24"/>
          <w:highlight w:val="none"/>
        </w:rPr>
        <w:t>日北京时间</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冷量表、流量计表头材料采购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7"/>
        <w:numPr>
          <w:ilvl w:val="0"/>
          <w:numId w:val="10"/>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7"/>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6"/>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李群</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6"/>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6"/>
        <w:spacing w:line="360" w:lineRule="auto"/>
        <w:ind w:firstLine="480"/>
        <w:jc w:val="center"/>
        <w:rPr>
          <w:rFonts w:ascii="宋体" w:hAnsi="宋体"/>
          <w:sz w:val="24"/>
          <w:highlight w:val="none"/>
        </w:rPr>
      </w:pPr>
      <w:r>
        <w:rPr>
          <w:rFonts w:hint="eastAsia" w:ascii="宋体" w:hAnsi="宋体"/>
          <w:sz w:val="24"/>
          <w:highlight w:val="none"/>
        </w:rPr>
        <w:t xml:space="preserve">             采购人：广州大学城投资经营管理有限公司</w:t>
      </w:r>
    </w:p>
    <w:p>
      <w:pPr>
        <w:pStyle w:val="6"/>
        <w:spacing w:line="360" w:lineRule="auto"/>
        <w:ind w:right="960" w:firstLine="4740" w:firstLineChars="19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 xml:space="preserve">8 </w:t>
      </w:r>
      <w:r>
        <w:rPr>
          <w:rFonts w:hint="eastAsia" w:ascii="宋体" w:hAnsi="宋体"/>
          <w:sz w:val="24"/>
          <w:highlight w:val="none"/>
        </w:rPr>
        <w:t>月</w:t>
      </w:r>
      <w:r>
        <w:rPr>
          <w:rFonts w:hint="eastAsia" w:ascii="宋体" w:hAnsi="宋体"/>
          <w:sz w:val="24"/>
          <w:highlight w:val="none"/>
          <w:lang w:val="en-US" w:eastAsia="zh-CN"/>
        </w:rPr>
        <w:t xml:space="preserve"> 9</w:t>
      </w:r>
      <w:r>
        <w:rPr>
          <w:rFonts w:hint="eastAsia" w:ascii="宋体" w:hAnsi="宋体"/>
          <w:sz w:val="24"/>
          <w:highlight w:val="none"/>
        </w:rPr>
        <w:t>日</w:t>
      </w:r>
    </w:p>
    <w:p>
      <w:pPr>
        <w:widowControl/>
        <w:jc w:val="left"/>
        <w:rPr>
          <w:highlight w:val="none"/>
        </w:rPr>
      </w:pPr>
      <w:bookmarkStart w:id="0" w:name="_GoBack"/>
      <w:bookmarkEnd w:id="0"/>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2"/>
        </w:numPr>
        <w:tabs>
          <w:tab w:val="left" w:pos="420"/>
        </w:tabs>
        <w:spacing w:line="360" w:lineRule="auto"/>
        <w:rPr>
          <w:sz w:val="24"/>
          <w:highlight w:val="none"/>
        </w:rPr>
      </w:pPr>
      <w:r>
        <w:rPr>
          <w:rFonts w:hint="eastAsia" w:ascii="宋体" w:hAnsi="宋体"/>
          <w:b w:val="0"/>
          <w:sz w:val="24"/>
          <w:highlight w:val="none"/>
          <w:lang w:val="en-US" w:eastAsia="zh-CN"/>
        </w:rPr>
        <w:t>冷量表、流量计表头材料采购包组一</w:t>
      </w:r>
      <w:r>
        <w:rPr>
          <w:rFonts w:hint="eastAsia" w:ascii="宋体" w:hAnsi="宋体"/>
          <w:sz w:val="24"/>
          <w:highlight w:val="none"/>
          <w:lang w:val="en-US" w:eastAsia="zh-CN"/>
        </w:rPr>
        <w:t>冷量表材料</w:t>
      </w:r>
      <w:r>
        <w:rPr>
          <w:rFonts w:hint="eastAsia" w:ascii="宋体" w:hAnsi="宋体"/>
          <w:sz w:val="24"/>
          <w:highlight w:val="none"/>
        </w:rPr>
        <w:t>采购清单</w:t>
      </w:r>
    </w:p>
    <w:tbl>
      <w:tblPr>
        <w:tblStyle w:val="5"/>
        <w:tblW w:w="8722" w:type="dxa"/>
        <w:tblInd w:w="0" w:type="dxa"/>
        <w:tblLayout w:type="fixed"/>
        <w:tblCellMar>
          <w:top w:w="0" w:type="dxa"/>
          <w:left w:w="108" w:type="dxa"/>
          <w:bottom w:w="0" w:type="dxa"/>
          <w:right w:w="108" w:type="dxa"/>
        </w:tblCellMar>
      </w:tblPr>
      <w:tblGrid>
        <w:gridCol w:w="692"/>
        <w:gridCol w:w="1635"/>
        <w:gridCol w:w="3667"/>
        <w:gridCol w:w="720"/>
        <w:gridCol w:w="840"/>
        <w:gridCol w:w="1168"/>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66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4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1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超声波冷量表</w:t>
            </w:r>
          </w:p>
        </w:tc>
        <w:tc>
          <w:tcPr>
            <w:tcW w:w="36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品牌：深圳建恒；</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表贴式超声波流量计；</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配探头（DN700~6000）；</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测量范围：0.03~6 m/h；精度：1%；</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介质及温度：水0~60℃，环境湿度5~90%；</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探头防护等级：IP68（传感器与积算表分体安装）；</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电源：220AC、24VDC；</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冷量计量单位：MWh、KWh；</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流量信号：4~20mA、频率Hz、RS485接口MODBUS-RTU协议；</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温度传感器：PT100/PT1000，</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A级0.1℃精度，</w:t>
            </w:r>
          </w:p>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1"/>
                <w:szCs w:val="21"/>
                <w:u w:val="none"/>
                <w:lang w:val="en-US" w:eastAsia="zh-CN" w:bidi="ar"/>
              </w:rPr>
              <w:t>配对精度0.06℃，套管安装。</w:t>
            </w:r>
            <w:r>
              <w:rPr>
                <w:rFonts w:hint="eastAsia" w:ascii="宋体" w:hAnsi="宋体" w:eastAsia="宋体" w:cs="宋体"/>
                <w:i w:val="0"/>
                <w:color w:val="000000"/>
                <w:kern w:val="0"/>
                <w:sz w:val="22"/>
                <w:szCs w:val="22"/>
                <w:u w:val="none"/>
                <w:lang w:val="en-US" w:eastAsia="zh-CN" w:bidi="ar"/>
              </w:rPr>
              <w:t xml:space="preserve"> </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套</w:t>
            </w:r>
          </w:p>
        </w:tc>
        <w:tc>
          <w:tcPr>
            <w:tcW w:w="84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6</w:t>
            </w:r>
          </w:p>
        </w:tc>
        <w:tc>
          <w:tcPr>
            <w:tcW w:w="1168"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66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72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840"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168"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sz w:val="24"/>
          <w:highlight w:val="none"/>
        </w:rPr>
      </w:pP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rPr>
        <w:t>合同签订后预付合同总价的30%款项作为预付款；全部货物货到现场并经双方验收合格签字和收到供方相关的技术资料后15天内支付至结算价的95%款项，同时余下结算价的5%作为质保金，质保期</w:t>
      </w:r>
      <w:r>
        <w:rPr>
          <w:rFonts w:hint="eastAsia" w:ascii="宋体" w:hAnsi="宋体"/>
          <w:sz w:val="24"/>
          <w:lang w:val="en-US" w:eastAsia="zh-CN"/>
        </w:rPr>
        <w:t>2年</w:t>
      </w:r>
      <w:r>
        <w:rPr>
          <w:rFonts w:hint="eastAsia" w:ascii="宋体" w:hAnsi="宋体"/>
          <w:sz w:val="24"/>
        </w:rPr>
        <w:t>，质保期满供方履行完质保期义务后付清余款。付款前供方开具相应金额增值税(含13%增值税)专用发票给需方。</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1"/>
        </w:numPr>
        <w:tabs>
          <w:tab w:val="left" w:pos="420"/>
        </w:tabs>
        <w:spacing w:line="360" w:lineRule="auto"/>
        <w:rPr>
          <w:sz w:val="24"/>
          <w:highlight w:val="none"/>
        </w:rPr>
      </w:pPr>
      <w:r>
        <w:rPr>
          <w:rFonts w:hint="eastAsia" w:ascii="宋体" w:hAnsi="宋体"/>
          <w:b w:val="0"/>
          <w:sz w:val="24"/>
          <w:highlight w:val="none"/>
          <w:lang w:val="en-US" w:eastAsia="zh-CN"/>
        </w:rPr>
        <w:t>冷量表、流量计表头材料采购包组二流量计表头材料</w:t>
      </w:r>
      <w:r>
        <w:rPr>
          <w:rFonts w:hint="eastAsia" w:ascii="宋体" w:hAnsi="宋体"/>
          <w:sz w:val="24"/>
          <w:highlight w:val="none"/>
        </w:rPr>
        <w:t>采购清单</w:t>
      </w:r>
    </w:p>
    <w:tbl>
      <w:tblPr>
        <w:tblStyle w:val="5"/>
        <w:tblW w:w="8522" w:type="dxa"/>
        <w:tblInd w:w="0" w:type="dxa"/>
        <w:tblLayout w:type="fixed"/>
        <w:tblCellMar>
          <w:top w:w="0" w:type="dxa"/>
          <w:left w:w="108" w:type="dxa"/>
          <w:bottom w:w="0" w:type="dxa"/>
          <w:right w:w="108" w:type="dxa"/>
        </w:tblCellMar>
      </w:tblPr>
      <w:tblGrid>
        <w:gridCol w:w="816"/>
        <w:gridCol w:w="2695"/>
        <w:gridCol w:w="1568"/>
        <w:gridCol w:w="1035"/>
        <w:gridCol w:w="799"/>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6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1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color w:val="000000"/>
                <w:kern w:val="0"/>
                <w:sz w:val="22"/>
                <w:szCs w:val="22"/>
                <w:u w:val="none"/>
                <w:lang w:val="en-US" w:eastAsia="zh-CN" w:bidi="ar"/>
              </w:rPr>
              <w:t>肯特电磁流量计（表头）</w:t>
            </w:r>
          </w:p>
        </w:tc>
        <w:tc>
          <w:tcPr>
            <w:tcW w:w="1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1"/>
                <w:szCs w:val="21"/>
                <w:highlight w:val="none"/>
                <w:lang w:val="en-US"/>
              </w:rPr>
            </w:pPr>
            <w:r>
              <w:rPr>
                <w:rFonts w:hint="eastAsia" w:ascii="宋体" w:hAnsi="宋体" w:eastAsia="宋体" w:cs="宋体"/>
                <w:i w:val="0"/>
                <w:color w:val="000000"/>
                <w:kern w:val="0"/>
                <w:sz w:val="22"/>
                <w:szCs w:val="22"/>
                <w:u w:val="none"/>
                <w:lang w:val="en-US" w:eastAsia="zh-CN" w:bidi="ar"/>
              </w:rPr>
              <w:t>KEFN-DO1M</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color w:val="000000"/>
                <w:kern w:val="0"/>
                <w:sz w:val="22"/>
                <w:szCs w:val="22"/>
                <w:u w:val="none"/>
                <w:lang w:val="en-US" w:eastAsia="zh-CN" w:bidi="ar"/>
              </w:rPr>
              <w:t>台</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1"/>
                <w:szCs w:val="21"/>
                <w:highlight w:val="none"/>
              </w:rPr>
            </w:pPr>
            <w:r>
              <w:rPr>
                <w:rFonts w:hint="eastAsia" w:ascii="宋体" w:hAnsi="宋体" w:eastAsia="宋体" w:cs="宋体"/>
                <w:i w:val="0"/>
                <w:color w:val="000000"/>
                <w:kern w:val="0"/>
                <w:sz w:val="22"/>
                <w:szCs w:val="22"/>
                <w:u w:val="none"/>
                <w:lang w:val="en-US" w:eastAsia="zh-CN" w:bidi="ar"/>
              </w:rPr>
              <w:t>8</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269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56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★付款方式：</w:t>
      </w:r>
      <w:r>
        <w:rPr>
          <w:rFonts w:hint="eastAsia" w:ascii="宋体" w:hAnsi="宋体"/>
          <w:sz w:val="24"/>
        </w:rPr>
        <w:t>合同签订后预付合同总价的30%款项作为预付款；全部货物货到现场并经双方验收合格签字和收到供方相关的技术资料后15天内支付至结算价的95%款项，同时余下结算价的5%作为质保金，质保期</w:t>
      </w:r>
      <w:r>
        <w:rPr>
          <w:rFonts w:hint="eastAsia" w:ascii="宋体" w:hAnsi="宋体"/>
          <w:sz w:val="24"/>
          <w:lang w:val="en-US" w:eastAsia="zh-CN"/>
        </w:rPr>
        <w:t>1年</w:t>
      </w:r>
      <w:r>
        <w:rPr>
          <w:rFonts w:hint="eastAsia" w:ascii="宋体" w:hAnsi="宋体"/>
          <w:sz w:val="24"/>
        </w:rPr>
        <w:t>，质保期满供方履行完质保期义务后付清余款。付款前供方开具相应金额增值税(含13%增值税)专用发票给需方。</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1"/>
          <w:szCs w:val="21"/>
          <w:highlight w:val="none"/>
          <w:lang w:val="en-US" w:eastAsia="zh-CN"/>
        </w:rPr>
        <w:t>冷量表、流量计表头材料采购包组一</w:t>
      </w:r>
    </w:p>
    <w:tbl>
      <w:tblPr>
        <w:tblStyle w:val="5"/>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1"/>
          <w:szCs w:val="21"/>
          <w:highlight w:val="none"/>
          <w:lang w:val="en-US" w:eastAsia="zh-CN"/>
        </w:rPr>
        <w:t>冷量表、流量计表头材料采购包组二</w:t>
      </w:r>
    </w:p>
    <w:tbl>
      <w:tblPr>
        <w:tblStyle w:val="5"/>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5"/>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1"/>
          <w:szCs w:val="21"/>
          <w:highlight w:val="none"/>
          <w:lang w:val="en-US" w:eastAsia="zh-CN"/>
        </w:rPr>
        <w:t>冷量表、流量计表头材料采购包组</w:t>
      </w:r>
      <w:r>
        <w:rPr>
          <w:rFonts w:hint="eastAsia" w:ascii="宋体" w:hAnsi="宋体"/>
          <w:highlight w:val="none"/>
          <w:lang w:val="en-US" w:eastAsia="zh-CN"/>
        </w:rPr>
        <w:t>一</w:t>
      </w:r>
      <w:r>
        <w:rPr>
          <w:rFonts w:hint="eastAsia" w:ascii="宋体" w:hAnsi="宋体"/>
          <w:b w:val="0"/>
          <w:sz w:val="21"/>
          <w:szCs w:val="21"/>
          <w:highlight w:val="none"/>
          <w:lang w:val="en-US" w:eastAsia="zh-CN"/>
        </w:rPr>
        <w:t>冷量表材料</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6"/>
              <w:ind w:firstLine="0" w:firstLineChars="0"/>
              <w:rPr>
                <w:rFonts w:ascii="宋体" w:hAnsi="宋体"/>
                <w:sz w:val="18"/>
                <w:szCs w:val="18"/>
                <w:highlight w:val="none"/>
              </w:rPr>
            </w:pPr>
            <w:r>
              <w:rPr>
                <w:rFonts w:hint="eastAsia" w:ascii="宋体" w:hAnsi="宋体"/>
                <w:sz w:val="18"/>
                <w:szCs w:val="18"/>
                <w:highlight w:val="none"/>
              </w:rPr>
              <w:t>采购需求 五、商务要求（一）★付款方式：合同签订后预付合同总价的30%款项作为预付款；全部货物货到现场安装调试并经双方验收合格签字和收到供方相关的技术资料后15天内支付至结算价的95%款项，同时余下结算价的5%作为质保金，质保期为</w:t>
            </w:r>
            <w:r>
              <w:rPr>
                <w:rFonts w:hint="eastAsia" w:ascii="宋体" w:hAnsi="宋体"/>
                <w:sz w:val="18"/>
                <w:szCs w:val="18"/>
                <w:highlight w:val="none"/>
                <w:lang w:val="en-US" w:eastAsia="zh-CN"/>
              </w:rPr>
              <w:t>2</w:t>
            </w:r>
            <w:r>
              <w:rPr>
                <w:rFonts w:hint="eastAsia" w:ascii="宋体" w:hAnsi="宋体"/>
                <w:sz w:val="18"/>
                <w:szCs w:val="18"/>
                <w:highlight w:val="none"/>
              </w:rPr>
              <w:t>年，质保期满供方履行完质保期义务后付清余款。付款前供方开具相应金额增值税(含13%增值税)专用发票给需方。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1"/>
          <w:szCs w:val="21"/>
          <w:highlight w:val="none"/>
          <w:lang w:val="en-US" w:eastAsia="zh-CN"/>
        </w:rPr>
        <w:t>冷量表、流量计表头材料采购包组二流量计表头材料</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6"/>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合同签订后预付合同总价的30%款项作为预付款；全部货物货到现场安装调试并经双方验收合格签字和收到供方相关的技术资料后15天内支付至结算价的95%款项，同时余下结算价的5%作为质保金，质保期为</w:t>
            </w:r>
            <w:r>
              <w:rPr>
                <w:rFonts w:hint="eastAsia" w:ascii="宋体" w:hAnsi="宋体"/>
                <w:sz w:val="18"/>
                <w:szCs w:val="18"/>
                <w:highlight w:val="none"/>
                <w:lang w:val="en-US" w:eastAsia="zh-CN"/>
              </w:rPr>
              <w:t>1</w:t>
            </w:r>
            <w:r>
              <w:rPr>
                <w:rFonts w:hint="eastAsia" w:ascii="宋体" w:hAnsi="宋体"/>
                <w:sz w:val="18"/>
                <w:szCs w:val="18"/>
                <w:highlight w:val="none"/>
              </w:rPr>
              <w:t>年，质保期满供方履行完质保期义务后付清余款。付款前供方开具相应金额增值税(含13%增值税)专用发票给需方。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w:t>
      </w:r>
      <w:r>
        <w:rPr>
          <w:rFonts w:hint="eastAsia" w:ascii="宋体" w:hAnsi="宋体"/>
          <w:highlight w:val="none"/>
        </w:rPr>
        <w:t>年  月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154A9"/>
    <w:multiLevelType w:val="singleLevel"/>
    <w:tmpl w:val="9EA154A9"/>
    <w:lvl w:ilvl="0" w:tentative="0">
      <w:start w:val="1"/>
      <w:numFmt w:val="decimal"/>
      <w:suff w:val="nothing"/>
      <w:lvlText w:val="%1．"/>
      <w:lvlJc w:val="left"/>
      <w:pPr>
        <w:ind w:left="0" w:firstLine="400"/>
      </w:pPr>
      <w:rPr>
        <w:rFonts w:hint="default"/>
      </w:rPr>
    </w:lvl>
  </w:abstractNum>
  <w:abstractNum w:abstractNumId="1">
    <w:nsid w:val="A69E6A72"/>
    <w:multiLevelType w:val="singleLevel"/>
    <w:tmpl w:val="A69E6A72"/>
    <w:lvl w:ilvl="0" w:tentative="0">
      <w:start w:val="1"/>
      <w:numFmt w:val="decimal"/>
      <w:suff w:val="nothing"/>
      <w:lvlText w:val="%1．"/>
      <w:lvlJc w:val="left"/>
      <w:pPr>
        <w:ind w:left="0" w:firstLine="400"/>
      </w:pPr>
      <w:rPr>
        <w:rFonts w:hint="default"/>
      </w:rPr>
    </w:lvl>
  </w:abstractNum>
  <w:abstractNum w:abstractNumId="2">
    <w:nsid w:val="A8E61C11"/>
    <w:multiLevelType w:val="singleLevel"/>
    <w:tmpl w:val="A8E61C11"/>
    <w:lvl w:ilvl="0" w:tentative="0">
      <w:start w:val="1"/>
      <w:numFmt w:val="decimal"/>
      <w:suff w:val="nothing"/>
      <w:lvlText w:val="%1．"/>
      <w:lvlJc w:val="left"/>
      <w:pPr>
        <w:ind w:left="0" w:firstLine="400"/>
      </w:pPr>
      <w:rPr>
        <w:rFonts w:hint="default"/>
      </w:rPr>
    </w:lvl>
  </w:abstractNum>
  <w:abstractNum w:abstractNumId="3">
    <w:nsid w:val="AC5412CC"/>
    <w:multiLevelType w:val="singleLevel"/>
    <w:tmpl w:val="AC5412CC"/>
    <w:lvl w:ilvl="0" w:tentative="0">
      <w:start w:val="1"/>
      <w:numFmt w:val="decimal"/>
      <w:suff w:val="nothing"/>
      <w:lvlText w:val="%1．"/>
      <w:lvlJc w:val="left"/>
      <w:pPr>
        <w:ind w:left="0" w:firstLine="400"/>
      </w:pPr>
      <w:rPr>
        <w:rFonts w:hint="default"/>
      </w:rPr>
    </w:lvl>
  </w:abstractNum>
  <w:abstractNum w:abstractNumId="4">
    <w:nsid w:val="B2FDB21B"/>
    <w:multiLevelType w:val="multilevel"/>
    <w:tmpl w:val="B2FDB21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4BBF659"/>
    <w:multiLevelType w:val="singleLevel"/>
    <w:tmpl w:val="C4BBF659"/>
    <w:lvl w:ilvl="0" w:tentative="0">
      <w:start w:val="3"/>
      <w:numFmt w:val="chineseCounting"/>
      <w:suff w:val="nothing"/>
      <w:lvlText w:val="（%1）"/>
      <w:lvlJc w:val="left"/>
      <w:rPr>
        <w:rFonts w:hint="eastAsia"/>
      </w:rPr>
    </w:lvl>
  </w:abstractNum>
  <w:abstractNum w:abstractNumId="6">
    <w:nsid w:val="CE827645"/>
    <w:multiLevelType w:val="singleLevel"/>
    <w:tmpl w:val="CE827645"/>
    <w:lvl w:ilvl="0" w:tentative="0">
      <w:start w:val="1"/>
      <w:numFmt w:val="chineseCounting"/>
      <w:suff w:val="nothing"/>
      <w:lvlText w:val="%1、"/>
      <w:lvlJc w:val="left"/>
      <w:pPr>
        <w:ind w:left="0" w:firstLine="420"/>
      </w:pPr>
      <w:rPr>
        <w:rFonts w:hint="eastAsia"/>
      </w:rPr>
    </w:lvl>
  </w:abstractNum>
  <w:abstractNum w:abstractNumId="7">
    <w:nsid w:val="CED047D1"/>
    <w:multiLevelType w:val="singleLevel"/>
    <w:tmpl w:val="CED047D1"/>
    <w:lvl w:ilvl="0" w:tentative="0">
      <w:start w:val="1"/>
      <w:numFmt w:val="decimal"/>
      <w:suff w:val="nothing"/>
      <w:lvlText w:val="%1．"/>
      <w:lvlJc w:val="left"/>
      <w:pPr>
        <w:ind w:left="26" w:firstLine="400"/>
      </w:pPr>
      <w:rPr>
        <w:rFonts w:hint="default"/>
      </w:rPr>
    </w:lvl>
  </w:abstractNum>
  <w:abstractNum w:abstractNumId="8">
    <w:nsid w:val="DF255DAF"/>
    <w:multiLevelType w:val="singleLevel"/>
    <w:tmpl w:val="DF255DAF"/>
    <w:lvl w:ilvl="0" w:tentative="0">
      <w:start w:val="1"/>
      <w:numFmt w:val="decimal"/>
      <w:suff w:val="nothing"/>
      <w:lvlText w:val="%1．"/>
      <w:lvlJc w:val="left"/>
      <w:pPr>
        <w:ind w:left="0" w:firstLine="400"/>
      </w:pPr>
      <w:rPr>
        <w:rFonts w:hint="default"/>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33E41F94"/>
    <w:multiLevelType w:val="singleLevel"/>
    <w:tmpl w:val="33E41F94"/>
    <w:lvl w:ilvl="0" w:tentative="0">
      <w:start w:val="1"/>
      <w:numFmt w:val="chineseCounting"/>
      <w:suff w:val="nothing"/>
      <w:lvlText w:val="（%1）"/>
      <w:lvlJc w:val="left"/>
      <w:pPr>
        <w:ind w:left="0" w:firstLine="420"/>
      </w:pPr>
      <w:rPr>
        <w:rFonts w:hint="eastAsia"/>
      </w:rPr>
    </w:lvl>
  </w:abstractNum>
  <w:abstractNum w:abstractNumId="17">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8">
    <w:nsid w:val="4A9443A5"/>
    <w:multiLevelType w:val="singleLevel"/>
    <w:tmpl w:val="4A9443A5"/>
    <w:lvl w:ilvl="0" w:tentative="0">
      <w:start w:val="2"/>
      <w:numFmt w:val="decimal"/>
      <w:suff w:val="nothing"/>
      <w:lvlText w:val="%1、"/>
      <w:lvlJc w:val="left"/>
    </w:lvl>
  </w:abstractNum>
  <w:abstractNum w:abstractNumId="19">
    <w:nsid w:val="4BE37A69"/>
    <w:multiLevelType w:val="singleLevel"/>
    <w:tmpl w:val="4BE37A69"/>
    <w:lvl w:ilvl="0" w:tentative="0">
      <w:start w:val="1"/>
      <w:numFmt w:val="chineseCounting"/>
      <w:suff w:val="nothing"/>
      <w:lvlText w:val="（%1）"/>
      <w:lvlJc w:val="left"/>
      <w:pPr>
        <w:ind w:left="-136" w:firstLine="420"/>
      </w:pPr>
      <w:rPr>
        <w:rFonts w:hint="eastAsia"/>
        <w:lang w:val="en-US"/>
      </w:rPr>
    </w:lvl>
  </w:abstractNum>
  <w:abstractNum w:abstractNumId="2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5"/>
  </w:num>
  <w:num w:numId="2">
    <w:abstractNumId w:val="22"/>
  </w:num>
  <w:num w:numId="3">
    <w:abstractNumId w:val="12"/>
  </w:num>
  <w:num w:numId="4">
    <w:abstractNumId w:val="18"/>
  </w:num>
  <w:num w:numId="5">
    <w:abstractNumId w:val="5"/>
  </w:num>
  <w:num w:numId="6">
    <w:abstractNumId w:val="27"/>
  </w:num>
  <w:num w:numId="7">
    <w:abstractNumId w:val="15"/>
  </w:num>
  <w:num w:numId="8">
    <w:abstractNumId w:val="11"/>
  </w:num>
  <w:num w:numId="9">
    <w:abstractNumId w:val="14"/>
  </w:num>
  <w:num w:numId="10">
    <w:abstractNumId w:val="13"/>
  </w:num>
  <w:num w:numId="11">
    <w:abstractNumId w:val="29"/>
  </w:num>
  <w:num w:numId="12">
    <w:abstractNumId w:val="28"/>
  </w:num>
  <w:num w:numId="13">
    <w:abstractNumId w:val="30"/>
  </w:num>
  <w:num w:numId="14">
    <w:abstractNumId w:val="10"/>
  </w:num>
  <w:num w:numId="15">
    <w:abstractNumId w:val="24"/>
  </w:num>
  <w:num w:numId="16">
    <w:abstractNumId w:val="26"/>
  </w:num>
  <w:num w:numId="17">
    <w:abstractNumId w:val="20"/>
  </w:num>
  <w:num w:numId="18">
    <w:abstractNumId w:val="17"/>
  </w:num>
  <w:num w:numId="19">
    <w:abstractNumId w:val="9"/>
  </w:num>
  <w:num w:numId="20">
    <w:abstractNumId w:val="6"/>
  </w:num>
  <w:num w:numId="21">
    <w:abstractNumId w:val="19"/>
  </w:num>
  <w:num w:numId="22">
    <w:abstractNumId w:val="3"/>
  </w:num>
  <w:num w:numId="23">
    <w:abstractNumId w:val="7"/>
  </w:num>
  <w:num w:numId="24">
    <w:abstractNumId w:val="8"/>
  </w:num>
  <w:num w:numId="25">
    <w:abstractNumId w:val="0"/>
  </w:num>
  <w:num w:numId="26">
    <w:abstractNumId w:val="2"/>
  </w:num>
  <w:num w:numId="27">
    <w:abstractNumId w:val="16"/>
  </w:num>
  <w:num w:numId="28">
    <w:abstractNumId w:val="1"/>
  </w:num>
  <w:num w:numId="29">
    <w:abstractNumId w:val="23"/>
  </w:num>
  <w:num w:numId="30">
    <w:abstractNumId w:val="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0659"/>
    <w:rsid w:val="1C326EE2"/>
    <w:rsid w:val="219C5AD0"/>
    <w:rsid w:val="21EF441B"/>
    <w:rsid w:val="2AC216B9"/>
    <w:rsid w:val="338220BD"/>
    <w:rsid w:val="36A7666B"/>
    <w:rsid w:val="5349618D"/>
    <w:rsid w:val="53DC470C"/>
    <w:rsid w:val="55C8186D"/>
    <w:rsid w:val="605F149E"/>
    <w:rsid w:val="6134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4">
    <w:name w:val="Hyperlink"/>
    <w:basedOn w:val="3"/>
    <w:unhideWhenUsed/>
    <w:qFormat/>
    <w:uiPriority w:val="99"/>
    <w:rPr>
      <w:color w:val="0000FF"/>
      <w:u w:val="single"/>
    </w:rPr>
  </w:style>
  <w:style w:type="paragraph" w:customStyle="1" w:styleId="6">
    <w:name w:val="列出段落1"/>
    <w:basedOn w:val="1"/>
    <w:unhideWhenUsed/>
    <w:qFormat/>
    <w:uiPriority w:val="0"/>
    <w:pPr>
      <w:ind w:firstLine="420" w:firstLineChars="200"/>
    </w:pPr>
  </w:style>
  <w:style w:type="paragraph" w:styleId="7">
    <w:name w:val="List Paragraph"/>
    <w:basedOn w:val="1"/>
    <w:unhideWhenUsed/>
    <w:qFormat/>
    <w:uiPriority w:val="34"/>
    <w:pPr>
      <w:ind w:firstLine="420" w:firstLineChars="200"/>
    </w:pPr>
  </w:style>
  <w:style w:type="character" w:customStyle="1" w:styleId="8">
    <w:name w:val="font11"/>
    <w:basedOn w:val="3"/>
    <w:qFormat/>
    <w:uiPriority w:val="0"/>
    <w:rPr>
      <w:rFonts w:hint="eastAsia" w:ascii="宋体" w:hAnsi="宋体" w:eastAsia="宋体" w:cs="宋体"/>
      <w:color w:val="000000"/>
      <w:sz w:val="22"/>
      <w:szCs w:val="22"/>
      <w:u w:val="none"/>
    </w:rPr>
  </w:style>
  <w:style w:type="character" w:customStyle="1" w:styleId="9">
    <w:name w:val="font01"/>
    <w:basedOn w:val="3"/>
    <w:qFormat/>
    <w:uiPriority w:val="0"/>
    <w:rPr>
      <w:rFonts w:hint="eastAsia" w:ascii="宋体" w:hAnsi="宋体" w:eastAsia="宋体" w:cs="宋体"/>
      <w:color w:val="FF0000"/>
      <w:sz w:val="22"/>
      <w:szCs w:val="22"/>
      <w:u w:val="none"/>
    </w:rPr>
  </w:style>
  <w:style w:type="character" w:customStyle="1" w:styleId="10">
    <w:name w:val="font2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2022-08-09T04:02:02Z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