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0"/>
        </w:tabs>
        <w:spacing w:line="360" w:lineRule="auto"/>
        <w:ind w:firstLine="1325" w:firstLineChars="300"/>
        <w:rPr>
          <w:b/>
          <w:sz w:val="44"/>
          <w:szCs w:val="44"/>
        </w:rPr>
      </w:pPr>
      <w:r>
        <w:rPr>
          <w:b/>
          <w:sz w:val="44"/>
          <w:szCs w:val="44"/>
        </w:rPr>
        <w:t>广州大学城投资经营管理有限公司</w:t>
      </w:r>
    </w:p>
    <w:p>
      <w:pPr>
        <w:tabs>
          <w:tab w:val="left" w:pos="720"/>
        </w:tabs>
        <w:spacing w:line="360" w:lineRule="auto"/>
        <w:jc w:val="center"/>
        <w:rPr>
          <w:b/>
          <w:sz w:val="44"/>
          <w:szCs w:val="44"/>
        </w:rPr>
      </w:pPr>
      <w:r>
        <w:rPr>
          <w:rFonts w:hint="eastAsia"/>
          <w:b/>
          <w:sz w:val="44"/>
          <w:szCs w:val="44"/>
        </w:rPr>
        <w:t>生产现场除“四害”消杀白蚁项目竞选文件</w:t>
      </w:r>
    </w:p>
    <w:p>
      <w:pPr>
        <w:tabs>
          <w:tab w:val="left" w:pos="540"/>
          <w:tab w:val="left" w:pos="720"/>
        </w:tabs>
        <w:spacing w:line="560" w:lineRule="exact"/>
        <w:ind w:firstLine="562" w:firstLineChars="200"/>
        <w:rPr>
          <w:b/>
          <w:sz w:val="28"/>
          <w:szCs w:val="28"/>
        </w:rPr>
      </w:pPr>
    </w:p>
    <w:p>
      <w:pPr>
        <w:tabs>
          <w:tab w:val="left" w:pos="540"/>
          <w:tab w:val="left" w:pos="720"/>
        </w:tabs>
        <w:spacing w:line="520" w:lineRule="exact"/>
        <w:ind w:firstLine="562" w:firstLineChars="200"/>
        <w:rPr>
          <w:b/>
          <w:sz w:val="28"/>
          <w:szCs w:val="28"/>
          <w:highlight w:val="none"/>
        </w:rPr>
      </w:pPr>
      <w:r>
        <w:rPr>
          <w:rFonts w:hint="eastAsia"/>
          <w:b/>
          <w:sz w:val="28"/>
          <w:szCs w:val="28"/>
        </w:rPr>
        <w:t>一、项目</w:t>
      </w:r>
      <w:r>
        <w:rPr>
          <w:rFonts w:hint="eastAsia"/>
          <w:b/>
          <w:sz w:val="28"/>
          <w:szCs w:val="28"/>
          <w:highlight w:val="none"/>
        </w:rPr>
        <w:t>基本情况</w:t>
      </w:r>
    </w:p>
    <w:p>
      <w:pPr>
        <w:spacing w:line="520" w:lineRule="exact"/>
        <w:ind w:firstLine="560" w:firstLineChars="200"/>
        <w:rPr>
          <w:sz w:val="28"/>
          <w:szCs w:val="28"/>
          <w:highlight w:val="none"/>
        </w:rPr>
      </w:pPr>
      <w:r>
        <w:rPr>
          <w:rFonts w:hint="eastAsia"/>
          <w:sz w:val="28"/>
          <w:szCs w:val="28"/>
          <w:highlight w:val="none"/>
        </w:rPr>
        <w:t>（一）项目名称：生产现场除“四害”消杀白蚁项目</w:t>
      </w:r>
    </w:p>
    <w:p>
      <w:pPr>
        <w:spacing w:line="520" w:lineRule="exact"/>
        <w:ind w:firstLine="560" w:firstLineChars="200"/>
        <w:rPr>
          <w:sz w:val="28"/>
          <w:szCs w:val="28"/>
          <w:highlight w:val="none"/>
        </w:rPr>
      </w:pPr>
      <w:r>
        <w:rPr>
          <w:rFonts w:hint="eastAsia"/>
          <w:sz w:val="28"/>
          <w:szCs w:val="28"/>
          <w:highlight w:val="none"/>
        </w:rPr>
        <w:t>（二）项目地点：广州大学城</w:t>
      </w:r>
    </w:p>
    <w:p>
      <w:pPr>
        <w:spacing w:line="520" w:lineRule="exact"/>
        <w:ind w:firstLine="560" w:firstLineChars="200"/>
        <w:rPr>
          <w:rFonts w:hint="eastAsia"/>
          <w:sz w:val="28"/>
          <w:szCs w:val="28"/>
          <w:highlight w:val="none"/>
        </w:rPr>
      </w:pPr>
      <w:r>
        <w:rPr>
          <w:rFonts w:hint="eastAsia"/>
          <w:sz w:val="28"/>
          <w:szCs w:val="28"/>
          <w:highlight w:val="none"/>
        </w:rPr>
        <w:t>（三）采购限价</w:t>
      </w:r>
      <w:r>
        <w:rPr>
          <w:rFonts w:hint="eastAsia"/>
          <w:sz w:val="28"/>
          <w:szCs w:val="28"/>
          <w:highlight w:val="none"/>
          <w:lang w:eastAsia="zh-CN"/>
        </w:rPr>
        <w:t>（</w:t>
      </w:r>
      <w:r>
        <w:rPr>
          <w:rFonts w:hint="eastAsia"/>
          <w:sz w:val="28"/>
          <w:szCs w:val="28"/>
          <w:highlight w:val="none"/>
          <w:lang w:val="en-US" w:eastAsia="zh-CN"/>
        </w:rPr>
        <w:t>人民币</w:t>
      </w:r>
      <w:r>
        <w:rPr>
          <w:rFonts w:hint="eastAsia"/>
          <w:sz w:val="28"/>
          <w:szCs w:val="28"/>
          <w:highlight w:val="none"/>
          <w:lang w:eastAsia="zh-CN"/>
        </w:rPr>
        <w:t>）</w:t>
      </w:r>
      <w:r>
        <w:rPr>
          <w:rFonts w:hint="eastAsia"/>
          <w:sz w:val="28"/>
          <w:szCs w:val="28"/>
          <w:highlight w:val="none"/>
        </w:rPr>
        <w:t>：</w:t>
      </w:r>
    </w:p>
    <w:p>
      <w:pPr>
        <w:spacing w:line="520" w:lineRule="exact"/>
        <w:ind w:firstLine="840" w:firstLineChars="300"/>
        <w:rPr>
          <w:rFonts w:hint="eastAsia"/>
          <w:color w:val="FF0000"/>
          <w:sz w:val="28"/>
          <w:szCs w:val="28"/>
          <w:highlight w:val="none"/>
          <w:lang w:eastAsia="zh-CN"/>
        </w:rPr>
      </w:pPr>
      <w:r>
        <w:rPr>
          <w:rFonts w:hint="eastAsia"/>
          <w:color w:val="FF0000"/>
          <w:sz w:val="28"/>
          <w:szCs w:val="28"/>
          <w:highlight w:val="none"/>
          <w:lang w:val="en-US" w:eastAsia="zh-CN"/>
        </w:rPr>
        <w:t>1、除“四害”</w:t>
      </w:r>
      <w:r>
        <w:rPr>
          <w:rFonts w:hint="eastAsia"/>
          <w:color w:val="FF0000"/>
          <w:sz w:val="28"/>
          <w:szCs w:val="28"/>
          <w:highlight w:val="none"/>
          <w:lang w:eastAsia="zh-CN"/>
        </w:rPr>
        <w:t>：</w:t>
      </w:r>
      <w:r>
        <w:rPr>
          <w:rFonts w:hint="eastAsia"/>
          <w:color w:val="FF0000"/>
          <w:sz w:val="28"/>
          <w:szCs w:val="28"/>
          <w:highlight w:val="none"/>
          <w:lang w:val="en-US" w:eastAsia="zh-CN"/>
        </w:rPr>
        <w:t>16</w:t>
      </w:r>
      <w:r>
        <w:rPr>
          <w:rFonts w:hint="eastAsia"/>
          <w:color w:val="FF0000"/>
          <w:sz w:val="28"/>
          <w:szCs w:val="28"/>
          <w:highlight w:val="none"/>
        </w:rPr>
        <w:t>万元</w:t>
      </w:r>
      <w:r>
        <w:rPr>
          <w:rFonts w:hint="eastAsia"/>
          <w:color w:val="FF0000"/>
          <w:sz w:val="28"/>
          <w:szCs w:val="28"/>
          <w:highlight w:val="none"/>
          <w:lang w:eastAsia="zh-CN"/>
        </w:rPr>
        <w:t>；</w:t>
      </w:r>
    </w:p>
    <w:p>
      <w:pPr>
        <w:spacing w:line="520" w:lineRule="exact"/>
        <w:ind w:firstLine="840" w:firstLineChars="300"/>
        <w:rPr>
          <w:rFonts w:hint="default" w:eastAsia="宋体"/>
          <w:color w:val="FF0000"/>
          <w:sz w:val="28"/>
          <w:szCs w:val="28"/>
          <w:highlight w:val="none"/>
          <w:lang w:val="en-US" w:eastAsia="zh-CN"/>
        </w:rPr>
      </w:pPr>
      <w:r>
        <w:rPr>
          <w:rFonts w:hint="eastAsia"/>
          <w:color w:val="FF0000"/>
          <w:sz w:val="28"/>
          <w:szCs w:val="28"/>
          <w:highlight w:val="none"/>
          <w:lang w:val="en-US" w:eastAsia="zh-CN"/>
        </w:rPr>
        <w:t>2、消杀白蚁：280元/点</w:t>
      </w:r>
      <w:r>
        <w:rPr>
          <w:rFonts w:hint="eastAsia"/>
          <w:color w:val="FF0000"/>
          <w:sz w:val="28"/>
          <w:szCs w:val="28"/>
          <w:highlight w:val="none"/>
          <w:lang w:eastAsia="zh-CN"/>
        </w:rPr>
        <w:t>。</w:t>
      </w:r>
    </w:p>
    <w:p>
      <w:pPr>
        <w:spacing w:line="520" w:lineRule="exact"/>
        <w:ind w:firstLine="560" w:firstLineChars="200"/>
        <w:rPr>
          <w:sz w:val="28"/>
          <w:szCs w:val="28"/>
          <w:highlight w:val="none"/>
        </w:rPr>
      </w:pPr>
      <w:r>
        <w:rPr>
          <w:rFonts w:hint="eastAsia"/>
          <w:sz w:val="28"/>
          <w:szCs w:val="28"/>
          <w:highlight w:val="none"/>
        </w:rPr>
        <w:t>（四）项目概况</w:t>
      </w:r>
    </w:p>
    <w:p>
      <w:pPr>
        <w:tabs>
          <w:tab w:val="left" w:pos="0"/>
          <w:tab w:val="left" w:pos="720"/>
        </w:tabs>
        <w:spacing w:line="520" w:lineRule="exact"/>
        <w:ind w:firstLine="560" w:firstLineChars="200"/>
        <w:rPr>
          <w:sz w:val="28"/>
          <w:szCs w:val="28"/>
          <w:highlight w:val="none"/>
        </w:rPr>
      </w:pPr>
      <w:r>
        <w:rPr>
          <w:rFonts w:hint="eastAsia" w:asciiTheme="minorEastAsia" w:hAnsiTheme="minorEastAsia"/>
          <w:sz w:val="28"/>
          <w:szCs w:val="28"/>
          <w:highlight w:val="none"/>
        </w:rPr>
        <w:t>按采购人提供的竞选文件等资料，承包生产现场除“四害”</w:t>
      </w:r>
      <w:r>
        <w:rPr>
          <w:rFonts w:hint="eastAsia" w:asciiTheme="minorEastAsia" w:hAnsiTheme="minorEastAsia"/>
          <w:sz w:val="28"/>
          <w:szCs w:val="28"/>
          <w:highlight w:val="none"/>
          <w:lang w:eastAsia="zh-CN"/>
        </w:rPr>
        <w:t>、</w:t>
      </w:r>
      <w:r>
        <w:rPr>
          <w:rFonts w:hint="eastAsia" w:asciiTheme="minorEastAsia" w:hAnsiTheme="minorEastAsia"/>
          <w:sz w:val="28"/>
          <w:szCs w:val="28"/>
          <w:highlight w:val="none"/>
        </w:rPr>
        <w:t>消杀白蚁项目竞选过程中发布的竞选文件所包含的全部内容具体以竞选文件及相关资料为准</w:t>
      </w:r>
      <w:r>
        <w:rPr>
          <w:sz w:val="28"/>
          <w:szCs w:val="28"/>
          <w:highlight w:val="none"/>
        </w:rPr>
        <w:t>。</w:t>
      </w:r>
    </w:p>
    <w:p>
      <w:pPr>
        <w:tabs>
          <w:tab w:val="left" w:pos="0"/>
          <w:tab w:val="left" w:pos="720"/>
        </w:tabs>
        <w:spacing w:line="520" w:lineRule="exact"/>
        <w:ind w:firstLine="562" w:firstLineChars="200"/>
        <w:rPr>
          <w:b/>
          <w:sz w:val="28"/>
          <w:szCs w:val="28"/>
          <w:highlight w:val="none"/>
        </w:rPr>
      </w:pPr>
      <w:r>
        <w:rPr>
          <w:rFonts w:hint="eastAsia"/>
          <w:b/>
          <w:sz w:val="28"/>
          <w:szCs w:val="28"/>
          <w:highlight w:val="none"/>
        </w:rPr>
        <w:t>二、合格投标人资格要求</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（一）必须是具有独立承担民事责任能力、在中华人民共和国境内注册的法人；</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（二）具备有效的工商营业执照、企业法人组织机构代码证书、税务登记证书（或三证合一）；</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（三）已办理合法税务登记，具有开具相应增值税专用发票资格；</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（四）同时具备有害生物防制服务资质证和白蚁防治资质证书；</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（五）投标人近3年内(20</w:t>
      </w:r>
      <w:r>
        <w:rPr>
          <w:sz w:val="28"/>
          <w:szCs w:val="28"/>
          <w:highlight w:val="none"/>
        </w:rPr>
        <w:t>19</w:t>
      </w:r>
      <w:r>
        <w:rPr>
          <w:rFonts w:hint="eastAsia"/>
          <w:sz w:val="28"/>
          <w:szCs w:val="28"/>
          <w:highlight w:val="none"/>
        </w:rPr>
        <w:t>年1月1日至今)完成过质量合格的类似项目业绩（需提供合同等相关证明材料复印件）；</w:t>
      </w:r>
    </w:p>
    <w:p>
      <w:pPr>
        <w:tabs>
          <w:tab w:val="left" w:pos="0"/>
          <w:tab w:val="left" w:pos="720"/>
        </w:tabs>
        <w:spacing w:line="520" w:lineRule="exact"/>
        <w:ind w:firstLine="560" w:firstLineChars="200"/>
        <w:rPr>
          <w:sz w:val="28"/>
          <w:szCs w:val="28"/>
          <w:highlight w:val="none"/>
        </w:rPr>
      </w:pPr>
      <w:r>
        <w:rPr>
          <w:rFonts w:hint="eastAsia"/>
          <w:sz w:val="28"/>
          <w:szCs w:val="28"/>
          <w:highlight w:val="none"/>
        </w:rPr>
        <w:t>（六）不接受联合体报价。</w:t>
      </w:r>
    </w:p>
    <w:p>
      <w:pPr>
        <w:tabs>
          <w:tab w:val="left" w:pos="0"/>
          <w:tab w:val="left" w:pos="720"/>
        </w:tabs>
        <w:spacing w:line="520" w:lineRule="exact"/>
        <w:ind w:firstLine="562" w:firstLineChars="200"/>
        <w:rPr>
          <w:sz w:val="28"/>
          <w:szCs w:val="28"/>
          <w:highlight w:val="none"/>
        </w:rPr>
      </w:pPr>
      <w:r>
        <w:rPr>
          <w:rFonts w:hint="eastAsia" w:ascii="宋体" w:hAnsi="宋体"/>
          <w:b/>
          <w:sz w:val="28"/>
          <w:szCs w:val="28"/>
          <w:highlight w:val="none"/>
        </w:rPr>
        <w:t>三、服务内容及技术要求</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highlight w:val="none"/>
        </w:rPr>
        <w:t>（一）除“四害”防治消杀</w:t>
      </w:r>
      <w:r>
        <w:rPr>
          <w:rFonts w:hint="eastAsia" w:asciiTheme="minorEastAsia" w:hAnsiTheme="minorEastAsia" w:eastAsiaTheme="minorEastAsia"/>
          <w:sz w:val="28"/>
          <w:szCs w:val="28"/>
        </w:rPr>
        <w:t>范围</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过江隧道：隧道内仓及其出入口；14个热力分站：站内机房及其热站门口绿化区域；3个冷站：室外绿化区域、室内一层楼梯间、二层机房及机房内排水沟、监控室、冷却塔设备层、楼宇内所有办公</w:t>
      </w:r>
      <w:bookmarkStart w:id="1" w:name="_GoBack"/>
      <w:bookmarkEnd w:id="1"/>
      <w:r>
        <w:rPr>
          <w:rFonts w:hint="eastAsia" w:asciiTheme="minorEastAsia" w:hAnsiTheme="minorEastAsia" w:eastAsiaTheme="minorEastAsia"/>
          <w:sz w:val="28"/>
          <w:szCs w:val="28"/>
        </w:rPr>
        <w:t>室及休息室、投资公司材料仓库；综合管沟：一层监控中心、二层所有房间、管沟参观段、管沟楼宇周边范围区域及垃圾堆放点、绿化区域、排水渠；信息枢纽楼含附楼：各楼层租户室内、设备房室内、九楼员工饭堂及附楼4楼员工饭堂的蚊、蝇、蟑、鼠等的消杀及防治服务。</w:t>
      </w:r>
    </w:p>
    <w:p>
      <w:pPr>
        <w:numPr>
          <w:ilvl w:val="0"/>
          <w:numId w:val="1"/>
        </w:numPr>
        <w:spacing w:line="56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除“四害”防治消杀频次</w:t>
      </w:r>
    </w:p>
    <w:p>
      <w:pPr>
        <w:numPr>
          <w:ilvl w:val="0"/>
          <w:numId w:val="0"/>
        </w:numPr>
        <w:spacing w:line="56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１.蚊、蝇、蟑、鼠等的消杀及防治频次:3个冷站、14个热力站、综合管沟等，每年的4月至12月，共9个月，每月进行2次消杀服务,相当于每相隔15天进行一次消杀服务，合计18次消杀服务；每年1月至3月,共3个月，每月进行不少于1次消杀服务，合计不少于3次消杀服务。过江隧道每年按季定期进行4次消杀服务,分别在2月、5月、8月、11月进行消杀服务。</w:t>
      </w:r>
    </w:p>
    <w:p>
      <w:pPr>
        <w:numPr>
          <w:ilvl w:val="0"/>
          <w:numId w:val="0"/>
        </w:numPr>
        <w:spacing w:line="56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2.信息枢纽楼含附楼各租户室内、九楼员工饭堂及附楼4楼员工饭堂蟑螂特别多，是蟑螂、老鼠出来觅食、繁殖的地方，分阶段反复施药：6月份、8月份、12月份、次年2月、5月份各一次，为反复深度施药阶段，合计5次，属于最基本施药消杀次数，如果发现施药后还有蟑螂、老鼠出现，应及时立即进行加强施药消杀，不受限于常规次数，属施工补救措施，常规次数仍按照上述安排施工。饭堂及厨房用药时，一定要做好用药安全措施。</w:t>
      </w:r>
    </w:p>
    <w:p>
      <w:pPr>
        <w:numPr>
          <w:ilvl w:val="0"/>
          <w:numId w:val="0"/>
        </w:numPr>
        <w:spacing w:line="560" w:lineRule="exact"/>
        <w:ind w:firstLine="560" w:firstLineChars="200"/>
        <w:rPr>
          <w:rFonts w:hint="eastAsia" w:asciiTheme="minorEastAsia" w:hAnsiTheme="minorEastAsia" w:eastAsiaTheme="minorEastAsia" w:cstheme="minorEastAsia"/>
          <w:b w:val="0"/>
          <w:bCs w:val="0"/>
          <w:sz w:val="28"/>
          <w:szCs w:val="28"/>
        </w:rPr>
      </w:pPr>
      <w:r>
        <w:rPr>
          <w:rFonts w:hint="eastAsia" w:asciiTheme="minorEastAsia" w:hAnsiTheme="minorEastAsia" w:eastAsiaTheme="minorEastAsia" w:cstheme="minorEastAsia"/>
          <w:b w:val="0"/>
          <w:bCs w:val="0"/>
          <w:sz w:val="28"/>
          <w:szCs w:val="28"/>
        </w:rPr>
        <w:t>3.灭鼠消杀及防治频次：合同期内上述地点每月检查及加药服务不少于1次。</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（三）除“四害”技术要求</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蚊、蝇、蟑、鼠的防治工作主要采用滞留喷洒、常量喷洒、热雾烟熏等防治方法；鼠的防治采用“三饱和”、“一到位”的施药方法投放灭鼠毒谷。确保防治范围内的“四害”繁殖密度达到全国爱卫会除四害标准的要求；</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2、服务单位所使用的药物必须是具有资质的厂商生产的且为国家规定具有“三证”的药物，药品的生产、包装、销售、运输、使用均合法合规；</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3、工作人员要持证上岗，严格遵守除“四害”技术操作规程，文明作业；</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4、服务单位严禁使用急性灭鼠药物或其它明文禁用药物，如药物使用不当引起人畜中毒或其它责任事故的，应由</w:t>
      </w:r>
      <w:r>
        <w:rPr>
          <w:rFonts w:hint="eastAsia" w:asciiTheme="minorEastAsia" w:hAnsiTheme="minorEastAsia" w:eastAsiaTheme="minorEastAsia"/>
          <w:sz w:val="28"/>
          <w:szCs w:val="28"/>
          <w:lang w:val="en-US" w:eastAsia="zh-CN"/>
        </w:rPr>
        <w:t>施工</w:t>
      </w:r>
      <w:r>
        <w:rPr>
          <w:rFonts w:hint="eastAsia" w:asciiTheme="minorEastAsia" w:hAnsiTheme="minorEastAsia" w:eastAsiaTheme="minorEastAsia"/>
          <w:sz w:val="28"/>
          <w:szCs w:val="28"/>
        </w:rPr>
        <w:t>方承担责任；</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5、对于垃圾较多、积水等“四害”较为集中的地方，消杀密度应集中加强；</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6、在合同有效期内，蚊、蝇、蟑、鼠密度持续达到全国爱卫会除“四害”标准的要求。</w:t>
      </w:r>
    </w:p>
    <w:p>
      <w:pPr>
        <w:spacing w:line="56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四</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现场巡查</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施药后服务</w:t>
      </w:r>
      <w:r>
        <w:rPr>
          <w:rFonts w:hint="eastAsia" w:asciiTheme="minorEastAsia" w:hAnsiTheme="minorEastAsia" w:eastAsiaTheme="minorEastAsia"/>
          <w:sz w:val="28"/>
          <w:szCs w:val="28"/>
          <w:lang w:val="en-US" w:eastAsia="zh-CN"/>
        </w:rPr>
        <w:t>单位</w:t>
      </w:r>
      <w:r>
        <w:rPr>
          <w:rFonts w:hint="eastAsia" w:asciiTheme="minorEastAsia" w:hAnsiTheme="minorEastAsia" w:eastAsiaTheme="minorEastAsia"/>
          <w:sz w:val="28"/>
          <w:szCs w:val="28"/>
        </w:rPr>
        <w:t>应定期派人巡查,定期清理老鼠尸体,特别是一些检出难度较大的地方,且影响正常生产,必须派人处理。</w:t>
      </w:r>
    </w:p>
    <w:p>
      <w:pPr>
        <w:spacing w:line="560" w:lineRule="exact"/>
        <w:ind w:firstLine="560" w:firstLineChars="200"/>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五</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药物管理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服务人员带进的所有用药,必须每次随施工完成后,一并带走,不允许寄放在采购方任何地点,因用药剩余寄存所造成的责任由服务单位负责。</w:t>
      </w:r>
    </w:p>
    <w:p>
      <w:pPr>
        <w:spacing w:line="560" w:lineRule="exact"/>
        <w:ind w:firstLine="560" w:firstLineChars="200"/>
        <w:rPr>
          <w:rFonts w:asciiTheme="minorEastAsia" w:hAnsiTheme="minorEastAsia" w:eastAsiaTheme="minorEastAsia"/>
          <w:sz w:val="28"/>
          <w:szCs w:val="28"/>
          <w:highlight w:val="yellow"/>
        </w:rPr>
      </w:pP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lang w:val="en-US" w:eastAsia="zh-CN"/>
        </w:rPr>
        <w:t>六</w:t>
      </w:r>
      <w:r>
        <w:rPr>
          <w:rFonts w:hint="eastAsia" w:asciiTheme="minorEastAsia" w:hAnsiTheme="minorEastAsia" w:eastAsiaTheme="minorEastAsia"/>
          <w:sz w:val="28"/>
          <w:szCs w:val="28"/>
          <w:lang w:eastAsia="zh-CN"/>
        </w:rPr>
        <w:t>）</w:t>
      </w:r>
      <w:r>
        <w:rPr>
          <w:rFonts w:hint="eastAsia" w:asciiTheme="minorEastAsia" w:hAnsiTheme="minorEastAsia" w:eastAsiaTheme="minorEastAsia"/>
          <w:sz w:val="28"/>
          <w:szCs w:val="28"/>
        </w:rPr>
        <w:t>施放鼠药的地方,应有鼠饵屋、标识、标志。</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sz w:val="28"/>
          <w:szCs w:val="28"/>
          <w:lang w:val="en-US" w:eastAsia="zh-CN"/>
        </w:rPr>
        <w:t>七</w:t>
      </w:r>
      <w:r>
        <w:rPr>
          <w:rFonts w:hint="eastAsia" w:asciiTheme="minorEastAsia" w:hAnsiTheme="minorEastAsia" w:eastAsiaTheme="minorEastAsia"/>
          <w:sz w:val="28"/>
          <w:szCs w:val="28"/>
        </w:rPr>
        <w:t>）除“四害”行业控制卫生标准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1、灭蚊标准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（1）居民住宅、单位内外环境各种存水容器和积水中，蚊幼虫及蛹的阳性率不超过3％。</w:t>
      </w:r>
      <w:r>
        <w:rPr>
          <w:rFonts w:hint="eastAsia" w:asciiTheme="minorEastAsia" w:hAnsiTheme="minorEastAsia" w:eastAsiaTheme="minorEastAsia"/>
          <w:sz w:val="28"/>
          <w:szCs w:val="28"/>
        </w:rPr>
        <w:br w:type="textWrapping"/>
      </w:r>
      <w:r>
        <w:rPr>
          <w:rFonts w:hint="eastAsia" w:asciiTheme="minorEastAsia" w:hAnsiTheme="minorEastAsia" w:eastAsiaTheme="minorEastAsia"/>
          <w:sz w:val="28"/>
          <w:szCs w:val="28"/>
        </w:rPr>
        <w:t>  （2）用500ml收集勺采集城区内大中型水体中的蚊幼虫或蛹阳性率不超过3％，阳性勺内幼虫或蛹的平均数不超过5只。</w:t>
      </w:r>
      <w:r>
        <w:rPr>
          <w:rFonts w:hint="eastAsia" w:asciiTheme="minorEastAsia" w:hAnsiTheme="minorEastAsia" w:eastAsiaTheme="minorEastAsia"/>
          <w:sz w:val="28"/>
          <w:szCs w:val="28"/>
        </w:rPr>
        <w:br w:type="textWrapping"/>
      </w:r>
      <w:r>
        <w:rPr>
          <w:rFonts w:hint="eastAsia" w:asciiTheme="minorEastAsia" w:hAnsiTheme="minorEastAsia" w:eastAsiaTheme="minorEastAsia"/>
          <w:sz w:val="28"/>
          <w:szCs w:val="28"/>
        </w:rPr>
        <w:t>  （3）特殊场所白天人诱蚊30分钟，平均每人次诱获成蚊数不超过1只。</w:t>
      </w:r>
    </w:p>
    <w:p>
      <w:pPr>
        <w:spacing w:line="560" w:lineRule="exact"/>
        <w:ind w:firstLine="560" w:firstLineChars="200"/>
        <w:rPr>
          <w:rFonts w:hint="eastAsia" w:asciiTheme="minorEastAsia" w:hAnsiTheme="minorEastAsia" w:eastAsiaTheme="minorEastAsia"/>
          <w:sz w:val="28"/>
          <w:szCs w:val="28"/>
        </w:rPr>
      </w:pPr>
      <w:r>
        <w:rPr>
          <w:rFonts w:asciiTheme="minorEastAsia" w:hAnsiTheme="minorEastAsia" w:eastAsiaTheme="minorEastAsia"/>
          <w:sz w:val="28"/>
          <w:szCs w:val="28"/>
        </w:rPr>
        <w:t>2</w:t>
      </w:r>
      <w:r>
        <w:rPr>
          <w:rFonts w:hint="eastAsia" w:asciiTheme="minorEastAsia" w:hAnsiTheme="minorEastAsia" w:eastAsiaTheme="minorEastAsia"/>
          <w:sz w:val="28"/>
          <w:szCs w:val="28"/>
        </w:rPr>
        <w:t>、灭蝇标准</w:t>
      </w:r>
    </w:p>
    <w:p>
      <w:pPr>
        <w:spacing w:line="560" w:lineRule="exact"/>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lang w:val="en-US" w:eastAsia="zh-CN"/>
        </w:rPr>
        <w:t>1</w:t>
      </w:r>
      <w:r>
        <w:rPr>
          <w:rFonts w:hint="eastAsia" w:asciiTheme="minorEastAsia" w:hAnsiTheme="minorEastAsia" w:eastAsiaTheme="minorEastAsia" w:cstheme="minorEastAsia"/>
          <w:color w:val="000000"/>
          <w:kern w:val="0"/>
          <w:sz w:val="28"/>
          <w:szCs w:val="28"/>
          <w:lang w:eastAsia="zh-CN"/>
        </w:rPr>
        <w:t>）</w:t>
      </w:r>
      <w:r>
        <w:rPr>
          <w:rFonts w:hint="eastAsia" w:asciiTheme="minorEastAsia" w:hAnsiTheme="minorEastAsia" w:eastAsiaTheme="minorEastAsia" w:cstheme="minorEastAsia"/>
          <w:color w:val="000000"/>
          <w:kern w:val="0"/>
          <w:sz w:val="28"/>
          <w:szCs w:val="28"/>
        </w:rPr>
        <w:t>重点单位有蝇房间不超过1％，其它单位不超过3％，平均每阳性房间不超过3只；重点单位防蝇设施不合格房间不超过5％；加工、销售直接入口食品的场所不得有蝇。</w:t>
      </w:r>
      <w:r>
        <w:rPr>
          <w:rFonts w:hint="eastAsia" w:asciiTheme="minorEastAsia" w:hAnsiTheme="minorEastAsia" w:eastAsiaTheme="minorEastAsia" w:cstheme="minorEastAsia"/>
          <w:color w:val="000000"/>
          <w:kern w:val="0"/>
          <w:sz w:val="28"/>
          <w:szCs w:val="28"/>
        </w:rPr>
        <w:br w:type="textWrapping"/>
      </w:r>
      <w:r>
        <w:rPr>
          <w:rFonts w:hint="eastAsia" w:asciiTheme="minorEastAsia" w:hAnsiTheme="minorEastAsia" w:eastAsiaTheme="minorEastAsia" w:cstheme="minorEastAsia"/>
          <w:color w:val="000000"/>
          <w:kern w:val="0"/>
          <w:sz w:val="28"/>
          <w:szCs w:val="28"/>
          <w:lang w:val="en-US" w:eastAsia="zh-CN"/>
        </w:rPr>
        <w:t xml:space="preserve">  （2）</w:t>
      </w:r>
      <w:r>
        <w:rPr>
          <w:rFonts w:hint="eastAsia" w:asciiTheme="minorEastAsia" w:hAnsiTheme="minorEastAsia" w:eastAsiaTheme="minorEastAsia" w:cstheme="minorEastAsia"/>
          <w:color w:val="000000"/>
          <w:kern w:val="0"/>
          <w:sz w:val="28"/>
          <w:szCs w:val="28"/>
        </w:rPr>
        <w:t>蝇类孳生地得到有效治理，幼虫和蛹的检出率不超过3％。</w:t>
      </w:r>
    </w:p>
    <w:p>
      <w:pPr>
        <w:spacing w:line="560" w:lineRule="exact"/>
        <w:ind w:firstLine="560" w:firstLineChars="200"/>
        <w:rPr>
          <w:rFonts w:hint="eastAsia" w:asciiTheme="minorEastAsia" w:hAnsiTheme="minorEastAsia" w:eastAsiaTheme="minorEastAsia" w:cstheme="minorEastAsia"/>
          <w:color w:val="000000"/>
          <w:kern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rPr>
        <w:t>3、</w:t>
      </w:r>
      <w:r>
        <w:rPr>
          <w:rFonts w:hint="eastAsia" w:asciiTheme="minorEastAsia" w:hAnsiTheme="minorEastAsia" w:eastAsiaTheme="minorEastAsia" w:cstheme="minorEastAsia"/>
          <w:color w:val="000000"/>
          <w:kern w:val="0"/>
          <w:sz w:val="28"/>
          <w:szCs w:val="28"/>
        </w:rPr>
        <w:t>灭蟑螂标准</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（1）室内有蟑螂成虫或若虫阳性房间不超过3％，平均每间房大蠊不超过5只，小蠊不超过10只。</w:t>
      </w:r>
      <w:r>
        <w:rPr>
          <w:rFonts w:hint="eastAsia" w:asciiTheme="minorEastAsia" w:hAnsiTheme="minorEastAsia" w:eastAsiaTheme="minorEastAsia"/>
          <w:sz w:val="28"/>
          <w:szCs w:val="28"/>
        </w:rPr>
        <w:br w:type="textWrapping"/>
      </w:r>
      <w:r>
        <w:rPr>
          <w:rFonts w:hint="eastAsia" w:asciiTheme="minorEastAsia" w:hAnsiTheme="minorEastAsia" w:eastAsiaTheme="minorEastAsia"/>
          <w:sz w:val="28"/>
          <w:szCs w:val="28"/>
        </w:rPr>
        <w:t>  （2）有活蟑螂卵鞘房间不超过2％，平均每间房不超过4只。</w:t>
      </w:r>
      <w:r>
        <w:rPr>
          <w:rFonts w:hint="eastAsia" w:asciiTheme="minorEastAsia" w:hAnsiTheme="minorEastAsia" w:eastAsiaTheme="minorEastAsia"/>
          <w:sz w:val="28"/>
          <w:szCs w:val="28"/>
        </w:rPr>
        <w:br w:type="textWrapping"/>
      </w:r>
      <w:r>
        <w:rPr>
          <w:rFonts w:hint="eastAsia" w:asciiTheme="minorEastAsia" w:hAnsiTheme="minorEastAsia" w:eastAsiaTheme="minorEastAsia"/>
          <w:sz w:val="28"/>
          <w:szCs w:val="28"/>
        </w:rPr>
        <w:t>  （3）有蟑螂粪便、蜕皮等蟑迹的房间不超过5％。</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3、灭鼠标准</w:t>
      </w:r>
    </w:p>
    <w:p>
      <w:pPr>
        <w:spacing w:line="56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rPr>
        <w:t>（1）15平方米标准房间</w:t>
      </w:r>
      <w:r>
        <w:rPr>
          <w:rFonts w:hint="eastAsia" w:asciiTheme="minorEastAsia" w:hAnsiTheme="minorEastAsia" w:eastAsiaTheme="minorEastAsia"/>
          <w:sz w:val="28"/>
          <w:szCs w:val="28"/>
        </w:rPr>
        <w:br w:type="textWrapping"/>
      </w:r>
      <w:r>
        <w:rPr>
          <w:rFonts w:hint="eastAsia" w:asciiTheme="minorEastAsia" w:hAnsiTheme="minorEastAsia" w:eastAsiaTheme="minorEastAsia"/>
          <w:sz w:val="28"/>
          <w:szCs w:val="28"/>
        </w:rPr>
        <w:t>  布放20</w:t>
      </w:r>
      <w:r>
        <w:rPr>
          <w:rFonts w:asciiTheme="minorEastAsia" w:hAnsiTheme="minorEastAsia" w:eastAsiaTheme="minorEastAsia"/>
          <w:sz w:val="28"/>
          <w:szCs w:val="28"/>
        </w:rPr>
        <w:t>×</w:t>
      </w:r>
      <w:r>
        <w:rPr>
          <w:rFonts w:hint="eastAsia" w:asciiTheme="minorEastAsia" w:hAnsiTheme="minorEastAsia" w:eastAsiaTheme="minorEastAsia"/>
          <w:sz w:val="28"/>
          <w:szCs w:val="28"/>
        </w:rPr>
        <w:t>20厘米滑石粉块两块，一夜后阳性粉块不超过3％；有鼠洞、鼠粪、鼠咬等痕迹的房间不超过2％；重点单位防鼠设施不合格处不超过5％。</w:t>
      </w:r>
      <w:r>
        <w:rPr>
          <w:rFonts w:hint="eastAsia" w:asciiTheme="minorEastAsia" w:hAnsiTheme="minorEastAsia" w:eastAsiaTheme="minorEastAsia"/>
          <w:sz w:val="28"/>
          <w:szCs w:val="28"/>
        </w:rPr>
        <w:br w:type="textWrapping"/>
      </w:r>
      <w:r>
        <w:rPr>
          <w:rFonts w:hint="eastAsia" w:asciiTheme="minorEastAsia" w:hAnsiTheme="minorEastAsia" w:eastAsiaTheme="minorEastAsia"/>
          <w:sz w:val="28"/>
          <w:szCs w:val="28"/>
        </w:rPr>
        <w:t>  （2）不同类型的外环境累计2000米，鼠迹不超过5处。</w:t>
      </w:r>
    </w:p>
    <w:p>
      <w:pPr>
        <w:numPr>
          <w:ilvl w:val="0"/>
          <w:numId w:val="2"/>
        </w:numPr>
        <w:spacing w:line="560" w:lineRule="exact"/>
        <w:ind w:firstLine="560" w:firstLineChars="200"/>
        <w:rPr>
          <w:rFonts w:hint="eastAsia" w:asciiTheme="minorEastAsia" w:hAnsiTheme="minorEastAsia" w:eastAsiaTheme="minorEastAsia" w:cstheme="minorEastAsia"/>
          <w:b w:val="0"/>
          <w:bCs/>
          <w:sz w:val="28"/>
          <w:szCs w:val="28"/>
        </w:rPr>
      </w:pPr>
      <w:r>
        <w:rPr>
          <w:rFonts w:hint="eastAsia" w:asciiTheme="minorEastAsia" w:hAnsiTheme="minorEastAsia" w:eastAsiaTheme="minorEastAsia" w:cstheme="minorEastAsia"/>
          <w:b w:val="0"/>
          <w:bCs/>
          <w:sz w:val="28"/>
          <w:szCs w:val="28"/>
        </w:rPr>
        <w:t>消杀白蚁要求</w:t>
      </w:r>
    </w:p>
    <w:p>
      <w:pPr>
        <w:spacing w:line="56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1、</w:t>
      </w:r>
      <w:r>
        <w:rPr>
          <w:rFonts w:hint="eastAsia" w:asciiTheme="minorEastAsia" w:hAnsiTheme="minorEastAsia" w:eastAsiaTheme="minorEastAsia"/>
          <w:sz w:val="28"/>
          <w:szCs w:val="28"/>
          <w:highlight w:val="none"/>
        </w:rPr>
        <w:t>工作内容：对我司上述生产场所发现的白蚁隐患处进行白蚁灭杀及预防处理，白蚁隐患处由现场人员上报项目负责人。</w:t>
      </w:r>
    </w:p>
    <w:p>
      <w:pPr>
        <w:spacing w:line="56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2、</w:t>
      </w:r>
      <w:r>
        <w:rPr>
          <w:rFonts w:hint="eastAsia" w:asciiTheme="minorEastAsia" w:hAnsiTheme="minorEastAsia" w:eastAsiaTheme="minorEastAsia"/>
          <w:sz w:val="28"/>
          <w:szCs w:val="28"/>
          <w:highlight w:val="none"/>
        </w:rPr>
        <w:t>我司发出白蚁隐患处理通知后，</w:t>
      </w:r>
      <w:r>
        <w:rPr>
          <w:rFonts w:hint="eastAsia" w:asciiTheme="minorEastAsia" w:hAnsiTheme="minorEastAsia" w:eastAsiaTheme="minorEastAsia"/>
          <w:sz w:val="28"/>
          <w:szCs w:val="28"/>
          <w:highlight w:val="none"/>
          <w:lang w:eastAsia="zh-CN"/>
        </w:rPr>
        <w:t>服务单位</w:t>
      </w:r>
      <w:r>
        <w:rPr>
          <w:rFonts w:hint="eastAsia" w:asciiTheme="minorEastAsia" w:hAnsiTheme="minorEastAsia" w:eastAsiaTheme="minorEastAsia"/>
          <w:sz w:val="28"/>
          <w:szCs w:val="28"/>
          <w:highlight w:val="none"/>
        </w:rPr>
        <w:t>需在2个工作日内到场进行白蚁灭杀及防治处理。</w:t>
      </w:r>
    </w:p>
    <w:p>
      <w:pPr>
        <w:spacing w:line="560" w:lineRule="exact"/>
        <w:ind w:firstLine="560" w:firstLineChars="200"/>
        <w:rPr>
          <w:rFonts w:hint="eastAsia" w:asciiTheme="minorEastAsia" w:hAnsiTheme="minorEastAsia" w:eastAsiaTheme="minorEastAsia"/>
          <w:sz w:val="28"/>
          <w:szCs w:val="28"/>
          <w:highlight w:val="none"/>
        </w:rPr>
      </w:pPr>
      <w:r>
        <w:rPr>
          <w:rFonts w:hint="eastAsia" w:asciiTheme="minorEastAsia" w:hAnsiTheme="minorEastAsia" w:eastAsiaTheme="minorEastAsia"/>
          <w:sz w:val="28"/>
          <w:szCs w:val="28"/>
          <w:highlight w:val="none"/>
          <w:lang w:val="en-US" w:eastAsia="zh-CN"/>
        </w:rPr>
        <w:t>3、</w:t>
      </w:r>
      <w:r>
        <w:rPr>
          <w:rFonts w:hint="eastAsia" w:asciiTheme="minorEastAsia" w:hAnsiTheme="minorEastAsia" w:eastAsiaTheme="minorEastAsia"/>
          <w:sz w:val="28"/>
          <w:szCs w:val="28"/>
          <w:highlight w:val="none"/>
        </w:rPr>
        <w:t>每次灭杀后同一蚁窝质保期要求为3个月（90天），在质保期内我司如再次发现蚁害，有权随时要求</w:t>
      </w:r>
      <w:r>
        <w:rPr>
          <w:rFonts w:hint="eastAsia" w:asciiTheme="minorEastAsia" w:hAnsiTheme="minorEastAsia" w:eastAsiaTheme="minorEastAsia"/>
          <w:sz w:val="28"/>
          <w:szCs w:val="28"/>
          <w:highlight w:val="none"/>
          <w:lang w:eastAsia="zh-CN"/>
        </w:rPr>
        <w:t>服务单位</w:t>
      </w:r>
      <w:r>
        <w:rPr>
          <w:rFonts w:hint="eastAsia" w:asciiTheme="minorEastAsia" w:hAnsiTheme="minorEastAsia" w:eastAsiaTheme="minorEastAsia"/>
          <w:sz w:val="28"/>
          <w:szCs w:val="28"/>
          <w:highlight w:val="none"/>
        </w:rPr>
        <w:t>免费前来防治，</w:t>
      </w:r>
      <w:r>
        <w:rPr>
          <w:rFonts w:hint="eastAsia" w:asciiTheme="minorEastAsia" w:hAnsiTheme="minorEastAsia" w:eastAsiaTheme="minorEastAsia"/>
          <w:sz w:val="28"/>
          <w:szCs w:val="28"/>
          <w:highlight w:val="none"/>
          <w:lang w:eastAsia="zh-CN"/>
        </w:rPr>
        <w:t>服务单位</w:t>
      </w:r>
      <w:r>
        <w:rPr>
          <w:rFonts w:hint="eastAsia" w:asciiTheme="minorEastAsia" w:hAnsiTheme="minorEastAsia" w:eastAsiaTheme="minorEastAsia"/>
          <w:sz w:val="28"/>
          <w:szCs w:val="28"/>
          <w:highlight w:val="none"/>
        </w:rPr>
        <w:t>不得拒绝或拖延。</w:t>
      </w:r>
    </w:p>
    <w:p>
      <w:pPr>
        <w:spacing w:line="560" w:lineRule="exact"/>
        <w:ind w:firstLine="560" w:firstLineChars="200"/>
        <w:rPr>
          <w:rFonts w:hint="eastAsia" w:asciiTheme="minorEastAsia" w:hAnsiTheme="minorEastAsia" w:eastAsiaTheme="minorEastAsia"/>
          <w:sz w:val="28"/>
          <w:szCs w:val="28"/>
          <w:highlight w:val="none"/>
          <w:lang w:eastAsia="zh-CN"/>
        </w:rPr>
      </w:pPr>
      <w:r>
        <w:rPr>
          <w:rFonts w:hint="eastAsia" w:asciiTheme="minorEastAsia" w:hAnsiTheme="minorEastAsia" w:eastAsiaTheme="minorEastAsia"/>
          <w:sz w:val="28"/>
          <w:szCs w:val="28"/>
          <w:highlight w:val="none"/>
          <w:lang w:val="en-US" w:eastAsia="zh-CN"/>
        </w:rPr>
        <w:t>4、</w:t>
      </w:r>
      <w:r>
        <w:rPr>
          <w:rFonts w:hint="eastAsia" w:asciiTheme="minorEastAsia" w:hAnsiTheme="minorEastAsia" w:eastAsiaTheme="minorEastAsia"/>
          <w:sz w:val="28"/>
          <w:szCs w:val="28"/>
          <w:highlight w:val="none"/>
        </w:rPr>
        <w:t>工程量计算方式：在建筑物同一层或同一区域的房间、空间或套间内（宿舍），灭杀点周边投影面积在50平方米内（含50平方米）的则按一个点计算</w:t>
      </w:r>
      <w:r>
        <w:rPr>
          <w:rFonts w:hint="eastAsia" w:asciiTheme="minorEastAsia" w:hAnsiTheme="minorEastAsia" w:eastAsiaTheme="minorEastAsia"/>
          <w:sz w:val="28"/>
          <w:szCs w:val="28"/>
          <w:highlight w:val="none"/>
          <w:lang w:eastAsia="zh-CN"/>
        </w:rPr>
        <w:t>。</w:t>
      </w:r>
    </w:p>
    <w:p>
      <w:pPr>
        <w:spacing w:line="560" w:lineRule="exact"/>
        <w:ind w:firstLine="560" w:firstLineChars="200"/>
        <w:rPr>
          <w:rFonts w:hint="default" w:asciiTheme="minorEastAsia" w:hAnsiTheme="minorEastAsia" w:eastAsiaTheme="minorEastAsia"/>
          <w:sz w:val="28"/>
          <w:szCs w:val="28"/>
          <w:highlight w:val="none"/>
          <w:lang w:val="en-US" w:eastAsia="zh-CN"/>
        </w:rPr>
      </w:pP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九</w:t>
      </w:r>
      <w:r>
        <w:rPr>
          <w:rFonts w:hint="eastAsia" w:asciiTheme="minorEastAsia" w:hAnsiTheme="minorEastAsia" w:eastAsiaTheme="minorEastAsia"/>
          <w:sz w:val="28"/>
          <w:szCs w:val="28"/>
          <w:highlight w:val="none"/>
          <w:lang w:eastAsia="zh-CN"/>
        </w:rPr>
        <w:t>）</w:t>
      </w:r>
      <w:r>
        <w:rPr>
          <w:rFonts w:hint="eastAsia" w:asciiTheme="minorEastAsia" w:hAnsiTheme="minorEastAsia" w:eastAsiaTheme="minorEastAsia"/>
          <w:sz w:val="28"/>
          <w:szCs w:val="28"/>
          <w:highlight w:val="none"/>
          <w:lang w:val="en-US" w:eastAsia="zh-CN"/>
        </w:rPr>
        <w:t>服务凭据</w:t>
      </w:r>
    </w:p>
    <w:p>
      <w:pPr>
        <w:spacing w:line="560" w:lineRule="exact"/>
        <w:ind w:firstLine="560" w:firstLineChars="200"/>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除“四害”、</w:t>
      </w:r>
      <w:r>
        <w:rPr>
          <w:rFonts w:hint="eastAsia" w:asciiTheme="minorEastAsia" w:hAnsiTheme="minorEastAsia" w:eastAsiaTheme="minorEastAsia"/>
          <w:bCs/>
          <w:sz w:val="28"/>
          <w:szCs w:val="28"/>
          <w:highlight w:val="none"/>
        </w:rPr>
        <w:t>消杀白蚁施工消杀过程中，</w:t>
      </w:r>
      <w:r>
        <w:rPr>
          <w:rFonts w:hint="eastAsia" w:asciiTheme="minorEastAsia" w:hAnsiTheme="minorEastAsia" w:eastAsiaTheme="minorEastAsia"/>
          <w:sz w:val="28"/>
          <w:szCs w:val="28"/>
          <w:highlight w:val="none"/>
        </w:rPr>
        <w:t>每次均需填写除“四害”杀虫、</w:t>
      </w:r>
      <w:r>
        <w:rPr>
          <w:rFonts w:hint="eastAsia" w:asciiTheme="minorEastAsia" w:hAnsiTheme="minorEastAsia" w:eastAsiaTheme="minorEastAsia"/>
          <w:bCs/>
          <w:sz w:val="28"/>
          <w:szCs w:val="28"/>
          <w:highlight w:val="none"/>
        </w:rPr>
        <w:t>消杀白蚁</w:t>
      </w:r>
      <w:r>
        <w:rPr>
          <w:rFonts w:hint="eastAsia" w:asciiTheme="minorEastAsia" w:hAnsiTheme="minorEastAsia" w:eastAsiaTheme="minorEastAsia"/>
          <w:sz w:val="28"/>
          <w:szCs w:val="28"/>
          <w:highlight w:val="none"/>
        </w:rPr>
        <w:t>服务记录卡并有我司现场人员签名确认作为当次服务的凭据,每次应附上施工图片作为收付款凭据</w:t>
      </w:r>
      <w:r>
        <w:rPr>
          <w:rFonts w:hint="eastAsia" w:asciiTheme="minorEastAsia" w:hAnsiTheme="minorEastAsia" w:eastAsiaTheme="minorEastAsia"/>
          <w:bCs/>
          <w:sz w:val="28"/>
          <w:szCs w:val="28"/>
          <w:highlight w:val="none"/>
        </w:rPr>
        <w:t>。施工人员要听从班组现场负责人的合理安排，接受现场人员监督检查，项目负责人不定期检查相关施工情况，及时调整消杀方案。</w:t>
      </w:r>
    </w:p>
    <w:p>
      <w:pPr>
        <w:numPr>
          <w:ilvl w:val="0"/>
          <w:numId w:val="2"/>
        </w:numPr>
        <w:spacing w:line="560" w:lineRule="exact"/>
        <w:ind w:left="0" w:leftChars="0" w:firstLine="560" w:firstLineChars="200"/>
        <w:rPr>
          <w:rFonts w:hint="eastAsia" w:asciiTheme="minorEastAsia" w:hAnsiTheme="minorEastAsia" w:eastAsiaTheme="minorEastAsia"/>
          <w:bCs/>
          <w:color w:val="FF0000"/>
          <w:sz w:val="28"/>
          <w:szCs w:val="28"/>
          <w:highlight w:val="none"/>
          <w:lang w:val="en-US" w:eastAsia="zh-CN"/>
        </w:rPr>
      </w:pPr>
      <w:r>
        <w:rPr>
          <w:rFonts w:hint="eastAsia" w:asciiTheme="minorEastAsia" w:hAnsiTheme="minorEastAsia" w:eastAsiaTheme="minorEastAsia"/>
          <w:bCs/>
          <w:color w:val="FF0000"/>
          <w:sz w:val="28"/>
          <w:szCs w:val="28"/>
          <w:highlight w:val="none"/>
          <w:lang w:val="en-US" w:eastAsia="zh-CN"/>
        </w:rPr>
        <w:t>其他说明</w:t>
      </w:r>
    </w:p>
    <w:p>
      <w:pPr>
        <w:numPr>
          <w:ilvl w:val="0"/>
          <w:numId w:val="0"/>
        </w:numPr>
        <w:spacing w:line="560" w:lineRule="exact"/>
        <w:ind w:firstLine="560" w:firstLineChars="200"/>
        <w:rPr>
          <w:rFonts w:hint="default" w:asciiTheme="minorEastAsia" w:hAnsiTheme="minorEastAsia" w:eastAsiaTheme="minorEastAsia"/>
          <w:bCs/>
          <w:color w:val="FF0000"/>
          <w:sz w:val="28"/>
          <w:szCs w:val="28"/>
          <w:highlight w:val="none"/>
          <w:lang w:val="en-US" w:eastAsia="zh-CN"/>
        </w:rPr>
      </w:pPr>
      <w:r>
        <w:rPr>
          <w:rFonts w:hint="eastAsia" w:asciiTheme="minorEastAsia" w:hAnsiTheme="minorEastAsia" w:eastAsiaTheme="minorEastAsia"/>
          <w:bCs/>
          <w:color w:val="FF0000"/>
          <w:sz w:val="28"/>
          <w:szCs w:val="28"/>
          <w:highlight w:val="none"/>
          <w:lang w:val="en-US" w:eastAsia="zh-CN"/>
        </w:rPr>
        <w:t>该项目范围较广，涉及学校，投标方应考虑新冠疫情防控要求，所涉及费用已含在报价中。由于新冠病毒疫情造成合同履行过程中乙方产生的核酸检测相关费用、隔离观察食宿费、误工费等必要支出由服务方自行承担。</w:t>
      </w:r>
    </w:p>
    <w:p>
      <w:pPr>
        <w:widowControl/>
        <w:ind w:firstLine="562" w:firstLineChars="200"/>
        <w:jc w:val="left"/>
        <w:rPr>
          <w:rFonts w:hint="default" w:asciiTheme="minorEastAsia" w:hAnsiTheme="minorEastAsia" w:eastAsiaTheme="minorEastAsia"/>
          <w:b/>
          <w:sz w:val="28"/>
          <w:szCs w:val="28"/>
          <w:lang w:val="en-US" w:eastAsia="zh-CN"/>
        </w:rPr>
      </w:pPr>
      <w:r>
        <w:rPr>
          <w:rFonts w:hint="eastAsia" w:asciiTheme="minorEastAsia" w:hAnsiTheme="minorEastAsia" w:eastAsiaTheme="minorEastAsia"/>
          <w:b/>
          <w:sz w:val="28"/>
          <w:szCs w:val="28"/>
        </w:rPr>
        <w:t>五、</w:t>
      </w:r>
      <w:r>
        <w:rPr>
          <w:rFonts w:hint="eastAsia" w:asciiTheme="minorEastAsia" w:hAnsiTheme="minorEastAsia" w:eastAsiaTheme="minorEastAsia"/>
          <w:b/>
          <w:sz w:val="28"/>
          <w:szCs w:val="28"/>
          <w:lang w:val="en-US" w:eastAsia="zh-CN"/>
        </w:rPr>
        <w:t>安全要求</w:t>
      </w:r>
    </w:p>
    <w:p>
      <w:pPr>
        <w:widowControl/>
        <w:ind w:firstLine="560" w:firstLineChars="200"/>
        <w:jc w:val="left"/>
        <w:rPr>
          <w:rFonts w:asciiTheme="minorEastAsia" w:hAnsiTheme="minorEastAsia" w:eastAsiaTheme="minorEastAsia"/>
          <w:sz w:val="28"/>
          <w:szCs w:val="28"/>
        </w:rPr>
      </w:pPr>
      <w:r>
        <w:rPr>
          <w:rFonts w:asciiTheme="minorEastAsia" w:hAnsiTheme="minorEastAsia" w:eastAsiaTheme="minorEastAsia"/>
          <w:sz w:val="28"/>
          <w:szCs w:val="28"/>
        </w:rPr>
        <w:t>1</w:t>
      </w:r>
      <w:r>
        <w:rPr>
          <w:rFonts w:hint="eastAsia" w:asciiTheme="minorEastAsia" w:hAnsiTheme="minorEastAsia" w:eastAsiaTheme="minorEastAsia"/>
          <w:sz w:val="28"/>
          <w:szCs w:val="28"/>
        </w:rPr>
        <w:t>、安全第一。服从采购方的安全管理规章制度，严格执行。</w:t>
      </w:r>
    </w:p>
    <w:p>
      <w:pPr>
        <w:widowControl/>
        <w:ind w:firstLine="560" w:firstLineChars="200"/>
        <w:jc w:val="left"/>
        <w:rPr>
          <w:rFonts w:hint="eastAsia" w:asciiTheme="minorEastAsia" w:hAnsiTheme="minorEastAsia" w:eastAsiaTheme="minorEastAsia" w:cstheme="minorEastAsia"/>
          <w:sz w:val="28"/>
          <w:szCs w:val="28"/>
          <w:lang w:eastAsia="zh-CN"/>
        </w:rPr>
      </w:pPr>
      <w:r>
        <w:rPr>
          <w:rFonts w:asciiTheme="minorEastAsia" w:hAnsiTheme="minorEastAsia" w:eastAsiaTheme="minorEastAsia"/>
          <w:sz w:val="28"/>
          <w:szCs w:val="28"/>
        </w:rPr>
        <w:t>2</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bCs/>
          <w:sz w:val="28"/>
          <w:szCs w:val="28"/>
        </w:rPr>
        <w:t>施药过程中，要注意人的自身安全，戴安全帽，防止触电事故发生，电气设备、仪表不能用水直接喷淋</w:t>
      </w:r>
      <w:r>
        <w:rPr>
          <w:rFonts w:hint="eastAsia" w:asciiTheme="minorEastAsia" w:hAnsiTheme="minorEastAsia" w:eastAsiaTheme="minorEastAsia" w:cstheme="minorEastAsia"/>
          <w:bCs/>
          <w:sz w:val="28"/>
          <w:szCs w:val="28"/>
          <w:lang w:eastAsia="zh-CN"/>
        </w:rPr>
        <w:t>。</w:t>
      </w:r>
      <w:r>
        <w:rPr>
          <w:rFonts w:hint="eastAsia" w:asciiTheme="minorEastAsia" w:hAnsiTheme="minorEastAsia" w:eastAsiaTheme="minorEastAsia" w:cstheme="minorEastAsia"/>
          <w:sz w:val="28"/>
          <w:szCs w:val="28"/>
        </w:rPr>
        <w:t>施药过程中，要注意用电设备安全和用药安全，</w:t>
      </w:r>
      <w:r>
        <w:rPr>
          <w:rFonts w:hint="eastAsia" w:asciiTheme="minorEastAsia" w:hAnsiTheme="minorEastAsia" w:eastAsiaTheme="minorEastAsia" w:cstheme="minorEastAsia"/>
          <w:sz w:val="28"/>
          <w:szCs w:val="28"/>
          <w:lang w:val="en-US" w:eastAsia="zh-CN"/>
        </w:rPr>
        <w:t>防止</w:t>
      </w:r>
      <w:r>
        <w:rPr>
          <w:rFonts w:hint="eastAsia" w:asciiTheme="minorEastAsia" w:hAnsiTheme="minorEastAsia" w:eastAsiaTheme="minorEastAsia" w:cstheme="minorEastAsia"/>
          <w:sz w:val="28"/>
          <w:szCs w:val="28"/>
        </w:rPr>
        <w:t>施药后有人员中毒，要及时通风，施药人员穿着防护用品，避免人多作业时施药，要采取错峰施工</w:t>
      </w:r>
      <w:r>
        <w:rPr>
          <w:rFonts w:hint="eastAsia" w:asciiTheme="minorEastAsia" w:hAnsiTheme="minorEastAsia" w:eastAsiaTheme="minorEastAsia" w:cstheme="minorEastAsia"/>
          <w:sz w:val="28"/>
          <w:szCs w:val="28"/>
          <w:lang w:eastAsia="zh-CN"/>
        </w:rPr>
        <w:t>。</w:t>
      </w:r>
    </w:p>
    <w:p>
      <w:pPr>
        <w:widowControl/>
        <w:ind w:firstLine="560" w:firstLineChars="200"/>
        <w:jc w:val="lef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bCs/>
          <w:sz w:val="28"/>
          <w:szCs w:val="28"/>
        </w:rPr>
        <w:t>施药期间，</w:t>
      </w:r>
      <w:r>
        <w:rPr>
          <w:rFonts w:hint="eastAsia" w:asciiTheme="minorEastAsia" w:hAnsiTheme="minorEastAsia" w:eastAsiaTheme="minorEastAsia" w:cstheme="minorEastAsia"/>
          <w:bCs/>
          <w:sz w:val="28"/>
          <w:szCs w:val="28"/>
          <w:lang w:eastAsia="zh-CN"/>
        </w:rPr>
        <w:t>服务单位</w:t>
      </w:r>
      <w:r>
        <w:rPr>
          <w:rFonts w:hint="eastAsia" w:asciiTheme="minorEastAsia" w:hAnsiTheme="minorEastAsia" w:eastAsiaTheme="minorEastAsia" w:cstheme="minorEastAsia"/>
          <w:bCs/>
          <w:sz w:val="28"/>
          <w:szCs w:val="28"/>
        </w:rPr>
        <w:t>不能一人单独在现场施工操作，施工用药时不少于二人</w:t>
      </w:r>
      <w:r>
        <w:rPr>
          <w:rFonts w:hint="eastAsia" w:asciiTheme="minorEastAsia" w:hAnsiTheme="minorEastAsia" w:eastAsiaTheme="minorEastAsia" w:cstheme="minorEastAsia"/>
          <w:bCs/>
          <w:sz w:val="28"/>
          <w:szCs w:val="28"/>
          <w:lang w:eastAsia="zh-CN"/>
        </w:rPr>
        <w:t>。</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4、</w:t>
      </w:r>
      <w:r>
        <w:rPr>
          <w:rFonts w:hint="eastAsia" w:asciiTheme="minorEastAsia" w:hAnsiTheme="minorEastAsia" w:eastAsiaTheme="minorEastAsia"/>
          <w:sz w:val="28"/>
          <w:szCs w:val="28"/>
        </w:rPr>
        <w:t>加强人员特别是特殊工种工作人员的资质管理，确保所有服务人员持证上岗，根据岗位情况开展培训考核，确保胜任本职岗位，并采取适当措施保证操作人员的精神状况。</w:t>
      </w:r>
    </w:p>
    <w:p>
      <w:pPr>
        <w:widowControl/>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5</w:t>
      </w:r>
      <w:r>
        <w:rPr>
          <w:rFonts w:hint="eastAsia" w:asciiTheme="minorEastAsia" w:hAnsiTheme="minorEastAsia" w:eastAsiaTheme="minorEastAsia"/>
          <w:sz w:val="28"/>
          <w:szCs w:val="28"/>
        </w:rPr>
        <w:t>、针对现场情况特点定期或者不定期开展各种形式的安全培训教育，普及安全知识，强化安全知识。</w:t>
      </w:r>
    </w:p>
    <w:p>
      <w:pPr>
        <w:ind w:firstLine="562" w:firstLineChars="200"/>
        <w:rPr>
          <w:b/>
          <w:sz w:val="28"/>
          <w:szCs w:val="28"/>
        </w:rPr>
      </w:pPr>
      <w:r>
        <w:rPr>
          <w:rFonts w:hint="eastAsia"/>
          <w:b/>
          <w:sz w:val="28"/>
          <w:szCs w:val="28"/>
        </w:rPr>
        <w:t>六、服务期限</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（一）项目工期</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本项目服务期限为</w:t>
      </w:r>
      <w:r>
        <w:rPr>
          <w:rFonts w:asciiTheme="minorEastAsia" w:hAnsiTheme="minorEastAsia" w:eastAsiaTheme="minorEastAsia"/>
          <w:sz w:val="28"/>
          <w:szCs w:val="28"/>
        </w:rPr>
        <w:t>3年</w:t>
      </w:r>
      <w:r>
        <w:rPr>
          <w:rFonts w:hint="eastAsia" w:asciiTheme="minorEastAsia" w:hAnsiTheme="minorEastAsia" w:eastAsiaTheme="minorEastAsia"/>
          <w:sz w:val="28"/>
          <w:szCs w:val="28"/>
        </w:rPr>
        <w:t>，</w:t>
      </w:r>
      <w:r>
        <w:rPr>
          <w:rFonts w:asciiTheme="minorEastAsia" w:hAnsiTheme="minorEastAsia" w:eastAsiaTheme="minorEastAsia"/>
          <w:sz w:val="28"/>
          <w:szCs w:val="28"/>
        </w:rPr>
        <w:t>自</w:t>
      </w:r>
      <w:r>
        <w:rPr>
          <w:rFonts w:hint="eastAsia" w:asciiTheme="minorEastAsia" w:hAnsiTheme="minorEastAsia" w:eastAsiaTheme="minorEastAsia"/>
          <w:sz w:val="28"/>
          <w:szCs w:val="28"/>
          <w:lang w:val="en-US" w:eastAsia="zh-CN"/>
        </w:rPr>
        <w:t>合同签订之日起算</w:t>
      </w:r>
      <w:r>
        <w:rPr>
          <w:rFonts w:hint="eastAsia" w:asciiTheme="minorEastAsia" w:hAnsiTheme="minorEastAsia" w:eastAsiaTheme="minorEastAsia"/>
          <w:sz w:val="28"/>
          <w:szCs w:val="28"/>
        </w:rPr>
        <w:t>。</w:t>
      </w:r>
    </w:p>
    <w:p>
      <w:pPr>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（二）验收标准</w:t>
      </w:r>
    </w:p>
    <w:p>
      <w:pPr>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rPr>
        <w:t>项目验收按《广州市鼠虫害防治条例》、《广州市灭鼠杀虫服务行业管理办法》等关于鼠虫害防治的有关要求，确保在承包期内服务的项目控制在国家和省有关规定要求的标准范围内。</w:t>
      </w:r>
    </w:p>
    <w:p>
      <w:pPr>
        <w:ind w:firstLine="562" w:firstLineChars="200"/>
        <w:rPr>
          <w:b/>
          <w:sz w:val="28"/>
          <w:szCs w:val="28"/>
        </w:rPr>
      </w:pPr>
      <w:r>
        <w:rPr>
          <w:rFonts w:hint="eastAsia"/>
          <w:b/>
          <w:sz w:val="28"/>
          <w:szCs w:val="28"/>
        </w:rPr>
        <w:t>七、工程费用及支付方式</w:t>
      </w:r>
    </w:p>
    <w:p>
      <w:pPr>
        <w:ind w:firstLine="560" w:firstLineChars="200"/>
        <w:rPr>
          <w:sz w:val="28"/>
          <w:szCs w:val="28"/>
        </w:rPr>
      </w:pPr>
      <w:r>
        <w:rPr>
          <w:rFonts w:hint="eastAsia"/>
          <w:sz w:val="28"/>
          <w:szCs w:val="28"/>
        </w:rPr>
        <w:t>（一）本工程采用</w:t>
      </w:r>
      <w:r>
        <w:rPr>
          <w:sz w:val="28"/>
          <w:szCs w:val="28"/>
        </w:rPr>
        <w:t>综合单价</w:t>
      </w:r>
      <w:r>
        <w:rPr>
          <w:bCs/>
          <w:sz w:val="28"/>
          <w:szCs w:val="28"/>
        </w:rPr>
        <w:t>包干</w:t>
      </w:r>
      <w:r>
        <w:rPr>
          <w:sz w:val="28"/>
          <w:szCs w:val="28"/>
        </w:rPr>
        <w:t>，</w:t>
      </w:r>
      <w:r>
        <w:rPr>
          <w:rFonts w:hint="eastAsia"/>
          <w:sz w:val="28"/>
          <w:szCs w:val="28"/>
        </w:rPr>
        <w:t>包工、包料、包工期、包质量、包安全、包安全文明施工、包验收、包结算、包资料整理、包综合治理等完成本项目的全部费用，</w:t>
      </w:r>
      <w:r>
        <w:rPr>
          <w:sz w:val="28"/>
          <w:szCs w:val="28"/>
        </w:rPr>
        <w:t>工作全部完工后由双方进行工程量的核实和验收，以实际工程量进行结算。</w:t>
      </w:r>
    </w:p>
    <w:p>
      <w:pPr>
        <w:ind w:firstLine="560" w:firstLineChars="200"/>
        <w:rPr>
          <w:rFonts w:ascii="宋体" w:hAnsi="宋体" w:cs="Arial"/>
          <w:color w:val="000000"/>
          <w:sz w:val="28"/>
          <w:szCs w:val="28"/>
        </w:rPr>
      </w:pPr>
      <w:r>
        <w:rPr>
          <w:rFonts w:hint="eastAsia"/>
          <w:sz w:val="28"/>
          <w:szCs w:val="28"/>
        </w:rPr>
        <w:t>（二）本项目的综合单价</w:t>
      </w:r>
      <w:r>
        <w:rPr>
          <w:sz w:val="28"/>
          <w:szCs w:val="28"/>
        </w:rPr>
        <w:t>包含</w:t>
      </w:r>
      <w:r>
        <w:rPr>
          <w:rFonts w:hint="eastAsia"/>
          <w:sz w:val="28"/>
          <w:szCs w:val="28"/>
        </w:rPr>
        <w:t>投标人按施工现场现状及施工环境根据采购人要求</w:t>
      </w:r>
      <w:r>
        <w:rPr>
          <w:sz w:val="28"/>
          <w:szCs w:val="28"/>
        </w:rPr>
        <w:t>完成项</w:t>
      </w:r>
      <w:r>
        <w:rPr>
          <w:rFonts w:hint="eastAsia"/>
          <w:sz w:val="28"/>
          <w:szCs w:val="28"/>
        </w:rPr>
        <w:t>目</w:t>
      </w:r>
      <w:r>
        <w:rPr>
          <w:sz w:val="28"/>
          <w:szCs w:val="28"/>
        </w:rPr>
        <w:t>工作所需的全部人工、材料、工具、机具、</w:t>
      </w:r>
      <w:r>
        <w:rPr>
          <w:rFonts w:hint="eastAsia"/>
          <w:sz w:val="28"/>
          <w:szCs w:val="28"/>
        </w:rPr>
        <w:t>利润、风险等费用</w:t>
      </w:r>
      <w:r>
        <w:rPr>
          <w:sz w:val="28"/>
          <w:szCs w:val="28"/>
        </w:rPr>
        <w:t>。</w:t>
      </w:r>
      <w:r>
        <w:rPr>
          <w:rFonts w:hint="eastAsia"/>
          <w:sz w:val="28"/>
          <w:szCs w:val="28"/>
        </w:rPr>
        <w:t>综合总报价应包含</w:t>
      </w:r>
      <w:r>
        <w:rPr>
          <w:sz w:val="28"/>
          <w:szCs w:val="28"/>
        </w:rPr>
        <w:t>相关措施费用及税费</w:t>
      </w:r>
      <w:r>
        <w:rPr>
          <w:rFonts w:hint="eastAsia"/>
          <w:sz w:val="28"/>
          <w:szCs w:val="28"/>
        </w:rPr>
        <w:t>等费用、合同实施过程中应预见和不可预见费用等等。</w:t>
      </w:r>
    </w:p>
    <w:p>
      <w:pPr>
        <w:ind w:firstLine="560" w:firstLineChars="200"/>
        <w:rPr>
          <w:rFonts w:ascii="宋体" w:hAnsi="宋体" w:cs="Arial"/>
          <w:color w:val="000000"/>
          <w:sz w:val="28"/>
          <w:szCs w:val="28"/>
        </w:rPr>
      </w:pPr>
      <w:r>
        <w:rPr>
          <w:rFonts w:hint="eastAsia" w:ascii="宋体" w:hAnsi="宋体" w:cs="Arial"/>
          <w:color w:val="000000"/>
          <w:sz w:val="28"/>
          <w:szCs w:val="28"/>
        </w:rPr>
        <w:t>（三）结算方式：</w:t>
      </w:r>
    </w:p>
    <w:p>
      <w:pPr>
        <w:ind w:firstLine="560" w:firstLineChars="200"/>
        <w:rPr>
          <w:rFonts w:ascii="宋体" w:hAnsi="宋体" w:cs="Arial"/>
          <w:color w:val="000000"/>
          <w:sz w:val="28"/>
          <w:szCs w:val="28"/>
        </w:rPr>
      </w:pPr>
      <w:r>
        <w:rPr>
          <w:rFonts w:hint="eastAsia" w:ascii="宋体" w:hAnsi="宋体" w:cs="Arial"/>
          <w:color w:val="000000"/>
          <w:sz w:val="28"/>
          <w:szCs w:val="28"/>
        </w:rPr>
        <w:t>1、合同签订后，</w:t>
      </w:r>
      <w:r>
        <w:rPr>
          <w:rFonts w:hint="eastAsia" w:ascii="宋体" w:hAnsi="宋体" w:cs="Arial"/>
          <w:color w:val="000000"/>
          <w:sz w:val="28"/>
          <w:szCs w:val="28"/>
          <w:lang w:val="en-US" w:eastAsia="zh-CN"/>
        </w:rPr>
        <w:t>按季度结算</w:t>
      </w:r>
      <w:r>
        <w:rPr>
          <w:rFonts w:hint="eastAsia" w:ascii="宋体" w:hAnsi="宋体" w:cs="Arial"/>
          <w:color w:val="000000"/>
          <w:sz w:val="28"/>
          <w:szCs w:val="28"/>
        </w:rPr>
        <w:t>，每逢第四个月初由乙方向甲方提供相关付款凭据、资料凭证和发票，甲方收齐乙方通知及提供的付款票据、资料文件凭证后，15个工作日内向乙方支付该季度服务费。</w:t>
      </w:r>
    </w:p>
    <w:p>
      <w:pPr>
        <w:ind w:firstLine="560" w:firstLineChars="200"/>
        <w:rPr>
          <w:rFonts w:ascii="宋体" w:hAnsi="宋体" w:cs="Arial"/>
          <w:color w:val="000000"/>
          <w:sz w:val="28"/>
          <w:szCs w:val="28"/>
          <w:highlight w:val="yellow"/>
        </w:rPr>
      </w:pPr>
      <w:r>
        <w:rPr>
          <w:rFonts w:ascii="宋体" w:hAnsi="宋体" w:cs="Arial"/>
          <w:color w:val="000000"/>
          <w:sz w:val="28"/>
          <w:szCs w:val="28"/>
        </w:rPr>
        <w:t>2</w:t>
      </w:r>
      <w:r>
        <w:rPr>
          <w:rFonts w:hint="eastAsia" w:ascii="宋体" w:hAnsi="宋体" w:cs="Arial"/>
          <w:color w:val="000000"/>
          <w:sz w:val="28"/>
          <w:szCs w:val="28"/>
        </w:rPr>
        <w:t>、每次付款前乙方开具符合国家税务规定的等额合格的增值税专用发票给甲方。乙方晚于付款期限提供的，甲方付款期限相应顺延。</w:t>
      </w:r>
    </w:p>
    <w:p>
      <w:pPr>
        <w:ind w:firstLine="562" w:firstLineChars="200"/>
        <w:rPr>
          <w:b/>
          <w:sz w:val="28"/>
          <w:szCs w:val="28"/>
        </w:rPr>
      </w:pPr>
      <w:r>
        <w:rPr>
          <w:rFonts w:hint="eastAsia"/>
          <w:b/>
          <w:sz w:val="28"/>
          <w:szCs w:val="28"/>
        </w:rPr>
        <w:t>八、投标文件</w:t>
      </w:r>
    </w:p>
    <w:p>
      <w:pPr>
        <w:ind w:firstLine="560" w:firstLineChars="200"/>
        <w:rPr>
          <w:sz w:val="28"/>
          <w:szCs w:val="28"/>
        </w:rPr>
      </w:pPr>
      <w:r>
        <w:rPr>
          <w:rFonts w:hint="eastAsia"/>
          <w:sz w:val="28"/>
          <w:szCs w:val="28"/>
        </w:rPr>
        <w:t>根据甲方要求的投标文件格式，进行密封报价（盖章）。投标文件应包含以下内容：</w:t>
      </w:r>
    </w:p>
    <w:p>
      <w:pPr>
        <w:ind w:firstLine="560" w:firstLineChars="200"/>
        <w:rPr>
          <w:sz w:val="28"/>
          <w:szCs w:val="28"/>
        </w:rPr>
      </w:pPr>
      <w:r>
        <w:rPr>
          <w:rFonts w:hint="eastAsia"/>
          <w:sz w:val="28"/>
          <w:szCs w:val="28"/>
        </w:rPr>
        <w:t>（一）商务部分（提供复印件，并加盖公章）</w:t>
      </w:r>
    </w:p>
    <w:p>
      <w:pPr>
        <w:numPr>
          <w:ilvl w:val="0"/>
          <w:numId w:val="3"/>
        </w:numPr>
        <w:ind w:left="0" w:firstLine="560" w:firstLineChars="200"/>
        <w:rPr>
          <w:rFonts w:ascii="宋体" w:hAnsi="宋体"/>
          <w:sz w:val="28"/>
          <w:szCs w:val="28"/>
        </w:rPr>
      </w:pPr>
      <w:r>
        <w:rPr>
          <w:rFonts w:hint="eastAsia" w:ascii="宋体" w:hAnsi="宋体"/>
          <w:sz w:val="28"/>
          <w:szCs w:val="28"/>
        </w:rPr>
        <w:t>有效的企业工商营业执照、企业法人组织机构代码证书、税务登记证书（或三证合一）；</w:t>
      </w:r>
    </w:p>
    <w:p>
      <w:pPr>
        <w:numPr>
          <w:ilvl w:val="0"/>
          <w:numId w:val="3"/>
        </w:numPr>
        <w:ind w:left="0" w:firstLine="560" w:firstLineChars="200"/>
        <w:rPr>
          <w:rFonts w:ascii="宋体" w:hAnsi="宋体"/>
          <w:sz w:val="28"/>
          <w:szCs w:val="28"/>
        </w:rPr>
      </w:pPr>
      <w:r>
        <w:rPr>
          <w:rFonts w:hint="eastAsia" w:ascii="宋体" w:hAnsi="宋体"/>
          <w:sz w:val="28"/>
          <w:szCs w:val="28"/>
        </w:rPr>
        <w:t>供应商调查表（格式见附件2）</w:t>
      </w:r>
    </w:p>
    <w:p>
      <w:pPr>
        <w:numPr>
          <w:ilvl w:val="0"/>
          <w:numId w:val="3"/>
        </w:numPr>
        <w:ind w:left="0" w:firstLine="560" w:firstLineChars="200"/>
        <w:rPr>
          <w:rFonts w:ascii="宋体" w:hAnsi="宋体"/>
          <w:sz w:val="28"/>
          <w:szCs w:val="28"/>
        </w:rPr>
      </w:pPr>
      <w:r>
        <w:rPr>
          <w:rFonts w:hint="eastAsia" w:ascii="宋体" w:hAnsi="宋体"/>
          <w:sz w:val="28"/>
          <w:szCs w:val="28"/>
        </w:rPr>
        <w:t>法定代表人证明书、法定代表人授权委托书原件（格式见附件3和附件4）；</w:t>
      </w:r>
    </w:p>
    <w:p>
      <w:pPr>
        <w:numPr>
          <w:ilvl w:val="0"/>
          <w:numId w:val="3"/>
        </w:numPr>
        <w:ind w:left="0" w:firstLine="560" w:firstLineChars="200"/>
        <w:rPr>
          <w:rFonts w:ascii="宋体" w:hAnsi="宋体"/>
          <w:sz w:val="28"/>
          <w:szCs w:val="28"/>
        </w:rPr>
      </w:pPr>
      <w:r>
        <w:rPr>
          <w:rFonts w:hint="eastAsia"/>
          <w:sz w:val="28"/>
          <w:szCs w:val="28"/>
        </w:rPr>
        <w:t>有害生物防制服务资质证书和白蚁防治资质证书</w:t>
      </w:r>
      <w:r>
        <w:rPr>
          <w:rFonts w:hint="eastAsia" w:ascii="宋体" w:hAnsi="宋体" w:cs="Arial"/>
          <w:color w:val="000000"/>
          <w:sz w:val="28"/>
          <w:szCs w:val="28"/>
        </w:rPr>
        <w:t>；</w:t>
      </w:r>
    </w:p>
    <w:p>
      <w:pPr>
        <w:numPr>
          <w:ilvl w:val="0"/>
          <w:numId w:val="3"/>
        </w:numPr>
        <w:ind w:left="0" w:firstLine="560" w:firstLineChars="200"/>
        <w:rPr>
          <w:rFonts w:ascii="宋体" w:hAnsi="宋体"/>
          <w:sz w:val="28"/>
          <w:szCs w:val="28"/>
        </w:rPr>
      </w:pPr>
      <w:r>
        <w:rPr>
          <w:rFonts w:hint="eastAsia" w:ascii="宋体" w:hAnsi="宋体"/>
          <w:sz w:val="28"/>
          <w:szCs w:val="28"/>
        </w:rPr>
        <w:t>本项目拟派项目负责人简历表</w:t>
      </w:r>
      <w:r>
        <w:rPr>
          <w:rFonts w:ascii="宋体" w:hAnsi="宋体"/>
          <w:sz w:val="28"/>
          <w:szCs w:val="28"/>
        </w:rPr>
        <w:t>（包括姓名、部门和职务、</w:t>
      </w:r>
      <w:r>
        <w:rPr>
          <w:rFonts w:hint="eastAsia" w:ascii="宋体" w:hAnsi="宋体"/>
          <w:sz w:val="28"/>
          <w:szCs w:val="28"/>
        </w:rPr>
        <w:t>所学专业和</w:t>
      </w:r>
      <w:r>
        <w:rPr>
          <w:rFonts w:ascii="宋体" w:hAnsi="宋体"/>
          <w:sz w:val="28"/>
          <w:szCs w:val="28"/>
        </w:rPr>
        <w:t>毕业</w:t>
      </w:r>
      <w:r>
        <w:rPr>
          <w:rFonts w:hint="eastAsia" w:ascii="宋体" w:hAnsi="宋体"/>
          <w:sz w:val="28"/>
          <w:szCs w:val="28"/>
        </w:rPr>
        <w:t>院校名称及毕业</w:t>
      </w:r>
      <w:r>
        <w:rPr>
          <w:rFonts w:ascii="宋体" w:hAnsi="宋体"/>
          <w:sz w:val="28"/>
          <w:szCs w:val="28"/>
        </w:rPr>
        <w:t>时间、主要资历、经验及承担过的</w:t>
      </w:r>
      <w:r>
        <w:rPr>
          <w:rFonts w:hint="eastAsia" w:ascii="宋体" w:hAnsi="宋体"/>
          <w:sz w:val="28"/>
          <w:szCs w:val="28"/>
        </w:rPr>
        <w:t>类似</w:t>
      </w:r>
      <w:r>
        <w:rPr>
          <w:rFonts w:ascii="宋体" w:hAnsi="宋体"/>
          <w:sz w:val="28"/>
          <w:szCs w:val="28"/>
        </w:rPr>
        <w:t>项目</w:t>
      </w:r>
      <w:r>
        <w:rPr>
          <w:rFonts w:hint="eastAsia" w:ascii="宋体" w:hAnsi="宋体"/>
          <w:sz w:val="28"/>
          <w:szCs w:val="28"/>
        </w:rPr>
        <w:t>，</w:t>
      </w:r>
      <w:r>
        <w:rPr>
          <w:rFonts w:ascii="宋体" w:hAnsi="宋体"/>
          <w:sz w:val="28"/>
          <w:szCs w:val="28"/>
        </w:rPr>
        <w:t>获得认证资质证书</w:t>
      </w:r>
      <w:r>
        <w:rPr>
          <w:rFonts w:hint="eastAsia" w:ascii="宋体" w:hAnsi="宋体"/>
          <w:sz w:val="28"/>
          <w:szCs w:val="28"/>
        </w:rPr>
        <w:t>及复印件</w:t>
      </w:r>
      <w:r>
        <w:rPr>
          <w:rFonts w:ascii="宋体" w:hAnsi="宋体"/>
          <w:sz w:val="28"/>
          <w:szCs w:val="28"/>
        </w:rPr>
        <w:t>）</w:t>
      </w:r>
      <w:r>
        <w:rPr>
          <w:rFonts w:hint="eastAsia" w:ascii="宋体" w:hAnsi="宋体"/>
          <w:sz w:val="28"/>
          <w:szCs w:val="28"/>
        </w:rPr>
        <w:t>；</w:t>
      </w:r>
    </w:p>
    <w:p>
      <w:pPr>
        <w:numPr>
          <w:ilvl w:val="0"/>
          <w:numId w:val="3"/>
        </w:numPr>
        <w:ind w:left="0" w:firstLine="560" w:firstLineChars="200"/>
        <w:rPr>
          <w:rFonts w:ascii="宋体" w:hAnsi="宋体"/>
          <w:sz w:val="28"/>
          <w:szCs w:val="28"/>
        </w:rPr>
      </w:pPr>
      <w:r>
        <w:rPr>
          <w:rFonts w:hint="eastAsia" w:ascii="宋体" w:hAnsi="宋体"/>
          <w:sz w:val="28"/>
          <w:szCs w:val="28"/>
        </w:rPr>
        <w:t>近3年内(201</w:t>
      </w:r>
      <w:r>
        <w:rPr>
          <w:rFonts w:ascii="宋体" w:hAnsi="宋体"/>
          <w:sz w:val="28"/>
          <w:szCs w:val="28"/>
        </w:rPr>
        <w:t>9</w:t>
      </w:r>
      <w:r>
        <w:rPr>
          <w:rFonts w:hint="eastAsia" w:ascii="宋体" w:hAnsi="宋体"/>
          <w:sz w:val="28"/>
          <w:szCs w:val="28"/>
        </w:rPr>
        <w:t>年1月1日至今)完成过质量合格的类似项目业绩（需提供合同等相关证明材料复印件）</w:t>
      </w:r>
      <w:r>
        <w:rPr>
          <w:rFonts w:hint="eastAsia"/>
          <w:sz w:val="28"/>
          <w:szCs w:val="28"/>
        </w:rPr>
        <w:t>；</w:t>
      </w:r>
    </w:p>
    <w:p>
      <w:pPr>
        <w:numPr>
          <w:ilvl w:val="0"/>
          <w:numId w:val="3"/>
        </w:numPr>
        <w:ind w:left="0" w:firstLine="560" w:firstLineChars="200"/>
        <w:rPr>
          <w:sz w:val="28"/>
          <w:szCs w:val="28"/>
        </w:rPr>
      </w:pPr>
      <w:r>
        <w:rPr>
          <w:rFonts w:hint="eastAsia" w:ascii="宋体" w:hAnsi="宋体"/>
          <w:sz w:val="28"/>
          <w:szCs w:val="28"/>
        </w:rPr>
        <w:t>投标人</w:t>
      </w:r>
      <w:r>
        <w:rPr>
          <w:rFonts w:hint="eastAsia" w:ascii="宋体" w:hAnsi="宋体" w:cs="Arial"/>
          <w:color w:val="000000"/>
          <w:sz w:val="28"/>
          <w:szCs w:val="28"/>
        </w:rPr>
        <w:t>认为有必要的其他资质等材料复印件。</w:t>
      </w:r>
    </w:p>
    <w:p>
      <w:pPr>
        <w:ind w:firstLine="560" w:firstLineChars="200"/>
        <w:rPr>
          <w:sz w:val="28"/>
          <w:szCs w:val="28"/>
        </w:rPr>
      </w:pPr>
      <w:r>
        <w:rPr>
          <w:rFonts w:hint="eastAsia"/>
          <w:sz w:val="28"/>
          <w:szCs w:val="28"/>
        </w:rPr>
        <w:t>（二）技术部分（格式自定，加盖公章）</w:t>
      </w:r>
    </w:p>
    <w:p>
      <w:pPr>
        <w:ind w:firstLine="560" w:firstLineChars="200"/>
        <w:rPr>
          <w:sz w:val="28"/>
          <w:szCs w:val="28"/>
        </w:rPr>
      </w:pPr>
      <w:r>
        <w:rPr>
          <w:rFonts w:hint="eastAsia"/>
          <w:sz w:val="28"/>
          <w:szCs w:val="28"/>
        </w:rPr>
        <w:t>服务方案：</w:t>
      </w:r>
      <w:r>
        <w:rPr>
          <w:rFonts w:hint="eastAsia"/>
          <w:b/>
          <w:sz w:val="28"/>
          <w:szCs w:val="28"/>
        </w:rPr>
        <w:t>乙方应充分了解现场条件，并针对本项目制定切实可行的</w:t>
      </w:r>
      <w:r>
        <w:rPr>
          <w:rFonts w:hint="eastAsia"/>
          <w:b/>
          <w:sz w:val="28"/>
          <w:szCs w:val="28"/>
          <w:u w:val="double"/>
        </w:rPr>
        <w:t>服务方案</w:t>
      </w:r>
      <w:r>
        <w:rPr>
          <w:rFonts w:hint="eastAsia"/>
          <w:sz w:val="28"/>
          <w:szCs w:val="28"/>
        </w:rPr>
        <w:t>，包括但不限于：</w:t>
      </w:r>
    </w:p>
    <w:p>
      <w:pPr>
        <w:widowControl/>
        <w:numPr>
          <w:ilvl w:val="0"/>
          <w:numId w:val="4"/>
        </w:numPr>
        <w:ind w:left="0" w:firstLine="560" w:firstLineChars="200"/>
        <w:rPr>
          <w:rFonts w:ascii="宋体" w:hAnsi="宋体" w:cs="Arial"/>
          <w:color w:val="000000"/>
          <w:sz w:val="28"/>
          <w:szCs w:val="28"/>
        </w:rPr>
      </w:pPr>
      <w:r>
        <w:rPr>
          <w:rFonts w:hint="eastAsia" w:ascii="宋体" w:hAnsi="宋体" w:cs="Arial"/>
          <w:color w:val="000000"/>
          <w:sz w:val="28"/>
          <w:szCs w:val="28"/>
        </w:rPr>
        <w:t>总体服务方案；</w:t>
      </w:r>
    </w:p>
    <w:p>
      <w:pPr>
        <w:widowControl/>
        <w:numPr>
          <w:ilvl w:val="0"/>
          <w:numId w:val="4"/>
        </w:numPr>
        <w:ind w:left="0" w:firstLine="560" w:firstLineChars="200"/>
        <w:rPr>
          <w:rFonts w:ascii="宋体" w:hAnsi="宋体" w:cs="Arial"/>
          <w:color w:val="000000"/>
          <w:sz w:val="28"/>
          <w:szCs w:val="28"/>
        </w:rPr>
      </w:pPr>
      <w:r>
        <w:rPr>
          <w:rFonts w:hint="eastAsia" w:ascii="宋体" w:hAnsi="宋体" w:eastAsia="宋体" w:cs="宋体"/>
          <w:kern w:val="0"/>
          <w:sz w:val="28"/>
          <w:szCs w:val="28"/>
        </w:rPr>
        <w:t>对项目重难点分析</w:t>
      </w:r>
      <w:r>
        <w:rPr>
          <w:rFonts w:hint="eastAsia" w:ascii="宋体" w:hAnsi="宋体" w:cs="宋体"/>
          <w:kern w:val="0"/>
          <w:sz w:val="28"/>
          <w:szCs w:val="28"/>
          <w:lang w:eastAsia="zh-CN"/>
        </w:rPr>
        <w:t>；</w:t>
      </w:r>
    </w:p>
    <w:p>
      <w:pPr>
        <w:widowControl/>
        <w:numPr>
          <w:ilvl w:val="0"/>
          <w:numId w:val="4"/>
        </w:numPr>
        <w:ind w:left="0" w:firstLine="560" w:firstLineChars="200"/>
        <w:rPr>
          <w:rFonts w:ascii="宋体" w:hAnsi="宋体" w:cs="Arial"/>
          <w:color w:val="000000"/>
          <w:sz w:val="28"/>
          <w:szCs w:val="28"/>
        </w:rPr>
      </w:pPr>
      <w:r>
        <w:rPr>
          <w:rFonts w:hint="eastAsia" w:ascii="宋体" w:hAnsi="宋体" w:cs="宋体"/>
          <w:color w:val="auto"/>
          <w:kern w:val="0"/>
          <w:sz w:val="28"/>
          <w:szCs w:val="28"/>
        </w:rPr>
        <w:t>安全文明</w:t>
      </w:r>
      <w:r>
        <w:rPr>
          <w:rFonts w:hint="eastAsia" w:ascii="宋体" w:hAnsi="宋体" w:cs="宋体"/>
          <w:color w:val="auto"/>
          <w:kern w:val="0"/>
          <w:sz w:val="28"/>
          <w:szCs w:val="28"/>
          <w:lang w:val="en-US" w:eastAsia="zh-CN"/>
        </w:rPr>
        <w:t>服务方案</w:t>
      </w:r>
      <w:r>
        <w:rPr>
          <w:rFonts w:hint="eastAsia" w:ascii="宋体" w:hAnsi="宋体" w:cs="宋体"/>
          <w:color w:val="auto"/>
          <w:kern w:val="0"/>
          <w:sz w:val="28"/>
          <w:szCs w:val="28"/>
        </w:rPr>
        <w:t>及应急处理方案</w:t>
      </w:r>
      <w:r>
        <w:rPr>
          <w:rFonts w:hint="eastAsia" w:ascii="宋体" w:hAnsi="宋体" w:cs="宋体"/>
          <w:color w:val="auto"/>
          <w:kern w:val="0"/>
          <w:sz w:val="28"/>
          <w:szCs w:val="28"/>
          <w:lang w:eastAsia="zh-CN"/>
        </w:rPr>
        <w:t>；</w:t>
      </w:r>
    </w:p>
    <w:p>
      <w:pPr>
        <w:widowControl/>
        <w:numPr>
          <w:ilvl w:val="0"/>
          <w:numId w:val="4"/>
        </w:numPr>
        <w:ind w:left="0" w:firstLine="560" w:firstLineChars="200"/>
        <w:rPr>
          <w:sz w:val="28"/>
          <w:szCs w:val="28"/>
        </w:rPr>
      </w:pPr>
      <w:r>
        <w:rPr>
          <w:rFonts w:hint="eastAsia" w:ascii="宋体" w:hAnsi="宋体" w:cs="Arial"/>
          <w:color w:val="000000"/>
          <w:sz w:val="28"/>
          <w:szCs w:val="28"/>
        </w:rPr>
        <w:t>投标人认为其它需要说明的文字。</w:t>
      </w:r>
    </w:p>
    <w:p>
      <w:pPr>
        <w:ind w:firstLine="560" w:firstLineChars="200"/>
        <w:rPr>
          <w:sz w:val="28"/>
          <w:szCs w:val="28"/>
        </w:rPr>
      </w:pPr>
      <w:r>
        <w:rPr>
          <w:rFonts w:hint="eastAsia"/>
          <w:sz w:val="28"/>
          <w:szCs w:val="28"/>
        </w:rPr>
        <w:t>（三）价格文件（加盖公章）</w:t>
      </w:r>
    </w:p>
    <w:p>
      <w:pPr>
        <w:numPr>
          <w:ilvl w:val="0"/>
          <w:numId w:val="5"/>
        </w:numPr>
        <w:ind w:left="0" w:firstLine="560" w:firstLineChars="200"/>
        <w:rPr>
          <w:rFonts w:ascii="宋体" w:hAnsi="宋体" w:cs="Arial"/>
          <w:color w:val="000000"/>
          <w:sz w:val="28"/>
          <w:szCs w:val="28"/>
        </w:rPr>
      </w:pPr>
      <w:r>
        <w:rPr>
          <w:rFonts w:hint="eastAsia" w:ascii="宋体" w:hAnsi="宋体" w:cs="Arial"/>
          <w:color w:val="000000"/>
          <w:sz w:val="28"/>
          <w:szCs w:val="28"/>
        </w:rPr>
        <w:t>报价一览表：（格式见附件1）。</w:t>
      </w:r>
    </w:p>
    <w:p>
      <w:pPr>
        <w:numPr>
          <w:ilvl w:val="0"/>
          <w:numId w:val="5"/>
        </w:numPr>
        <w:ind w:left="0" w:firstLine="560" w:firstLineChars="200"/>
        <w:rPr>
          <w:rFonts w:ascii="宋体" w:hAnsi="宋体" w:cs="Arial"/>
          <w:color w:val="000000"/>
          <w:sz w:val="28"/>
          <w:szCs w:val="28"/>
        </w:rPr>
      </w:pPr>
      <w:r>
        <w:rPr>
          <w:rFonts w:hint="eastAsia" w:ascii="宋体" w:hAnsi="宋体" w:cs="Arial"/>
          <w:color w:val="000000"/>
          <w:sz w:val="28"/>
          <w:szCs w:val="28"/>
        </w:rPr>
        <w:t>报价明细表：（格式自拟）。</w:t>
      </w:r>
    </w:p>
    <w:p>
      <w:pPr>
        <w:ind w:firstLine="562" w:firstLineChars="200"/>
        <w:rPr>
          <w:b/>
          <w:sz w:val="28"/>
          <w:szCs w:val="28"/>
        </w:rPr>
      </w:pPr>
      <w:r>
        <w:rPr>
          <w:rFonts w:hint="eastAsia"/>
          <w:b/>
          <w:sz w:val="28"/>
          <w:szCs w:val="28"/>
        </w:rPr>
        <w:t>九、评标方法</w:t>
      </w:r>
    </w:p>
    <w:p>
      <w:pPr>
        <w:ind w:firstLine="560" w:firstLineChars="200"/>
        <w:rPr>
          <w:sz w:val="28"/>
          <w:szCs w:val="28"/>
        </w:rPr>
      </w:pPr>
      <w:r>
        <w:rPr>
          <w:rFonts w:hint="eastAsia"/>
          <w:sz w:val="28"/>
          <w:szCs w:val="28"/>
        </w:rPr>
        <w:t>本项目采用综合评</w:t>
      </w:r>
      <w:r>
        <w:rPr>
          <w:rFonts w:hint="eastAsia"/>
          <w:sz w:val="28"/>
          <w:szCs w:val="28"/>
          <w:lang w:val="en-US" w:eastAsia="zh-CN"/>
        </w:rPr>
        <w:t>分</w:t>
      </w:r>
      <w:r>
        <w:rPr>
          <w:rFonts w:hint="eastAsia"/>
          <w:sz w:val="28"/>
          <w:szCs w:val="28"/>
        </w:rPr>
        <w:t>法，对投标人进行价格、商务、技术和信用评审，</w:t>
      </w:r>
      <w:r>
        <w:rPr>
          <w:rFonts w:hint="eastAsia"/>
          <w:color w:val="FF0000"/>
          <w:sz w:val="28"/>
          <w:szCs w:val="28"/>
          <w:highlight w:val="none"/>
        </w:rPr>
        <w:t>其中价格评审部分占</w:t>
      </w:r>
      <w:r>
        <w:rPr>
          <w:rFonts w:hint="eastAsia"/>
          <w:color w:val="FF0000"/>
          <w:sz w:val="28"/>
          <w:szCs w:val="28"/>
          <w:highlight w:val="none"/>
          <w:lang w:val="en-US" w:eastAsia="zh-CN"/>
        </w:rPr>
        <w:t>5</w:t>
      </w:r>
      <w:r>
        <w:rPr>
          <w:rFonts w:hint="eastAsia"/>
          <w:color w:val="FF0000"/>
          <w:sz w:val="28"/>
          <w:szCs w:val="28"/>
          <w:highlight w:val="none"/>
        </w:rPr>
        <w:t>0%</w:t>
      </w:r>
      <w:r>
        <w:rPr>
          <w:rFonts w:hint="eastAsia"/>
          <w:color w:val="FF0000"/>
          <w:sz w:val="28"/>
          <w:szCs w:val="28"/>
          <w:highlight w:val="none"/>
          <w:lang w:eastAsia="zh-CN"/>
        </w:rPr>
        <w:t>（</w:t>
      </w:r>
      <w:r>
        <w:rPr>
          <w:rFonts w:hint="eastAsia"/>
          <w:color w:val="FF0000"/>
          <w:sz w:val="28"/>
          <w:szCs w:val="28"/>
          <w:highlight w:val="none"/>
          <w:lang w:val="en-US" w:eastAsia="zh-CN"/>
        </w:rPr>
        <w:t>除“四害”投标总价占98%，白蚁消杀单价占2%</w:t>
      </w:r>
      <w:r>
        <w:rPr>
          <w:rFonts w:hint="eastAsia"/>
          <w:color w:val="FF0000"/>
          <w:sz w:val="28"/>
          <w:szCs w:val="28"/>
          <w:highlight w:val="none"/>
          <w:lang w:eastAsia="zh-CN"/>
        </w:rPr>
        <w:t>）</w:t>
      </w:r>
      <w:r>
        <w:rPr>
          <w:rFonts w:hint="eastAsia"/>
          <w:color w:val="FF0000"/>
          <w:sz w:val="28"/>
          <w:szCs w:val="28"/>
          <w:highlight w:val="none"/>
        </w:rPr>
        <w:t>，商务评审部分占1</w:t>
      </w:r>
      <w:r>
        <w:rPr>
          <w:rFonts w:hint="eastAsia"/>
          <w:color w:val="FF0000"/>
          <w:sz w:val="28"/>
          <w:szCs w:val="28"/>
          <w:highlight w:val="none"/>
          <w:lang w:val="en-US" w:eastAsia="zh-CN"/>
        </w:rPr>
        <w:t>0</w:t>
      </w:r>
      <w:r>
        <w:rPr>
          <w:rFonts w:hint="eastAsia"/>
          <w:color w:val="FF0000"/>
          <w:sz w:val="28"/>
          <w:szCs w:val="28"/>
          <w:highlight w:val="none"/>
        </w:rPr>
        <w:t>%（其中供应商诚信部分占2%），技术评审占4</w:t>
      </w:r>
      <w:r>
        <w:rPr>
          <w:rFonts w:hint="eastAsia"/>
          <w:color w:val="FF0000"/>
          <w:sz w:val="28"/>
          <w:szCs w:val="28"/>
          <w:highlight w:val="none"/>
          <w:lang w:val="en-US" w:eastAsia="zh-CN"/>
        </w:rPr>
        <w:t>0</w:t>
      </w:r>
      <w:r>
        <w:rPr>
          <w:rFonts w:hint="eastAsia"/>
          <w:color w:val="FF0000"/>
          <w:sz w:val="28"/>
          <w:szCs w:val="28"/>
          <w:highlight w:val="none"/>
        </w:rPr>
        <w:t>%，</w:t>
      </w:r>
      <w:r>
        <w:rPr>
          <w:rFonts w:hint="eastAsia"/>
          <w:color w:val="auto"/>
          <w:sz w:val="28"/>
          <w:szCs w:val="28"/>
          <w:highlight w:val="none"/>
        </w:rPr>
        <w:t>投标人评审得分=价格得分+商务得分+技术得分，评分标准见附件7。同时通过投标人资格及有效性审查（见附件5</w:t>
      </w:r>
      <w:r>
        <w:rPr>
          <w:rFonts w:hint="eastAsia"/>
          <w:color w:val="auto"/>
          <w:sz w:val="28"/>
          <w:szCs w:val="28"/>
          <w:highlight w:val="none"/>
          <w:lang w:eastAsia="zh-CN"/>
        </w:rPr>
        <w:t>、</w:t>
      </w:r>
      <w:r>
        <w:rPr>
          <w:rFonts w:hint="eastAsia"/>
          <w:color w:val="auto"/>
          <w:sz w:val="28"/>
          <w:szCs w:val="28"/>
          <w:highlight w:val="none"/>
          <w:lang w:val="en-US" w:eastAsia="zh-CN"/>
        </w:rPr>
        <w:t>附件6</w:t>
      </w:r>
      <w:r>
        <w:rPr>
          <w:rFonts w:hint="eastAsia"/>
          <w:color w:val="auto"/>
          <w:sz w:val="28"/>
          <w:szCs w:val="28"/>
          <w:highlight w:val="none"/>
        </w:rPr>
        <w:t>）和投</w:t>
      </w:r>
      <w:r>
        <w:rPr>
          <w:rFonts w:hint="eastAsia"/>
          <w:sz w:val="28"/>
          <w:szCs w:val="28"/>
          <w:highlight w:val="none"/>
        </w:rPr>
        <w:t>标后，各投标人按综合评分由高至低的顺序依次排列，排名第一为第一中</w:t>
      </w:r>
      <w:r>
        <w:rPr>
          <w:rFonts w:hint="eastAsia"/>
          <w:sz w:val="28"/>
          <w:szCs w:val="28"/>
        </w:rPr>
        <w:t>标候选人。采购人对中标人实行信用评价管理，中标后采购人将中标人纳入供应商管理系统，按项目对中标人的合同履约行为进行考核，具体按采购人供应商管理办法进行</w:t>
      </w:r>
      <w:r>
        <w:rPr>
          <w:rFonts w:hint="eastAsia"/>
          <w:sz w:val="28"/>
          <w:szCs w:val="28"/>
          <w:lang w:eastAsia="zh-CN"/>
        </w:rPr>
        <w:t>。</w:t>
      </w:r>
    </w:p>
    <w:p>
      <w:pPr>
        <w:ind w:firstLine="562" w:firstLineChars="200"/>
        <w:rPr>
          <w:rFonts w:ascii="宋体" w:hAnsi="宋体" w:cs="Arial"/>
          <w:b/>
          <w:color w:val="000000"/>
          <w:sz w:val="28"/>
          <w:szCs w:val="28"/>
        </w:rPr>
      </w:pPr>
      <w:r>
        <w:rPr>
          <w:rFonts w:hint="eastAsia" w:ascii="宋体" w:hAnsi="宋体" w:cs="Arial"/>
          <w:b/>
          <w:color w:val="000000"/>
          <w:sz w:val="28"/>
          <w:szCs w:val="28"/>
        </w:rPr>
        <w:t>十、勘踏现场</w:t>
      </w:r>
    </w:p>
    <w:p>
      <w:pPr>
        <w:ind w:firstLine="560" w:firstLineChars="200"/>
        <w:rPr>
          <w:sz w:val="28"/>
          <w:szCs w:val="28"/>
        </w:rPr>
      </w:pPr>
      <w:r>
        <w:rPr>
          <w:rFonts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20</w:t>
      </w:r>
      <w:r>
        <w:rPr>
          <w:sz w:val="28"/>
          <w:szCs w:val="28"/>
        </w:rPr>
        <w:t>22</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5</w:t>
      </w:r>
      <w:r>
        <w:rPr>
          <w:rFonts w:hint="eastAsia"/>
          <w:sz w:val="28"/>
          <w:szCs w:val="28"/>
        </w:rPr>
        <w:t>日</w:t>
      </w:r>
      <w:r>
        <w:rPr>
          <w:sz w:val="28"/>
          <w:szCs w:val="28"/>
        </w:rPr>
        <w:t>10</w:t>
      </w:r>
      <w:r>
        <w:rPr>
          <w:rFonts w:hint="eastAsia"/>
          <w:sz w:val="28"/>
          <w:szCs w:val="28"/>
        </w:rPr>
        <w:t>:</w:t>
      </w:r>
      <w:r>
        <w:rPr>
          <w:sz w:val="28"/>
          <w:szCs w:val="28"/>
        </w:rPr>
        <w:t>00</w:t>
      </w:r>
      <w:r>
        <w:rPr>
          <w:rFonts w:hint="eastAsia"/>
          <w:sz w:val="28"/>
          <w:szCs w:val="28"/>
        </w:rPr>
        <w:t>时，集中地点：广州市番禺区大学城明志街1号信息枢纽楼一楼西门。勘踏现场联系人凌工，联系电话：</w:t>
      </w:r>
      <w:r>
        <w:rPr>
          <w:sz w:val="28"/>
          <w:szCs w:val="28"/>
        </w:rPr>
        <w:t>020-39302072</w:t>
      </w:r>
      <w:r>
        <w:rPr>
          <w:rFonts w:hint="eastAsia"/>
          <w:sz w:val="28"/>
          <w:szCs w:val="28"/>
        </w:rPr>
        <w:t>。投标人未在规定时间勘踏现场的，甲方不再另行组织，由投标人自行前往勘踏。</w:t>
      </w:r>
    </w:p>
    <w:p>
      <w:pPr>
        <w:ind w:firstLine="562" w:firstLineChars="200"/>
        <w:rPr>
          <w:rFonts w:ascii="宋体" w:hAnsi="宋体" w:cs="Arial"/>
          <w:b/>
          <w:color w:val="000000"/>
          <w:sz w:val="28"/>
          <w:szCs w:val="28"/>
        </w:rPr>
      </w:pPr>
      <w:r>
        <w:rPr>
          <w:rFonts w:hint="eastAsia" w:ascii="宋体" w:hAnsi="宋体" w:cs="Arial"/>
          <w:b/>
          <w:color w:val="000000"/>
          <w:sz w:val="28"/>
          <w:szCs w:val="28"/>
        </w:rPr>
        <w:t>十一、递交投标文件</w:t>
      </w:r>
    </w:p>
    <w:p>
      <w:pPr>
        <w:ind w:firstLine="560" w:firstLineChars="200"/>
        <w:rPr>
          <w:rFonts w:ascii="宋体" w:hAnsi="宋体" w:cs="Arial"/>
          <w:color w:val="000000"/>
          <w:sz w:val="28"/>
          <w:szCs w:val="28"/>
        </w:rPr>
      </w:pPr>
      <w:r>
        <w:rPr>
          <w:rFonts w:hint="eastAsia" w:ascii="宋体" w:hAnsi="宋体" w:cs="Arial"/>
          <w:color w:val="000000"/>
          <w:sz w:val="28"/>
          <w:szCs w:val="28"/>
        </w:rPr>
        <w:t>（一）</w:t>
      </w:r>
      <w:r>
        <w:rPr>
          <w:rFonts w:hint="eastAsia" w:ascii="宋体" w:hAnsi="宋体" w:cs="Arial"/>
          <w:b/>
          <w:color w:val="000000"/>
          <w:sz w:val="28"/>
          <w:szCs w:val="28"/>
        </w:rPr>
        <w:t>投标单位以密封的形式（一式一份，无需装订）</w:t>
      </w:r>
      <w:r>
        <w:rPr>
          <w:rFonts w:hint="eastAsia" w:ascii="宋体" w:hAnsi="宋体" w:cs="Arial"/>
          <w:color w:val="000000"/>
          <w:sz w:val="28"/>
          <w:szCs w:val="28"/>
        </w:rPr>
        <w:t>提供投标文件到：广州市番禺区大学城明志街1号信息枢纽楼9楼采购合同部，采购方接受现场递交或邮寄两种方式。</w:t>
      </w:r>
    </w:p>
    <w:p>
      <w:pPr>
        <w:ind w:firstLine="560" w:firstLineChars="200"/>
        <w:rPr>
          <w:rFonts w:ascii="宋体" w:hAnsi="宋体" w:cs="Arial"/>
          <w:color w:val="000000"/>
          <w:sz w:val="28"/>
          <w:szCs w:val="28"/>
        </w:rPr>
      </w:pPr>
      <w:r>
        <w:rPr>
          <w:rFonts w:hint="eastAsia" w:ascii="宋体" w:hAnsi="宋体" w:cs="Arial"/>
          <w:color w:val="000000"/>
          <w:sz w:val="28"/>
          <w:szCs w:val="28"/>
        </w:rPr>
        <w:t>（二）投标文件递交截止时间：20</w:t>
      </w:r>
      <w:r>
        <w:rPr>
          <w:rFonts w:ascii="宋体" w:hAnsi="宋体" w:cs="Arial"/>
          <w:color w:val="000000"/>
          <w:sz w:val="28"/>
          <w:szCs w:val="28"/>
        </w:rPr>
        <w:t>22</w:t>
      </w:r>
      <w:r>
        <w:rPr>
          <w:rFonts w:hint="eastAsia" w:ascii="宋体" w:hAnsi="宋体" w:cs="Arial"/>
          <w:color w:val="000000"/>
          <w:sz w:val="28"/>
          <w:szCs w:val="28"/>
        </w:rPr>
        <w:t>年</w:t>
      </w:r>
      <w:r>
        <w:rPr>
          <w:rFonts w:hint="eastAsia" w:ascii="宋体" w:hAnsi="宋体" w:cs="Arial"/>
          <w:color w:val="000000"/>
          <w:sz w:val="28"/>
          <w:szCs w:val="28"/>
          <w:lang w:val="en-US" w:eastAsia="zh-CN"/>
        </w:rPr>
        <w:t>12</w:t>
      </w:r>
      <w:r>
        <w:rPr>
          <w:rFonts w:hint="eastAsia" w:ascii="宋体" w:hAnsi="宋体" w:cs="Arial"/>
          <w:color w:val="000000"/>
          <w:sz w:val="28"/>
          <w:szCs w:val="28"/>
        </w:rPr>
        <w:t>月</w:t>
      </w:r>
      <w:r>
        <w:rPr>
          <w:rFonts w:hint="eastAsia" w:ascii="宋体" w:hAnsi="宋体" w:cs="Arial"/>
          <w:color w:val="000000"/>
          <w:sz w:val="28"/>
          <w:szCs w:val="28"/>
          <w:lang w:val="en-US" w:eastAsia="zh-CN"/>
        </w:rPr>
        <w:t>8</w:t>
      </w:r>
      <w:r>
        <w:rPr>
          <w:rFonts w:hint="eastAsia" w:ascii="宋体" w:hAnsi="宋体" w:cs="Arial"/>
          <w:color w:val="000000"/>
          <w:sz w:val="28"/>
          <w:szCs w:val="28"/>
        </w:rPr>
        <w:t>日北京时间</w:t>
      </w:r>
      <w:r>
        <w:rPr>
          <w:rFonts w:ascii="宋体" w:hAnsi="宋体" w:cs="Arial"/>
          <w:color w:val="000000"/>
          <w:sz w:val="28"/>
          <w:szCs w:val="28"/>
        </w:rPr>
        <w:t>15</w:t>
      </w:r>
      <w:r>
        <w:rPr>
          <w:rFonts w:hint="eastAsia" w:ascii="宋体" w:hAnsi="宋体" w:cs="Arial"/>
          <w:color w:val="000000"/>
          <w:sz w:val="28"/>
          <w:szCs w:val="28"/>
        </w:rPr>
        <w:t>时</w:t>
      </w:r>
      <w:r>
        <w:rPr>
          <w:rFonts w:hint="eastAsia" w:ascii="宋体" w:hAnsi="宋体" w:cs="Arial"/>
          <w:color w:val="000000"/>
          <w:sz w:val="28"/>
          <w:szCs w:val="28"/>
          <w:lang w:val="en-US" w:eastAsia="zh-CN"/>
        </w:rPr>
        <w:t>3</w:t>
      </w:r>
      <w:r>
        <w:rPr>
          <w:rFonts w:ascii="宋体" w:hAnsi="宋体" w:cs="Arial"/>
          <w:color w:val="000000"/>
          <w:sz w:val="28"/>
          <w:szCs w:val="28"/>
        </w:rPr>
        <w:t>0</w:t>
      </w:r>
      <w:r>
        <w:rPr>
          <w:rFonts w:hint="eastAsia" w:ascii="宋体" w:hAnsi="宋体" w:cs="Arial"/>
          <w:color w:val="000000"/>
          <w:sz w:val="28"/>
          <w:szCs w:val="28"/>
        </w:rPr>
        <w:t>分前。递交的投标文件或投标文件信封未密封，或未在骑缝处盖章或签字，或逾期送达的采购方有权不予受理。</w:t>
      </w:r>
    </w:p>
    <w:p>
      <w:pPr>
        <w:ind w:firstLine="562" w:firstLineChars="200"/>
        <w:rPr>
          <w:rFonts w:ascii="宋体" w:hAnsi="宋体" w:cs="Arial"/>
          <w:b/>
          <w:color w:val="000000"/>
          <w:sz w:val="28"/>
          <w:szCs w:val="28"/>
        </w:rPr>
      </w:pPr>
      <w:r>
        <w:rPr>
          <w:rFonts w:ascii="宋体" w:hAnsi="宋体" w:cs="Arial"/>
          <w:b/>
          <w:color w:val="000000"/>
          <w:sz w:val="28"/>
          <w:szCs w:val="28"/>
        </w:rPr>
        <w:t>十</w:t>
      </w:r>
      <w:r>
        <w:rPr>
          <w:rFonts w:hint="eastAsia" w:ascii="宋体" w:hAnsi="宋体" w:cs="Arial"/>
          <w:b/>
          <w:color w:val="000000"/>
          <w:sz w:val="28"/>
          <w:szCs w:val="28"/>
        </w:rPr>
        <w:t>二、</w:t>
      </w:r>
      <w:r>
        <w:rPr>
          <w:rFonts w:hint="eastAsia" w:ascii="宋体" w:hAnsi="宋体" w:cs="Arial"/>
          <w:color w:val="000000"/>
          <w:sz w:val="28"/>
          <w:szCs w:val="28"/>
        </w:rPr>
        <w:t>本竞选文件在广州大学城投资经营管理有限公司网站（网址：</w:t>
      </w:r>
      <w:r>
        <w:rPr>
          <w:rFonts w:ascii="宋体" w:hAnsi="宋体" w:cs="Arial"/>
          <w:color w:val="000000"/>
          <w:sz w:val="28"/>
          <w:szCs w:val="28"/>
        </w:rPr>
        <w:t>https://www.gzuci.com/</w:t>
      </w:r>
      <w:r>
        <w:rPr>
          <w:rFonts w:hint="eastAsia" w:ascii="宋体" w:hAnsi="宋体" w:cs="Arial"/>
          <w:color w:val="000000"/>
          <w:sz w:val="28"/>
          <w:szCs w:val="28"/>
        </w:rPr>
        <w:t>）、广州国企阳光采购服务平台（</w:t>
      </w:r>
      <w:r>
        <w:rPr>
          <w:rFonts w:hint="eastAsia" w:cs="宋体" w:asciiTheme="minorEastAsia" w:hAnsiTheme="minorEastAsia"/>
          <w:color w:val="000000"/>
          <w:sz w:val="28"/>
          <w:szCs w:val="28"/>
        </w:rPr>
        <w:t>http://ygcg.gzggzy.cn</w:t>
      </w:r>
      <w:r>
        <w:rPr>
          <w:rFonts w:hint="eastAsia" w:ascii="宋体" w:hAnsi="宋体" w:cs="Arial"/>
          <w:color w:val="000000"/>
          <w:sz w:val="28"/>
          <w:szCs w:val="28"/>
        </w:rPr>
        <w:t>）同时发布。本竞选文件在各媒体发布的文本如有不同之处，以在广州大学城投资经营管理有限公司网站发布的文本为准。</w:t>
      </w:r>
    </w:p>
    <w:p>
      <w:pPr>
        <w:ind w:firstLine="562" w:firstLineChars="200"/>
        <w:rPr>
          <w:rFonts w:ascii="宋体" w:hAnsi="宋体" w:cs="Arial"/>
          <w:b/>
          <w:color w:val="000000"/>
          <w:sz w:val="28"/>
          <w:szCs w:val="28"/>
        </w:rPr>
      </w:pPr>
      <w:r>
        <w:rPr>
          <w:rFonts w:hint="eastAsia" w:ascii="宋体" w:hAnsi="宋体" w:cs="Arial"/>
          <w:b/>
          <w:color w:val="000000"/>
          <w:sz w:val="28"/>
          <w:szCs w:val="28"/>
        </w:rPr>
        <w:t>十三、采购人地址和联系方式</w:t>
      </w:r>
    </w:p>
    <w:p>
      <w:pPr>
        <w:ind w:firstLine="560" w:firstLineChars="200"/>
        <w:rPr>
          <w:rFonts w:ascii="宋体" w:hAnsi="宋体" w:cs="Arial"/>
          <w:color w:val="000000"/>
          <w:sz w:val="28"/>
          <w:szCs w:val="28"/>
        </w:rPr>
      </w:pPr>
      <w:r>
        <w:rPr>
          <w:rFonts w:hint="eastAsia" w:ascii="宋体" w:hAnsi="宋体" w:cs="Arial"/>
          <w:color w:val="000000"/>
          <w:sz w:val="28"/>
          <w:szCs w:val="28"/>
        </w:rPr>
        <w:t>采购人：广州大学城投资经营管理有限公司</w:t>
      </w:r>
    </w:p>
    <w:p>
      <w:pPr>
        <w:ind w:firstLine="560" w:firstLineChars="200"/>
        <w:rPr>
          <w:rFonts w:ascii="宋体" w:hAnsi="宋体" w:cs="Arial"/>
          <w:color w:val="000000"/>
          <w:sz w:val="28"/>
          <w:szCs w:val="28"/>
        </w:rPr>
      </w:pPr>
      <w:r>
        <w:rPr>
          <w:rFonts w:hint="eastAsia" w:ascii="宋体" w:hAnsi="宋体" w:cs="Arial"/>
          <w:color w:val="000000"/>
          <w:sz w:val="28"/>
          <w:szCs w:val="28"/>
        </w:rPr>
        <w:t>联系地址：广州市番禺区大学城明志街</w:t>
      </w:r>
      <w:r>
        <w:rPr>
          <w:rFonts w:ascii="Arial" w:hAnsi="Arial" w:cs="Arial"/>
          <w:color w:val="000000"/>
          <w:sz w:val="28"/>
          <w:szCs w:val="28"/>
        </w:rPr>
        <w:t>1</w:t>
      </w:r>
      <w:r>
        <w:rPr>
          <w:rFonts w:hint="eastAsia" w:ascii="宋体" w:hAnsi="宋体" w:cs="Arial"/>
          <w:color w:val="000000"/>
          <w:sz w:val="28"/>
          <w:szCs w:val="28"/>
        </w:rPr>
        <w:t>号信息枢纽楼9楼</w:t>
      </w:r>
    </w:p>
    <w:p>
      <w:pPr>
        <w:ind w:firstLine="560" w:firstLineChars="200"/>
        <w:rPr>
          <w:rFonts w:ascii="Arial" w:hAnsi="Arial" w:cs="Arial"/>
          <w:color w:val="000000"/>
          <w:sz w:val="28"/>
          <w:szCs w:val="28"/>
        </w:rPr>
      </w:pPr>
      <w:r>
        <w:rPr>
          <w:rFonts w:hint="eastAsia" w:ascii="宋体" w:hAnsi="宋体" w:cs="Arial"/>
          <w:color w:val="000000"/>
          <w:sz w:val="28"/>
          <w:szCs w:val="28"/>
        </w:rPr>
        <w:t>联系人：</w:t>
      </w:r>
      <w:r>
        <w:rPr>
          <w:rFonts w:hint="eastAsia" w:ascii="宋体" w:hAnsi="宋体" w:cs="Arial"/>
          <w:color w:val="000000"/>
          <w:sz w:val="28"/>
          <w:szCs w:val="28"/>
          <w:lang w:val="en-US" w:eastAsia="zh-CN"/>
        </w:rPr>
        <w:t>詹</w:t>
      </w:r>
      <w:r>
        <w:rPr>
          <w:rFonts w:hint="eastAsia" w:ascii="宋体" w:hAnsi="宋体" w:cs="Arial"/>
          <w:color w:val="000000"/>
          <w:sz w:val="28"/>
          <w:szCs w:val="28"/>
        </w:rPr>
        <w:t>工</w:t>
      </w:r>
    </w:p>
    <w:p>
      <w:pPr>
        <w:ind w:firstLine="560" w:firstLineChars="200"/>
        <w:rPr>
          <w:rFonts w:ascii="Arial" w:hAnsi="Arial" w:cs="Arial"/>
          <w:color w:val="000000"/>
          <w:sz w:val="28"/>
          <w:szCs w:val="28"/>
        </w:rPr>
      </w:pPr>
      <w:r>
        <w:rPr>
          <w:rFonts w:hint="eastAsia" w:ascii="宋体" w:hAnsi="宋体" w:cs="Arial"/>
          <w:color w:val="000000"/>
          <w:sz w:val="28"/>
          <w:szCs w:val="28"/>
        </w:rPr>
        <w:t>联系电话：0</w:t>
      </w:r>
      <w:r>
        <w:rPr>
          <w:rFonts w:ascii="宋体" w:hAnsi="宋体" w:cs="Arial"/>
          <w:color w:val="000000"/>
          <w:sz w:val="28"/>
          <w:szCs w:val="28"/>
        </w:rPr>
        <w:t>20-39302078</w:t>
      </w:r>
    </w:p>
    <w:p>
      <w:pPr>
        <w:spacing w:line="560" w:lineRule="exact"/>
        <w:rPr>
          <w:rFonts w:ascii="宋体" w:hAnsi="宋体" w:cs="Arial"/>
          <w:color w:val="000000"/>
          <w:sz w:val="28"/>
          <w:szCs w:val="28"/>
        </w:rPr>
      </w:pPr>
      <w:r>
        <w:rPr>
          <w:rFonts w:hint="eastAsia" w:ascii="宋体" w:hAnsi="宋体" w:cs="Arial"/>
          <w:color w:val="000000"/>
          <w:sz w:val="28"/>
          <w:szCs w:val="28"/>
        </w:rPr>
        <w:t>附件：1、报价一览表</w:t>
      </w:r>
    </w:p>
    <w:p>
      <w:pPr>
        <w:spacing w:line="560" w:lineRule="exact"/>
        <w:ind w:firstLine="840" w:firstLineChars="300"/>
        <w:rPr>
          <w:rFonts w:ascii="宋体" w:hAnsi="宋体" w:cs="Arial"/>
          <w:color w:val="000000"/>
          <w:sz w:val="28"/>
          <w:szCs w:val="28"/>
        </w:rPr>
      </w:pPr>
      <w:r>
        <w:rPr>
          <w:rFonts w:ascii="宋体" w:hAnsi="宋体" w:cs="Arial"/>
          <w:color w:val="000000"/>
          <w:sz w:val="28"/>
          <w:szCs w:val="28"/>
        </w:rPr>
        <w:t>2</w:t>
      </w:r>
      <w:r>
        <w:rPr>
          <w:rFonts w:hint="eastAsia" w:ascii="宋体" w:hAnsi="宋体" w:cs="Arial"/>
          <w:color w:val="000000"/>
          <w:sz w:val="28"/>
          <w:szCs w:val="28"/>
        </w:rPr>
        <w:t>、供应商调查表</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3、法定代表人身份证明书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4、法定代表人授权委托证明书</w:t>
      </w:r>
    </w:p>
    <w:p>
      <w:pPr>
        <w:spacing w:line="560" w:lineRule="exact"/>
        <w:ind w:firstLine="840" w:firstLineChars="300"/>
        <w:rPr>
          <w:rFonts w:ascii="宋体" w:hAnsi="宋体" w:cs="Arial"/>
          <w:color w:val="000000"/>
          <w:sz w:val="28"/>
          <w:szCs w:val="28"/>
        </w:rPr>
      </w:pPr>
      <w:r>
        <w:rPr>
          <w:rFonts w:hint="eastAsia" w:ascii="宋体" w:hAnsi="宋体" w:cs="Arial"/>
          <w:color w:val="000000"/>
          <w:sz w:val="28"/>
          <w:szCs w:val="28"/>
        </w:rPr>
        <w:t>5、投标人资格审查表</w:t>
      </w:r>
    </w:p>
    <w:p>
      <w:pPr>
        <w:ind w:firstLine="840" w:firstLineChars="300"/>
        <w:rPr>
          <w:rFonts w:hint="eastAsia" w:ascii="宋体" w:hAnsi="宋体" w:cs="Arial"/>
          <w:color w:val="000000"/>
          <w:sz w:val="28"/>
          <w:szCs w:val="28"/>
        </w:rPr>
      </w:pPr>
      <w:r>
        <w:rPr>
          <w:rFonts w:hint="eastAsia" w:ascii="宋体" w:hAnsi="宋体" w:cs="Arial"/>
          <w:color w:val="000000"/>
          <w:sz w:val="28"/>
          <w:szCs w:val="28"/>
        </w:rPr>
        <w:t>6、投标文件有效性审查表</w:t>
      </w:r>
    </w:p>
    <w:p>
      <w:pPr>
        <w:ind w:firstLine="840" w:firstLineChars="300"/>
        <w:rPr>
          <w:rFonts w:hint="default" w:ascii="宋体" w:hAnsi="宋体" w:eastAsia="宋体" w:cs="Arial"/>
          <w:color w:val="000000"/>
          <w:sz w:val="28"/>
          <w:szCs w:val="28"/>
          <w:lang w:val="en-US" w:eastAsia="zh-CN"/>
        </w:rPr>
      </w:pPr>
      <w:r>
        <w:rPr>
          <w:rFonts w:hint="eastAsia" w:ascii="宋体" w:hAnsi="宋体" w:cs="Arial"/>
          <w:color w:val="000000"/>
          <w:sz w:val="28"/>
          <w:szCs w:val="28"/>
          <w:lang w:val="en-US" w:eastAsia="zh-CN"/>
        </w:rPr>
        <w:t>7、综合评分细则</w:t>
      </w:r>
    </w:p>
    <w:p>
      <w:pPr>
        <w:pStyle w:val="5"/>
        <w:spacing w:line="360" w:lineRule="auto"/>
        <w:ind w:left="0" w:leftChars="0" w:right="1120"/>
        <w:rPr>
          <w:rFonts w:hint="eastAsia" w:asciiTheme="minorEastAsia" w:hAnsiTheme="minorEastAsia" w:eastAsiaTheme="minorEastAsia" w:cstheme="minorEastAsia"/>
          <w:sz w:val="28"/>
          <w:szCs w:val="28"/>
          <w:highlight w:val="none"/>
        </w:rPr>
      </w:pPr>
      <w:r>
        <w:rPr>
          <w:rFonts w:hint="eastAsia"/>
          <w:sz w:val="28"/>
          <w:szCs w:val="28"/>
        </w:rPr>
        <w:t xml:space="preserve"> </w:t>
      </w:r>
      <w:r>
        <w:rPr>
          <w:sz w:val="28"/>
          <w:szCs w:val="28"/>
        </w:rPr>
        <w:t xml:space="preserve">     </w:t>
      </w:r>
      <w:r>
        <w:rPr>
          <w:rFonts w:hint="eastAsia"/>
          <w:sz w:val="28"/>
          <w:szCs w:val="28"/>
          <w:lang w:val="en-US" w:eastAsia="zh-CN"/>
        </w:rPr>
        <w:t>8</w:t>
      </w: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bCs/>
          <w:sz w:val="28"/>
          <w:szCs w:val="28"/>
          <w:highlight w:val="none"/>
        </w:rPr>
        <w:t>除“四害”、消杀白蚁施工</w:t>
      </w:r>
      <w:r>
        <w:rPr>
          <w:rFonts w:hint="eastAsia" w:asciiTheme="minorEastAsia" w:hAnsiTheme="minorEastAsia" w:eastAsiaTheme="minorEastAsia" w:cstheme="minorEastAsia"/>
          <w:sz w:val="28"/>
          <w:szCs w:val="28"/>
          <w:highlight w:val="none"/>
        </w:rPr>
        <w:t>消杀地点分布图（标红色箭头）</w:t>
      </w:r>
    </w:p>
    <w:p>
      <w:pPr>
        <w:pStyle w:val="5"/>
        <w:spacing w:line="360" w:lineRule="auto"/>
        <w:ind w:left="0" w:leftChars="0" w:right="1120" w:firstLine="560" w:firstLineChars="200"/>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bCs/>
          <w:sz w:val="28"/>
          <w:szCs w:val="28"/>
          <w:highlight w:val="none"/>
          <w:lang w:val="en-US" w:eastAsia="zh-CN"/>
        </w:rPr>
        <w:t>9、</w:t>
      </w:r>
      <w:r>
        <w:rPr>
          <w:rFonts w:hint="eastAsia" w:asciiTheme="minorEastAsia" w:hAnsiTheme="minorEastAsia" w:eastAsiaTheme="minorEastAsia" w:cstheme="minorEastAsia"/>
          <w:bCs/>
          <w:sz w:val="28"/>
          <w:szCs w:val="28"/>
          <w:highlight w:val="none"/>
        </w:rPr>
        <w:t>除“四害”、消杀白蚁检查考核内容及处罚标准（</w:t>
      </w:r>
      <w:r>
        <w:rPr>
          <w:rFonts w:hint="eastAsia" w:asciiTheme="minorEastAsia" w:hAnsiTheme="minorEastAsia" w:eastAsiaTheme="minorEastAsia" w:cstheme="minorEastAsia"/>
          <w:bCs/>
          <w:sz w:val="28"/>
          <w:szCs w:val="28"/>
        </w:rPr>
        <w:t>季度）</w:t>
      </w:r>
    </w:p>
    <w:p>
      <w:pPr>
        <w:pStyle w:val="5"/>
        <w:spacing w:line="360" w:lineRule="auto"/>
        <w:ind w:left="0" w:leftChars="0" w:right="1120" w:firstLine="560" w:firstLineChars="200"/>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10、</w:t>
      </w:r>
      <w:r>
        <w:rPr>
          <w:rFonts w:hint="eastAsia" w:asciiTheme="minorEastAsia" w:hAnsiTheme="minorEastAsia" w:eastAsiaTheme="minorEastAsia" w:cstheme="minorEastAsia"/>
          <w:sz w:val="28"/>
          <w:szCs w:val="28"/>
        </w:rPr>
        <w:t>除“四害”、消杀白蚁服务记录卡</w:t>
      </w:r>
    </w:p>
    <w:p>
      <w:pPr>
        <w:pStyle w:val="5"/>
        <w:spacing w:line="360" w:lineRule="auto"/>
        <w:ind w:left="0" w:leftChars="0" w:right="1120"/>
        <w:rPr>
          <w:sz w:val="28"/>
          <w:szCs w:val="28"/>
        </w:rPr>
      </w:pPr>
    </w:p>
    <w:p>
      <w:pPr>
        <w:pStyle w:val="5"/>
        <w:spacing w:line="360" w:lineRule="auto"/>
        <w:ind w:left="0" w:leftChars="0" w:right="1120" w:firstLine="2520" w:firstLineChars="900"/>
        <w:rPr>
          <w:sz w:val="28"/>
          <w:szCs w:val="28"/>
        </w:rPr>
      </w:pPr>
      <w:r>
        <w:rPr>
          <w:rFonts w:hint="eastAsia"/>
          <w:sz w:val="28"/>
          <w:szCs w:val="28"/>
        </w:rPr>
        <w:t>采购人：广州大学城投资经营管理有限公司</w:t>
      </w:r>
    </w:p>
    <w:p>
      <w:pPr>
        <w:spacing w:line="360" w:lineRule="auto"/>
        <w:ind w:firstLine="4760" w:firstLineChars="1700"/>
        <w:rPr>
          <w:sz w:val="28"/>
          <w:szCs w:val="28"/>
        </w:rPr>
      </w:pPr>
      <w:r>
        <w:rPr>
          <w:rFonts w:hint="eastAsia"/>
          <w:sz w:val="28"/>
          <w:szCs w:val="28"/>
        </w:rPr>
        <w:t>20</w:t>
      </w:r>
      <w:r>
        <w:rPr>
          <w:sz w:val="28"/>
          <w:szCs w:val="28"/>
        </w:rPr>
        <w:t>22</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29</w:t>
      </w:r>
      <w:r>
        <w:rPr>
          <w:rFonts w:hint="eastAsia"/>
          <w:sz w:val="28"/>
          <w:szCs w:val="28"/>
        </w:rPr>
        <w:t>日</w:t>
      </w:r>
    </w:p>
    <w:p>
      <w:pPr>
        <w:spacing w:line="400" w:lineRule="exact"/>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line="400" w:lineRule="exact"/>
        <w:rPr>
          <w:rFonts w:hAnsi="宋体"/>
          <w:b/>
          <w:sz w:val="28"/>
          <w:szCs w:val="28"/>
          <w:highlight w:val="none"/>
        </w:rPr>
      </w:pPr>
      <w:r>
        <w:rPr>
          <w:rFonts w:hint="eastAsia" w:ascii="宋体" w:hAnsi="宋体" w:cs="Arial"/>
          <w:color w:val="000000"/>
          <w:sz w:val="30"/>
          <w:szCs w:val="30"/>
        </w:rPr>
        <w:t>附件1</w:t>
      </w:r>
    </w:p>
    <w:p>
      <w:pPr>
        <w:pStyle w:val="7"/>
        <w:ind w:firstLine="3642" w:firstLineChars="1300"/>
        <w:rPr>
          <w:rFonts w:hAnsi="宋体"/>
          <w:b/>
          <w:sz w:val="28"/>
          <w:szCs w:val="28"/>
          <w:highlight w:val="none"/>
        </w:rPr>
      </w:pPr>
      <w:r>
        <w:rPr>
          <w:rFonts w:hAnsi="宋体"/>
          <w:b/>
          <w:sz w:val="28"/>
          <w:szCs w:val="28"/>
          <w:highlight w:val="none"/>
        </w:rPr>
        <w:t>报价一览表</w:t>
      </w:r>
    </w:p>
    <w:p>
      <w:pPr>
        <w:spacing w:line="360" w:lineRule="auto"/>
        <w:rPr>
          <w:rFonts w:hAnsi="宋体"/>
          <w:szCs w:val="21"/>
          <w:highlight w:val="none"/>
        </w:rPr>
      </w:pPr>
      <w:r>
        <w:rPr>
          <w:rFonts w:hint="eastAsia" w:hAnsi="宋体"/>
          <w:szCs w:val="21"/>
          <w:highlight w:val="none"/>
        </w:rPr>
        <w:t>项目名称：生产现场除“四害”</w:t>
      </w:r>
      <w:r>
        <w:rPr>
          <w:rFonts w:hint="eastAsia" w:hAnsi="宋体"/>
          <w:szCs w:val="21"/>
          <w:highlight w:val="none"/>
          <w:lang w:eastAsia="zh-CN"/>
        </w:rPr>
        <w:t>、</w:t>
      </w:r>
      <w:r>
        <w:rPr>
          <w:rFonts w:hint="eastAsia" w:hAnsi="宋体"/>
          <w:szCs w:val="21"/>
          <w:highlight w:val="none"/>
        </w:rPr>
        <w:t>消杀白蚁项目</w:t>
      </w:r>
    </w:p>
    <w:tbl>
      <w:tblPr>
        <w:tblStyle w:val="15"/>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2268"/>
        <w:gridCol w:w="2126"/>
        <w:gridCol w:w="3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highlight w:val="none"/>
              </w:rPr>
            </w:pPr>
            <w:r>
              <w:rPr>
                <w:rFonts w:hint="eastAsia" w:hAnsi="宋体"/>
                <w:bCs/>
                <w:sz w:val="24"/>
                <w:highlight w:val="none"/>
              </w:rPr>
              <w:t>序号</w:t>
            </w:r>
          </w:p>
        </w:tc>
        <w:tc>
          <w:tcPr>
            <w:tcW w:w="2268" w:type="dxa"/>
            <w:vAlign w:val="center"/>
          </w:tcPr>
          <w:p>
            <w:pPr>
              <w:jc w:val="center"/>
              <w:rPr>
                <w:rFonts w:hAnsi="宋体"/>
                <w:bCs/>
                <w:sz w:val="24"/>
                <w:highlight w:val="none"/>
              </w:rPr>
            </w:pPr>
            <w:r>
              <w:rPr>
                <w:rFonts w:hint="eastAsia" w:hAnsi="宋体"/>
                <w:bCs/>
                <w:sz w:val="24"/>
                <w:highlight w:val="none"/>
              </w:rPr>
              <w:t>项目名称</w:t>
            </w:r>
          </w:p>
        </w:tc>
        <w:tc>
          <w:tcPr>
            <w:tcW w:w="5923" w:type="dxa"/>
            <w:gridSpan w:val="2"/>
            <w:vAlign w:val="center"/>
          </w:tcPr>
          <w:p>
            <w:pPr>
              <w:jc w:val="center"/>
              <w:rPr>
                <w:rFonts w:hAnsi="宋体"/>
                <w:bCs/>
                <w:sz w:val="24"/>
                <w:highlight w:val="none"/>
              </w:rPr>
            </w:pPr>
            <w:r>
              <w:rPr>
                <w:rFonts w:hint="eastAsia" w:hAnsi="宋体"/>
                <w:bCs/>
                <w:sz w:val="24"/>
                <w:highlight w:val="none"/>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highlight w:val="none"/>
              </w:rPr>
            </w:pPr>
            <w:r>
              <w:rPr>
                <w:rFonts w:hint="eastAsia" w:hAnsi="宋体"/>
                <w:sz w:val="24"/>
                <w:highlight w:val="none"/>
              </w:rPr>
              <w:t>1</w:t>
            </w:r>
          </w:p>
        </w:tc>
        <w:tc>
          <w:tcPr>
            <w:tcW w:w="2268" w:type="dxa"/>
            <w:vAlign w:val="center"/>
          </w:tcPr>
          <w:p>
            <w:pPr>
              <w:jc w:val="center"/>
              <w:rPr>
                <w:rFonts w:hint="eastAsia" w:hAnsi="宋体" w:eastAsia="宋体"/>
                <w:sz w:val="24"/>
                <w:highlight w:val="none"/>
                <w:lang w:eastAsia="zh-CN"/>
              </w:rPr>
            </w:pPr>
            <w:r>
              <w:rPr>
                <w:rFonts w:hint="eastAsia" w:hAnsi="宋体"/>
                <w:sz w:val="24"/>
                <w:highlight w:val="none"/>
                <w:lang w:val="en-US" w:eastAsia="zh-CN"/>
              </w:rPr>
              <w:t>除“四害”</w:t>
            </w:r>
            <w:r>
              <w:rPr>
                <w:rFonts w:hint="eastAsia" w:hAnsi="宋体"/>
                <w:sz w:val="24"/>
                <w:highlight w:val="none"/>
              </w:rPr>
              <w:t>每月报价</w:t>
            </w:r>
            <w:r>
              <w:rPr>
                <w:rFonts w:hint="eastAsia" w:hAnsi="宋体"/>
                <w:sz w:val="24"/>
                <w:highlight w:val="none"/>
                <w:lang w:eastAsia="zh-CN"/>
              </w:rPr>
              <w:t>（</w:t>
            </w:r>
            <w:r>
              <w:rPr>
                <w:rFonts w:hint="eastAsia" w:hAnsi="宋体"/>
                <w:sz w:val="24"/>
                <w:highlight w:val="none"/>
                <w:lang w:val="en-US" w:eastAsia="zh-CN"/>
              </w:rPr>
              <w:t>含税</w:t>
            </w:r>
            <w:r>
              <w:rPr>
                <w:rFonts w:hint="eastAsia" w:hAnsi="宋体"/>
                <w:sz w:val="24"/>
                <w:highlight w:val="none"/>
                <w:lang w:eastAsia="zh-CN"/>
              </w:rPr>
              <w:t>）</w:t>
            </w:r>
          </w:p>
        </w:tc>
        <w:tc>
          <w:tcPr>
            <w:tcW w:w="5923"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highlight w:val="none"/>
              </w:rPr>
            </w:pPr>
            <w:r>
              <w:rPr>
                <w:rFonts w:hint="eastAsia" w:hAnsi="宋体"/>
                <w:sz w:val="24"/>
                <w:highlight w:val="none"/>
              </w:rPr>
              <w:t>2</w:t>
            </w:r>
          </w:p>
        </w:tc>
        <w:tc>
          <w:tcPr>
            <w:tcW w:w="2268" w:type="dxa"/>
            <w:vAlign w:val="center"/>
          </w:tcPr>
          <w:p>
            <w:pPr>
              <w:jc w:val="center"/>
              <w:rPr>
                <w:rFonts w:hint="eastAsia" w:hAnsi="宋体" w:eastAsia="宋体"/>
                <w:sz w:val="24"/>
                <w:highlight w:val="none"/>
                <w:lang w:eastAsia="zh-CN"/>
              </w:rPr>
            </w:pPr>
            <w:r>
              <w:rPr>
                <w:rFonts w:hint="eastAsia" w:hAnsi="宋体"/>
                <w:sz w:val="24"/>
                <w:highlight w:val="none"/>
                <w:lang w:val="en-US" w:eastAsia="zh-CN"/>
              </w:rPr>
              <w:t>除“四害”</w:t>
            </w:r>
            <w:r>
              <w:rPr>
                <w:rFonts w:hint="eastAsia" w:hAnsi="宋体"/>
                <w:sz w:val="24"/>
                <w:highlight w:val="none"/>
              </w:rPr>
              <w:t>投标总价</w:t>
            </w:r>
            <w:r>
              <w:rPr>
                <w:rFonts w:hint="eastAsia" w:hAnsi="宋体"/>
                <w:sz w:val="24"/>
                <w:highlight w:val="none"/>
                <w:lang w:eastAsia="zh-CN"/>
              </w:rPr>
              <w:t>（</w:t>
            </w:r>
            <w:r>
              <w:rPr>
                <w:rFonts w:hint="eastAsia" w:hAnsi="宋体"/>
                <w:sz w:val="24"/>
                <w:highlight w:val="none"/>
                <w:lang w:val="en-US" w:eastAsia="zh-CN"/>
              </w:rPr>
              <w:t>含税</w:t>
            </w:r>
            <w:r>
              <w:rPr>
                <w:rFonts w:hint="eastAsia" w:hAnsi="宋体"/>
                <w:sz w:val="24"/>
                <w:highlight w:val="none"/>
                <w:lang w:eastAsia="zh-CN"/>
              </w:rPr>
              <w:t>）</w:t>
            </w:r>
          </w:p>
        </w:tc>
        <w:tc>
          <w:tcPr>
            <w:tcW w:w="5923"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ascii="宋体" w:hAnsi="宋体"/>
                <w:sz w:val="24"/>
                <w:highlight w:val="none"/>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int="eastAsia" w:hAnsi="宋体" w:eastAsia="宋体"/>
                <w:sz w:val="24"/>
                <w:highlight w:val="none"/>
                <w:lang w:val="en-US" w:eastAsia="zh-CN"/>
              </w:rPr>
            </w:pPr>
            <w:r>
              <w:rPr>
                <w:rFonts w:hint="eastAsia" w:hAnsi="宋体"/>
                <w:sz w:val="24"/>
                <w:highlight w:val="none"/>
                <w:lang w:val="en-US" w:eastAsia="zh-CN"/>
              </w:rPr>
              <w:t>3</w:t>
            </w:r>
          </w:p>
        </w:tc>
        <w:tc>
          <w:tcPr>
            <w:tcW w:w="2268" w:type="dxa"/>
            <w:vAlign w:val="center"/>
          </w:tcPr>
          <w:p>
            <w:pPr>
              <w:jc w:val="center"/>
              <w:rPr>
                <w:rFonts w:hint="default" w:hAnsi="宋体" w:eastAsia="宋体"/>
                <w:sz w:val="24"/>
                <w:highlight w:val="none"/>
                <w:lang w:val="en-US" w:eastAsia="zh-CN"/>
              </w:rPr>
            </w:pPr>
            <w:r>
              <w:rPr>
                <w:rFonts w:hint="eastAsia" w:hAnsi="宋体"/>
                <w:sz w:val="24"/>
                <w:highlight w:val="none"/>
                <w:lang w:val="en-US" w:eastAsia="zh-CN"/>
              </w:rPr>
              <w:t>消杀白蚁单价(元/点）含税</w:t>
            </w:r>
          </w:p>
        </w:tc>
        <w:tc>
          <w:tcPr>
            <w:tcW w:w="5923" w:type="dxa"/>
            <w:gridSpan w:val="2"/>
            <w:vAlign w:val="center"/>
          </w:tcPr>
          <w:p>
            <w:pPr>
              <w:rPr>
                <w:rFonts w:hAnsi="宋体"/>
                <w:sz w:val="24"/>
                <w:highlight w:val="none"/>
              </w:rPr>
            </w:pPr>
            <w:r>
              <w:rPr>
                <w:rFonts w:hint="eastAsia" w:ascii="宋体" w:hAnsi="宋体"/>
                <w:sz w:val="24"/>
                <w:highlight w:val="none"/>
              </w:rPr>
              <w:t>大写</w:t>
            </w:r>
            <w:r>
              <w:rPr>
                <w:rFonts w:hint="eastAsia" w:hAnsi="宋体"/>
                <w:sz w:val="24"/>
                <w:highlight w:val="none"/>
              </w:rPr>
              <w:t>：</w:t>
            </w:r>
          </w:p>
          <w:p>
            <w:pPr>
              <w:rPr>
                <w:rFonts w:hint="eastAsia" w:ascii="宋体" w:hAnsi="宋体"/>
                <w:sz w:val="24"/>
                <w:highlight w:val="none"/>
                <w:lang w:val="en-US" w:eastAsia="zh-CN"/>
              </w:rPr>
            </w:pPr>
            <w:r>
              <w:rPr>
                <w:rFonts w:hint="eastAsia" w:hAnsi="宋体"/>
                <w:sz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int="default" w:hAnsi="宋体"/>
                <w:sz w:val="24"/>
                <w:highlight w:val="none"/>
                <w:lang w:val="en-US" w:eastAsia="zh-CN"/>
              </w:rPr>
            </w:pPr>
            <w:r>
              <w:rPr>
                <w:rFonts w:hint="eastAsia" w:hAnsi="宋体"/>
                <w:sz w:val="24"/>
                <w:highlight w:val="none"/>
                <w:lang w:val="en-US" w:eastAsia="zh-CN"/>
              </w:rPr>
              <w:t>4</w:t>
            </w:r>
          </w:p>
        </w:tc>
        <w:tc>
          <w:tcPr>
            <w:tcW w:w="2268" w:type="dxa"/>
            <w:vAlign w:val="center"/>
          </w:tcPr>
          <w:p>
            <w:pPr>
              <w:jc w:val="center"/>
              <w:rPr>
                <w:rFonts w:hint="default" w:hAnsi="宋体" w:eastAsia="宋体"/>
                <w:sz w:val="24"/>
                <w:highlight w:val="none"/>
                <w:lang w:val="en-US" w:eastAsia="zh-CN"/>
              </w:rPr>
            </w:pPr>
            <w:r>
              <w:rPr>
                <w:rFonts w:hint="eastAsia" w:hAnsi="宋体"/>
                <w:sz w:val="24"/>
                <w:highlight w:val="none"/>
                <w:lang w:val="en-US" w:eastAsia="zh-CN"/>
              </w:rPr>
              <w:t>增值税税点</w:t>
            </w:r>
          </w:p>
        </w:tc>
        <w:tc>
          <w:tcPr>
            <w:tcW w:w="5923" w:type="dxa"/>
            <w:gridSpan w:val="2"/>
            <w:vAlign w:val="center"/>
          </w:tcPr>
          <w:p>
            <w:pPr>
              <w:rPr>
                <w:rFonts w:hint="eastAsia" w:ascii="宋体" w:hAnsi="宋体"/>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highlight w:val="none"/>
              </w:rPr>
            </w:pPr>
            <w:r>
              <w:rPr>
                <w:rFonts w:hint="eastAsia" w:hAnsi="宋体"/>
                <w:sz w:val="24"/>
                <w:highlight w:val="none"/>
                <w:lang w:val="en-US" w:eastAsia="zh-CN"/>
              </w:rPr>
              <w:t>5</w:t>
            </w:r>
          </w:p>
        </w:tc>
        <w:tc>
          <w:tcPr>
            <w:tcW w:w="2268" w:type="dxa"/>
            <w:vAlign w:val="center"/>
          </w:tcPr>
          <w:p>
            <w:pPr>
              <w:jc w:val="center"/>
              <w:rPr>
                <w:rFonts w:hAnsi="宋体"/>
                <w:sz w:val="24"/>
                <w:highlight w:val="none"/>
              </w:rPr>
            </w:pPr>
            <w:r>
              <w:rPr>
                <w:rFonts w:hint="eastAsia" w:hAnsi="宋体"/>
                <w:sz w:val="24"/>
                <w:highlight w:val="none"/>
              </w:rPr>
              <w:t>服务期</w:t>
            </w:r>
          </w:p>
        </w:tc>
        <w:tc>
          <w:tcPr>
            <w:tcW w:w="5923" w:type="dxa"/>
            <w:gridSpan w:val="2"/>
            <w:vAlign w:val="center"/>
          </w:tcPr>
          <w:p>
            <w:pPr>
              <w:rPr>
                <w:rFonts w:hint="default" w:ascii="宋体" w:hAnsi="宋体" w:eastAsia="宋体"/>
                <w:sz w:val="24"/>
                <w:highlight w:val="none"/>
                <w:lang w:val="en-US" w:eastAsia="zh-CN"/>
              </w:rPr>
            </w:pPr>
            <w:r>
              <w:rPr>
                <w:rFonts w:hint="eastAsia" w:ascii="宋体" w:hAnsi="宋体"/>
                <w:sz w:val="24"/>
                <w:highlight w:val="none"/>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int="eastAsia" w:hAnsi="宋体" w:eastAsia="宋体"/>
                <w:sz w:val="24"/>
                <w:highlight w:val="none"/>
                <w:lang w:eastAsia="zh-CN"/>
              </w:rPr>
            </w:pPr>
            <w:r>
              <w:rPr>
                <w:rFonts w:hint="eastAsia" w:hAnsi="宋体"/>
                <w:sz w:val="24"/>
                <w:highlight w:val="none"/>
                <w:lang w:val="en-US" w:eastAsia="zh-CN"/>
              </w:rPr>
              <w:t>6</w:t>
            </w:r>
          </w:p>
        </w:tc>
        <w:tc>
          <w:tcPr>
            <w:tcW w:w="2268" w:type="dxa"/>
            <w:vMerge w:val="restart"/>
            <w:vAlign w:val="center"/>
          </w:tcPr>
          <w:p>
            <w:pPr>
              <w:jc w:val="center"/>
              <w:rPr>
                <w:rFonts w:hAnsi="宋体"/>
                <w:sz w:val="24"/>
                <w:highlight w:val="none"/>
              </w:rPr>
            </w:pPr>
            <w:r>
              <w:rPr>
                <w:rFonts w:hint="eastAsia" w:hAnsi="宋体"/>
                <w:sz w:val="24"/>
                <w:highlight w:val="none"/>
              </w:rPr>
              <w:t>拟委派的项目</w:t>
            </w:r>
          </w:p>
          <w:p>
            <w:pPr>
              <w:jc w:val="center"/>
              <w:rPr>
                <w:rFonts w:hAnsi="宋体"/>
                <w:sz w:val="24"/>
                <w:highlight w:val="none"/>
              </w:rPr>
            </w:pPr>
            <w:r>
              <w:rPr>
                <w:rFonts w:hint="eastAsia" w:hAnsi="宋体"/>
                <w:sz w:val="24"/>
                <w:highlight w:val="none"/>
              </w:rPr>
              <w:t>负责人</w:t>
            </w:r>
          </w:p>
        </w:tc>
        <w:tc>
          <w:tcPr>
            <w:tcW w:w="2126" w:type="dxa"/>
            <w:vAlign w:val="center"/>
          </w:tcPr>
          <w:p>
            <w:pPr>
              <w:jc w:val="center"/>
              <w:rPr>
                <w:rFonts w:hAnsi="宋体"/>
                <w:sz w:val="24"/>
                <w:highlight w:val="none"/>
              </w:rPr>
            </w:pPr>
            <w:r>
              <w:rPr>
                <w:rFonts w:hint="eastAsia" w:hAnsi="宋体"/>
                <w:sz w:val="24"/>
                <w:highlight w:val="none"/>
              </w:rPr>
              <w:t>姓    名</w:t>
            </w:r>
          </w:p>
        </w:tc>
        <w:tc>
          <w:tcPr>
            <w:tcW w:w="3797" w:type="dxa"/>
            <w:vAlign w:val="center"/>
          </w:tcPr>
          <w:p>
            <w:pPr>
              <w:jc w:val="center"/>
              <w:rPr>
                <w:rFonts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jc w:val="center"/>
              <w:rPr>
                <w:rFonts w:hAnsi="宋体"/>
                <w:sz w:val="24"/>
                <w:highlight w:val="none"/>
              </w:rPr>
            </w:pPr>
          </w:p>
        </w:tc>
        <w:tc>
          <w:tcPr>
            <w:tcW w:w="2268" w:type="dxa"/>
            <w:vMerge w:val="continue"/>
            <w:vAlign w:val="center"/>
          </w:tcPr>
          <w:p>
            <w:pPr>
              <w:jc w:val="center"/>
              <w:rPr>
                <w:rFonts w:hAnsi="宋体"/>
                <w:sz w:val="24"/>
                <w:highlight w:val="none"/>
              </w:rPr>
            </w:pPr>
          </w:p>
        </w:tc>
        <w:tc>
          <w:tcPr>
            <w:tcW w:w="2126" w:type="dxa"/>
            <w:vAlign w:val="center"/>
          </w:tcPr>
          <w:p>
            <w:pPr>
              <w:jc w:val="center"/>
              <w:rPr>
                <w:rFonts w:hAnsi="宋体"/>
                <w:sz w:val="24"/>
                <w:highlight w:val="none"/>
              </w:rPr>
            </w:pPr>
            <w:r>
              <w:rPr>
                <w:rFonts w:hint="eastAsia" w:hAnsi="宋体"/>
                <w:sz w:val="24"/>
                <w:highlight w:val="none"/>
              </w:rPr>
              <w:t>技术职称</w:t>
            </w:r>
          </w:p>
        </w:tc>
        <w:tc>
          <w:tcPr>
            <w:tcW w:w="3797" w:type="dxa"/>
            <w:vAlign w:val="center"/>
          </w:tcPr>
          <w:p>
            <w:pPr>
              <w:jc w:val="center"/>
              <w:rPr>
                <w:rFonts w:hAnsi="宋体"/>
                <w:sz w:val="24"/>
                <w:highlight w:val="none"/>
              </w:rPr>
            </w:pPr>
          </w:p>
        </w:tc>
      </w:tr>
    </w:tbl>
    <w:p>
      <w:pPr>
        <w:spacing w:line="360" w:lineRule="auto"/>
        <w:rPr>
          <w:rFonts w:hAnsi="宋体"/>
          <w:highlight w:val="none"/>
        </w:rPr>
      </w:pPr>
      <w:r>
        <w:rPr>
          <w:rFonts w:hint="eastAsia" w:hAnsi="宋体"/>
          <w:highlight w:val="none"/>
        </w:rPr>
        <w:t>注：（1）投标总价为人民币报价。</w:t>
      </w:r>
    </w:p>
    <w:p>
      <w:pPr>
        <w:spacing w:line="360" w:lineRule="auto"/>
        <w:ind w:firstLine="420" w:firstLineChars="200"/>
        <w:rPr>
          <w:rFonts w:hAnsi="宋体"/>
          <w:highlight w:val="none"/>
        </w:rPr>
      </w:pPr>
      <w:r>
        <w:rPr>
          <w:rFonts w:hint="eastAsia" w:hAnsi="宋体"/>
          <w:highlight w:val="none"/>
        </w:rPr>
        <w:t>（2）投标总价是所有需采购人支付的本次项目采购的金额总数，应包括竞选文件要求的全部内容，投标人完成本项目（如果中标）所必须的</w:t>
      </w:r>
      <w:r>
        <w:rPr>
          <w:rFonts w:hint="eastAsia" w:hAnsi="宋体"/>
          <w:bCs/>
          <w:highlight w:val="none"/>
        </w:rPr>
        <w:t>所有成本费用和投标人应承担的一切税费</w:t>
      </w:r>
      <w:r>
        <w:rPr>
          <w:rFonts w:hint="eastAsia" w:hAnsi="宋体"/>
          <w:highlight w:val="none"/>
        </w:rPr>
        <w:t>，包括但不限于全部人工费、材料、设备、工具、机具、安装运输、规费、措施费、合理利润、管理费、税费等及清理现场的费用、合同实施过程中应预见和不可预见费用等等。</w:t>
      </w:r>
    </w:p>
    <w:p>
      <w:pPr>
        <w:tabs>
          <w:tab w:val="left" w:pos="8364"/>
        </w:tabs>
        <w:spacing w:line="360" w:lineRule="auto"/>
        <w:ind w:firstLine="420" w:firstLineChars="200"/>
        <w:rPr>
          <w:rFonts w:hAnsi="宋体"/>
          <w:bCs/>
          <w:highlight w:val="none"/>
        </w:rPr>
      </w:pPr>
      <w:r>
        <w:rPr>
          <w:rFonts w:hint="eastAsia" w:hAnsi="宋体"/>
          <w:highlight w:val="none"/>
        </w:rPr>
        <w:t>（3）若用小写表示的金额和用大写表示的金额不一致，以大写表示的金额为准。</w:t>
      </w:r>
    </w:p>
    <w:p>
      <w:pPr>
        <w:spacing w:line="400" w:lineRule="exact"/>
        <w:rPr>
          <w:rFonts w:hAnsi="宋体"/>
          <w:szCs w:val="21"/>
        </w:rPr>
      </w:pPr>
    </w:p>
    <w:p>
      <w:pPr>
        <w:spacing w:line="400" w:lineRule="exact"/>
        <w:rPr>
          <w:rFonts w:hAnsi="宋体"/>
          <w:szCs w:val="21"/>
        </w:rPr>
      </w:pPr>
    </w:p>
    <w:p>
      <w:pPr>
        <w:spacing w:line="400" w:lineRule="exact"/>
        <w:rPr>
          <w:rFonts w:hAnsi="宋体"/>
          <w:szCs w:val="21"/>
        </w:rPr>
      </w:pPr>
      <w:r>
        <w:rPr>
          <w:rFonts w:hint="eastAsia" w:hAnsi="宋体"/>
          <w:szCs w:val="21"/>
        </w:rPr>
        <w:t>投标人名称（盖章）：</w:t>
      </w:r>
    </w:p>
    <w:p>
      <w:pPr>
        <w:rPr>
          <w:rFonts w:hAnsi="宋体"/>
          <w:szCs w:val="21"/>
        </w:rPr>
      </w:pPr>
    </w:p>
    <w:p>
      <w:pPr>
        <w:rPr>
          <w:rFonts w:hAnsi="宋体"/>
          <w:szCs w:val="21"/>
        </w:rPr>
      </w:pPr>
    </w:p>
    <w:p>
      <w:pPr>
        <w:rPr>
          <w:rFonts w:ascii="仿宋" w:hAnsi="仿宋" w:eastAsia="仿宋" w:cs="仿宋"/>
          <w:szCs w:val="21"/>
        </w:rPr>
      </w:pPr>
      <w:r>
        <w:rPr>
          <w:rFonts w:hint="eastAsia" w:hAnsi="宋体"/>
          <w:szCs w:val="21"/>
        </w:rPr>
        <w:t>日期：202</w:t>
      </w:r>
      <w:r>
        <w:rPr>
          <w:rFonts w:hAnsi="宋体"/>
          <w:szCs w:val="21"/>
        </w:rPr>
        <w:t>2</w:t>
      </w:r>
      <w:r>
        <w:rPr>
          <w:rFonts w:hint="eastAsia" w:hAnsi="宋体"/>
          <w:szCs w:val="21"/>
        </w:rPr>
        <w:t xml:space="preserve">年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r>
        <w:rPr>
          <w:rFonts w:ascii="仿宋" w:hAnsi="仿宋" w:eastAsia="仿宋" w:cs="仿宋"/>
          <w:szCs w:val="21"/>
        </w:rPr>
        <w:br w:type="page"/>
      </w:r>
    </w:p>
    <w:p>
      <w:pPr>
        <w:spacing w:line="400" w:lineRule="exact"/>
        <w:rPr>
          <w:rFonts w:ascii="宋体" w:hAnsi="宋体" w:cs="Arial"/>
          <w:color w:val="000000"/>
          <w:sz w:val="30"/>
          <w:szCs w:val="30"/>
        </w:rPr>
      </w:pPr>
      <w:r>
        <w:rPr>
          <w:rFonts w:hint="eastAsia" w:ascii="宋体" w:hAnsi="宋体" w:cs="Arial"/>
          <w:color w:val="000000"/>
          <w:sz w:val="30"/>
          <w:szCs w:val="30"/>
        </w:rPr>
        <w:t>附件</w:t>
      </w:r>
      <w:r>
        <w:rPr>
          <w:rFonts w:ascii="宋体" w:hAnsi="宋体" w:cs="Arial"/>
          <w:color w:val="000000"/>
          <w:sz w:val="30"/>
          <w:szCs w:val="30"/>
        </w:rPr>
        <w:t>2</w:t>
      </w:r>
    </w:p>
    <w:tbl>
      <w:tblPr>
        <w:tblStyle w:val="15"/>
        <w:tblW w:w="9227" w:type="dxa"/>
        <w:tblInd w:w="95" w:type="dxa"/>
        <w:tblLayout w:type="fixed"/>
        <w:tblCellMar>
          <w:top w:w="0" w:type="dxa"/>
          <w:left w:w="108" w:type="dxa"/>
          <w:bottom w:w="0" w:type="dxa"/>
          <w:right w:w="108" w:type="dxa"/>
        </w:tblCellMar>
      </w:tblPr>
      <w:tblGrid>
        <w:gridCol w:w="1431"/>
        <w:gridCol w:w="2069"/>
        <w:gridCol w:w="1191"/>
        <w:gridCol w:w="1559"/>
        <w:gridCol w:w="1276"/>
        <w:gridCol w:w="1701"/>
      </w:tblGrid>
      <w:tr>
        <w:tblPrEx>
          <w:tblLayout w:type="fixed"/>
          <w:tblCellMar>
            <w:top w:w="0" w:type="dxa"/>
            <w:left w:w="108" w:type="dxa"/>
            <w:bottom w:w="0" w:type="dxa"/>
            <w:right w:w="108" w:type="dxa"/>
          </w:tblCellMar>
        </w:tblPrEx>
        <w:trPr>
          <w:trHeight w:val="444" w:hRule="atLeast"/>
        </w:trPr>
        <w:tc>
          <w:tcPr>
            <w:tcW w:w="9227" w:type="dxa"/>
            <w:gridSpan w:val="6"/>
            <w:tcBorders>
              <w:top w:val="nil"/>
              <w:left w:val="nil"/>
              <w:bottom w:val="nil"/>
              <w:right w:val="nil"/>
            </w:tcBorders>
            <w:shd w:val="clear" w:color="auto" w:fill="auto"/>
            <w:vAlign w:val="center"/>
          </w:tcPr>
          <w:p>
            <w:pPr>
              <w:widowControl/>
              <w:ind w:firstLine="3022" w:firstLineChars="687"/>
              <w:rPr>
                <w:rFonts w:ascii="黑体" w:hAnsi="黑体" w:eastAsia="黑体" w:cs="宋体"/>
                <w:kern w:val="0"/>
                <w:sz w:val="44"/>
                <w:szCs w:val="44"/>
              </w:rPr>
            </w:pPr>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227" w:type="dxa"/>
            <w:gridSpan w:val="6"/>
            <w:tcBorders>
              <w:top w:val="nil"/>
              <w:left w:val="nil"/>
              <w:bottom w:val="single" w:color="auto" w:sz="8" w:space="0"/>
              <w:right w:val="nil"/>
            </w:tcBorders>
            <w:shd w:val="clear" w:color="auto" w:fill="auto"/>
            <w:vAlign w:val="center"/>
          </w:tcPr>
          <w:p>
            <w:pPr>
              <w:widowControl/>
              <w:rPr>
                <w:rFonts w:ascii="宋体" w:hAnsi="宋体" w:cs="宋体"/>
                <w:kern w:val="0"/>
                <w:szCs w:val="21"/>
              </w:rPr>
            </w:pPr>
            <w:r>
              <w:rPr>
                <w:rFonts w:hint="eastAsia" w:ascii="宋体" w:hAnsi="宋体" w:cs="宋体"/>
                <w:kern w:val="0"/>
                <w:szCs w:val="21"/>
              </w:rPr>
              <w:t>项目名称：生产现场除“四害”</w:t>
            </w:r>
            <w:r>
              <w:rPr>
                <w:rFonts w:hint="eastAsia" w:ascii="宋体" w:hAnsi="宋体" w:cs="宋体"/>
                <w:kern w:val="0"/>
                <w:szCs w:val="21"/>
                <w:lang w:eastAsia="zh-CN"/>
              </w:rPr>
              <w:t>、</w:t>
            </w:r>
            <w:r>
              <w:rPr>
                <w:rFonts w:hint="eastAsia" w:ascii="宋体" w:hAnsi="宋体" w:cs="宋体"/>
                <w:kern w:val="0"/>
                <w:szCs w:val="21"/>
              </w:rPr>
              <w:t>消杀白蚁项目</w:t>
            </w: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206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19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276"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0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96"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81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55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2977"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227"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43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4536" w:type="dxa"/>
            <w:gridSpan w:val="3"/>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bl>
    <w:p>
      <w:pPr>
        <w:spacing w:line="400" w:lineRule="exact"/>
        <w:ind w:left="560" w:hanging="560" w:hangingChars="200"/>
        <w:rPr>
          <w:sz w:val="28"/>
          <w:szCs w:val="28"/>
        </w:rPr>
      </w:pPr>
    </w:p>
    <w:p>
      <w:pPr>
        <w:spacing w:line="400" w:lineRule="exact"/>
        <w:ind w:left="560" w:hanging="560" w:hangingChars="200"/>
        <w:rPr>
          <w:sz w:val="28"/>
          <w:szCs w:val="28"/>
        </w:rPr>
      </w:pPr>
    </w:p>
    <w:p>
      <w:pPr>
        <w:spacing w:line="400" w:lineRule="exact"/>
        <w:ind w:left="560" w:hanging="560" w:hangingChars="200"/>
        <w:rPr>
          <w:sz w:val="28"/>
          <w:szCs w:val="28"/>
        </w:rPr>
      </w:pPr>
      <w:r>
        <w:rPr>
          <w:sz w:val="28"/>
          <w:szCs w:val="28"/>
        </w:rPr>
        <w:t>投标单位</w:t>
      </w:r>
      <w:r>
        <w:rPr>
          <w:rFonts w:hint="eastAsia"/>
          <w:sz w:val="28"/>
          <w:szCs w:val="28"/>
        </w:rPr>
        <w:t>（盖章）：</w:t>
      </w:r>
    </w:p>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日期：202</w:t>
      </w:r>
      <w:r>
        <w:rPr>
          <w:sz w:val="28"/>
          <w:szCs w:val="28"/>
        </w:rPr>
        <w:t>2</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p>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w:t>
      </w:r>
      <w:r>
        <w:rPr>
          <w:rFonts w:ascii="宋体" w:hAnsi="宋体"/>
          <w:bCs/>
          <w:sz w:val="30"/>
          <w:szCs w:val="30"/>
        </w:rPr>
        <w:t>3</w:t>
      </w:r>
    </w:p>
    <w:p>
      <w:pPr>
        <w:spacing w:line="500" w:lineRule="exact"/>
        <w:jc w:val="center"/>
        <w:rPr>
          <w:rFonts w:eastAsia="黑体"/>
          <w:b/>
          <w:bCs/>
          <w:sz w:val="36"/>
        </w:rPr>
      </w:pPr>
      <w:r>
        <w:rPr>
          <w:rFonts w:hint="eastAsia" w:eastAsia="黑体"/>
          <w:b/>
          <w:bCs/>
          <w:sz w:val="36"/>
        </w:rPr>
        <w:t>法定代表人身份证明书</w:t>
      </w:r>
    </w:p>
    <w:p>
      <w:pPr>
        <w:spacing w:line="500" w:lineRule="exact"/>
        <w:jc w:val="center"/>
        <w:rPr>
          <w:b/>
          <w:bCs/>
          <w:szCs w:val="21"/>
        </w:rPr>
      </w:pPr>
    </w:p>
    <w:p>
      <w:pPr>
        <w:spacing w:line="500" w:lineRule="exact"/>
        <w:ind w:firstLine="560" w:firstLineChars="200"/>
        <w:rPr>
          <w:rFonts w:ascii="宋体" w:hAnsi="宋体" w:cs="宋体"/>
          <w:sz w:val="28"/>
        </w:rPr>
      </w:pP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w:t>
      </w:r>
      <w:r>
        <w:rPr>
          <w:rFonts w:hAnsi="宋体" w:cs="宋体"/>
          <w:sz w:val="28"/>
          <w:szCs w:val="28"/>
        </w:rPr>
        <w:t>2</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附：法定代表人身份证正反面或其他身份证明材料复印件</w:t>
      </w:r>
    </w:p>
    <w:p>
      <w:pPr>
        <w:spacing w:line="360" w:lineRule="auto"/>
        <w:rPr>
          <w:rFonts w:ascii="宋体" w:hAnsi="宋体" w:cs="Arial"/>
          <w:color w:val="000000"/>
          <w:sz w:val="28"/>
          <w:szCs w:val="28"/>
        </w:rPr>
      </w:pPr>
    </w:p>
    <w:p>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500" w:lineRule="exact"/>
        <w:ind w:firstLine="2168" w:firstLineChars="600"/>
        <w:rPr>
          <w:rFonts w:eastAsia="黑体"/>
          <w:b/>
          <w:bCs/>
          <w:sz w:val="36"/>
        </w:rPr>
      </w:pPr>
      <w:r>
        <w:rPr>
          <w:rFonts w:hint="eastAsia" w:eastAsia="黑体"/>
          <w:b/>
          <w:bCs/>
          <w:sz w:val="36"/>
        </w:rPr>
        <w:t>法定代表人授权委托证明书</w:t>
      </w:r>
    </w:p>
    <w:p>
      <w:pPr>
        <w:pStyle w:val="18"/>
        <w:spacing w:line="360" w:lineRule="auto"/>
        <w:ind w:firstLine="424" w:firstLineChars="177"/>
        <w:rPr>
          <w:rFonts w:hAnsi="宋体"/>
          <w:bCs/>
          <w:sz w:val="24"/>
          <w:szCs w:val="24"/>
        </w:rPr>
      </w:pPr>
    </w:p>
    <w:p>
      <w:pPr>
        <w:pStyle w:val="18"/>
        <w:spacing w:line="360" w:lineRule="auto"/>
        <w:ind w:firstLine="480" w:firstLineChars="200"/>
        <w:rPr>
          <w:rFonts w:hAnsi="宋体"/>
          <w:sz w:val="24"/>
          <w:szCs w:val="24"/>
        </w:rPr>
      </w:pPr>
      <w:r>
        <w:rPr>
          <w:rFonts w:hint="eastAsia" w:hAnsi="宋体"/>
          <w:bCs/>
          <w:sz w:val="24"/>
          <w:szCs w:val="24"/>
        </w:rPr>
        <w:t>兹授权</w:t>
      </w:r>
      <w:r>
        <w:rPr>
          <w:rFonts w:hint="eastAsia" w:hAnsi="宋体"/>
          <w:bCs/>
          <w:sz w:val="24"/>
          <w:szCs w:val="24"/>
          <w:u w:val="single"/>
        </w:rPr>
        <w:t>（委托代理人姓名）</w:t>
      </w:r>
      <w:r>
        <w:rPr>
          <w:rFonts w:hint="eastAsia" w:hAnsi="宋体"/>
          <w:bCs/>
          <w:sz w:val="24"/>
          <w:szCs w:val="24"/>
        </w:rPr>
        <w:t>为我方委托代理人，其权限是：</w:t>
      </w:r>
      <w:r>
        <w:rPr>
          <w:rFonts w:hint="eastAsia" w:hAnsi="宋体"/>
          <w:sz w:val="24"/>
          <w:szCs w:val="24"/>
        </w:rPr>
        <w:t xml:space="preserve">办理                       </w:t>
      </w:r>
      <w:r>
        <w:rPr>
          <w:rFonts w:hint="eastAsia" w:hAnsi="宋体"/>
          <w:sz w:val="24"/>
          <w:szCs w:val="24"/>
          <w:u w:val="single"/>
        </w:rPr>
        <w:t>广州大学城投资经营管理有限公司</w:t>
      </w:r>
      <w:r>
        <w:rPr>
          <w:rFonts w:hint="eastAsia" w:hAnsi="宋体"/>
          <w:sz w:val="24"/>
          <w:szCs w:val="24"/>
        </w:rPr>
        <w:t>组织的“</w:t>
      </w:r>
      <w:r>
        <w:rPr>
          <w:rFonts w:hint="eastAsia" w:hAnsi="宋体"/>
          <w:sz w:val="24"/>
          <w:szCs w:val="24"/>
          <w:u w:val="single"/>
        </w:rPr>
        <w:t>生产现场除“四害”</w:t>
      </w:r>
      <w:r>
        <w:rPr>
          <w:rFonts w:hint="eastAsia" w:hAnsi="宋体"/>
          <w:sz w:val="24"/>
          <w:szCs w:val="24"/>
          <w:u w:val="single"/>
          <w:lang w:eastAsia="zh-CN"/>
        </w:rPr>
        <w:t>、</w:t>
      </w:r>
      <w:r>
        <w:rPr>
          <w:rFonts w:hint="eastAsia" w:hAnsi="宋体"/>
          <w:sz w:val="24"/>
          <w:szCs w:val="24"/>
          <w:u w:val="single"/>
        </w:rPr>
        <w:t>消杀白蚁项目</w:t>
      </w:r>
      <w:r>
        <w:rPr>
          <w:rFonts w:hint="eastAsia" w:hAnsi="宋体"/>
          <w:sz w:val="24"/>
          <w:szCs w:val="24"/>
        </w:rPr>
        <w:t>”的投标和合同执行，以我方的名义处理一切与之有关的事宜。</w:t>
      </w:r>
    </w:p>
    <w:p>
      <w:pPr>
        <w:pStyle w:val="1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u w:val="single"/>
          <w:lang w:val="en-GB"/>
        </w:rPr>
        <w:t xml:space="preserve"> </w:t>
      </w:r>
      <w:r>
        <w:rPr>
          <w:rFonts w:hAnsi="宋体"/>
          <w:sz w:val="24"/>
          <w:szCs w:val="24"/>
          <w:u w:val="single"/>
          <w:lang w:val="en-GB"/>
        </w:rPr>
        <w:t xml:space="preserve">      </w:t>
      </w:r>
      <w:r>
        <w:rPr>
          <w:rFonts w:hint="eastAsia" w:hAnsi="宋体"/>
          <w:sz w:val="24"/>
          <w:szCs w:val="24"/>
        </w:rPr>
        <w:t>年</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日</w:t>
      </w:r>
      <w:r>
        <w:rPr>
          <w:rFonts w:hint="eastAsia" w:hAnsi="宋体"/>
          <w:sz w:val="24"/>
          <w:szCs w:val="24"/>
          <w:lang w:val="en-GB"/>
        </w:rPr>
        <w:t>签章之日起生效，特此声明。</w:t>
      </w:r>
    </w:p>
    <w:p>
      <w:pPr>
        <w:pStyle w:val="18"/>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18"/>
        <w:spacing w:line="360" w:lineRule="auto"/>
        <w:ind w:firstLine="480" w:firstLineChars="200"/>
        <w:rPr>
          <w:rFonts w:hAnsi="宋体"/>
          <w:sz w:val="24"/>
          <w:szCs w:val="24"/>
          <w:u w:val="single"/>
        </w:rPr>
      </w:pPr>
      <w:r>
        <w:rPr>
          <w:rFonts w:hint="eastAsia" w:hAnsi="宋体"/>
          <w:sz w:val="24"/>
          <w:szCs w:val="24"/>
        </w:rPr>
        <w:t>　　身份证号码：</w:t>
      </w:r>
    </w:p>
    <w:p>
      <w:pPr>
        <w:pStyle w:val="18"/>
        <w:spacing w:line="360" w:lineRule="auto"/>
        <w:ind w:firstLine="480" w:firstLineChars="200"/>
        <w:rPr>
          <w:rFonts w:hAnsi="宋体"/>
          <w:sz w:val="24"/>
          <w:szCs w:val="24"/>
          <w:u w:val="single"/>
        </w:rPr>
      </w:pPr>
      <w:r>
        <w:rPr>
          <w:rFonts w:hint="eastAsia" w:hAnsi="宋体"/>
          <w:sz w:val="24"/>
          <w:szCs w:val="24"/>
        </w:rPr>
        <w:t>　　（营业执照等）注册号码：</w:t>
      </w:r>
    </w:p>
    <w:p>
      <w:pPr>
        <w:pStyle w:val="18"/>
        <w:spacing w:line="360" w:lineRule="auto"/>
        <w:ind w:firstLine="480" w:firstLineChars="200"/>
        <w:rPr>
          <w:rFonts w:hAnsi="宋体"/>
          <w:sz w:val="24"/>
          <w:szCs w:val="24"/>
          <w:u w:val="single"/>
        </w:rPr>
      </w:pPr>
      <w:r>
        <w:rPr>
          <w:rFonts w:hint="eastAsia" w:hAnsi="宋体"/>
          <w:sz w:val="24"/>
          <w:szCs w:val="24"/>
        </w:rPr>
        <w:t>　　企业类型：</w:t>
      </w:r>
    </w:p>
    <w:p>
      <w:pPr>
        <w:pStyle w:val="18"/>
        <w:spacing w:line="360" w:lineRule="auto"/>
        <w:ind w:firstLine="480" w:firstLineChars="200"/>
        <w:rPr>
          <w:rFonts w:hAnsi="宋体"/>
          <w:sz w:val="24"/>
          <w:szCs w:val="24"/>
          <w:u w:val="single"/>
        </w:rPr>
      </w:pPr>
      <w:r>
        <w:rPr>
          <w:rFonts w:hint="eastAsia" w:hAnsi="宋体"/>
          <w:sz w:val="24"/>
          <w:szCs w:val="24"/>
        </w:rPr>
        <w:t>　　经营范围：</w:t>
      </w:r>
    </w:p>
    <w:p>
      <w:pPr>
        <w:pStyle w:val="18"/>
        <w:spacing w:line="360" w:lineRule="auto"/>
        <w:rPr>
          <w:rFonts w:hAnsi="宋体"/>
          <w:sz w:val="24"/>
          <w:szCs w:val="24"/>
        </w:rPr>
      </w:pPr>
      <w:r>
        <w:rPr>
          <w:rFonts w:hint="eastAsia" w:hAnsi="宋体"/>
          <w:sz w:val="24"/>
          <w:szCs w:val="24"/>
        </w:rPr>
        <w:t>附：被授权人有效身份证正反面或其他身份证明材料复印　　　　　　　</w:t>
      </w:r>
    </w:p>
    <w:p>
      <w:pPr>
        <w:pStyle w:val="17"/>
        <w:spacing w:line="360" w:lineRule="auto"/>
        <w:jc w:val="both"/>
        <w:rPr>
          <w:rFonts w:hAnsi="宋体"/>
          <w:sz w:val="24"/>
          <w:szCs w:val="24"/>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8"/>
        </w:rPr>
      </w:pPr>
    </w:p>
    <w:p>
      <w:pPr>
        <w:pStyle w:val="17"/>
        <w:spacing w:line="360" w:lineRule="auto"/>
        <w:jc w:val="both"/>
        <w:rPr>
          <w:rFonts w:hAnsi="宋体" w:eastAsia="宋体" w:cs="宋体"/>
          <w:sz w:val="24"/>
          <w:szCs w:val="24"/>
        </w:rPr>
      </w:pPr>
      <w:r>
        <w:rPr>
          <w:rFonts w:hint="eastAsia" w:hAnsi="宋体" w:eastAsia="宋体" w:cs="宋体"/>
          <w:sz w:val="24"/>
          <w:szCs w:val="24"/>
        </w:rPr>
        <w:t>（单位盖章）：</w:t>
      </w:r>
    </w:p>
    <w:p>
      <w:pPr>
        <w:pStyle w:val="17"/>
        <w:spacing w:line="360" w:lineRule="auto"/>
        <w:jc w:val="both"/>
        <w:rPr>
          <w:rFonts w:hAnsi="宋体" w:eastAsia="宋体" w:cs="宋体"/>
          <w:sz w:val="24"/>
          <w:szCs w:val="24"/>
        </w:rPr>
      </w:pPr>
    </w:p>
    <w:p>
      <w:pPr>
        <w:pStyle w:val="17"/>
        <w:spacing w:line="360" w:lineRule="auto"/>
        <w:jc w:val="both"/>
        <w:rPr>
          <w:rFonts w:hAnsi="宋体" w:eastAsia="宋体" w:cs="宋体"/>
          <w:sz w:val="24"/>
          <w:szCs w:val="24"/>
        </w:rPr>
      </w:pPr>
      <w:r>
        <w:rPr>
          <w:rFonts w:hint="eastAsia" w:hAnsi="宋体" w:eastAsia="宋体" w:cs="宋体"/>
          <w:sz w:val="24"/>
          <w:szCs w:val="24"/>
        </w:rPr>
        <w:t>法定代表人（签字或盖章）：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1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2</w:t>
      </w:r>
      <w:r>
        <w:rPr>
          <w:rFonts w:hint="eastAsia" w:hAnsi="宋体" w:eastAsia="宋体" w:cs="宋体"/>
          <w:sz w:val="24"/>
          <w:szCs w:val="24"/>
        </w:rPr>
        <w:t>年   月   日</w:t>
      </w:r>
    </w:p>
    <w:p>
      <w:pPr>
        <w:rPr>
          <w:sz w:val="24"/>
        </w:rPr>
      </w:pPr>
      <w:r>
        <w:rPr>
          <w:rFonts w:hint="eastAsia" w:hAnsi="宋体" w:cs="宋体"/>
          <w:sz w:val="24"/>
          <w:lang w:val="zh-CN"/>
        </w:rPr>
        <w:t>说明：法定代表人亲自办理投标事宜的，无需提交本证明书。</w:t>
      </w:r>
    </w:p>
    <w:p>
      <w:pPr>
        <w:spacing w:line="360" w:lineRule="auto"/>
        <w:rPr>
          <w:sz w:val="28"/>
          <w:szCs w:val="28"/>
        </w:rPr>
      </w:pPr>
    </w:p>
    <w:p>
      <w:pPr>
        <w:rPr>
          <w:rFonts w:ascii="仿宋" w:hAnsi="仿宋" w:eastAsia="仿宋" w:cs="仿宋"/>
          <w:szCs w:val="21"/>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5</w:t>
      </w:r>
    </w:p>
    <w:p>
      <w:pPr>
        <w:ind w:firstLine="2891" w:firstLineChars="800"/>
        <w:rPr>
          <w:rFonts w:ascii="宋体" w:hAnsi="宋体" w:cs="宋体"/>
          <w:b/>
          <w:bCs/>
          <w:sz w:val="36"/>
          <w:szCs w:val="36"/>
        </w:rPr>
      </w:pPr>
      <w:r>
        <w:rPr>
          <w:rFonts w:hint="eastAsia" w:ascii="宋体" w:hAnsi="宋体" w:cs="宋体"/>
          <w:b/>
          <w:bCs/>
          <w:sz w:val="36"/>
          <w:szCs w:val="36"/>
        </w:rPr>
        <w:t>投标人资格审查表</w:t>
      </w:r>
    </w:p>
    <w:p>
      <w:pPr>
        <w:spacing w:line="360" w:lineRule="auto"/>
        <w:rPr>
          <w:rFonts w:ascii="宋体" w:hAnsi="宋体"/>
          <w:bCs/>
          <w:szCs w:val="21"/>
        </w:rPr>
      </w:pPr>
      <w:r>
        <w:rPr>
          <w:rFonts w:hint="eastAsia" w:ascii="宋体" w:hAnsi="宋体"/>
          <w:bCs/>
          <w:szCs w:val="21"/>
        </w:rPr>
        <w:t>项目名称：</w:t>
      </w:r>
      <w:r>
        <w:rPr>
          <w:rFonts w:hint="eastAsia" w:ascii="宋体" w:hAnsi="宋体" w:cs="宋体"/>
          <w:kern w:val="0"/>
          <w:szCs w:val="21"/>
        </w:rPr>
        <w:t>生产现场除“四害”</w:t>
      </w:r>
      <w:r>
        <w:rPr>
          <w:rFonts w:hint="eastAsia" w:ascii="宋体" w:hAnsi="宋体" w:cs="宋体"/>
          <w:kern w:val="0"/>
          <w:szCs w:val="21"/>
          <w:lang w:eastAsia="zh-CN"/>
        </w:rPr>
        <w:t>、</w:t>
      </w:r>
      <w:r>
        <w:rPr>
          <w:rFonts w:hint="eastAsia" w:ascii="宋体" w:hAnsi="宋体" w:cs="宋体"/>
          <w:kern w:val="0"/>
          <w:szCs w:val="21"/>
        </w:rPr>
        <w:t>消杀白蚁项目</w:t>
      </w:r>
    </w:p>
    <w:tbl>
      <w:tblPr>
        <w:tblStyle w:val="15"/>
        <w:tblW w:w="8748"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0"/>
        <w:gridCol w:w="6509"/>
        <w:gridCol w:w="15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
                <w:szCs w:val="21"/>
              </w:rPr>
            </w:pPr>
            <w:r>
              <w:rPr>
                <w:rFonts w:hint="eastAsia" w:ascii="宋体" w:hAnsi="宋体" w:cs="宋体"/>
                <w:b/>
                <w:bCs/>
                <w:szCs w:val="21"/>
              </w:rPr>
              <w:t>序号</w:t>
            </w:r>
          </w:p>
        </w:tc>
        <w:tc>
          <w:tcPr>
            <w:tcW w:w="6509" w:type="dxa"/>
            <w:vAlign w:val="center"/>
          </w:tcPr>
          <w:p>
            <w:pPr>
              <w:jc w:val="center"/>
              <w:rPr>
                <w:rFonts w:ascii="宋体" w:hAnsi="宋体"/>
                <w:b/>
                <w:szCs w:val="21"/>
              </w:rPr>
            </w:pPr>
            <w:r>
              <w:rPr>
                <w:rFonts w:hint="eastAsia" w:ascii="宋体" w:hAnsi="宋体" w:cs="宋体"/>
                <w:b/>
                <w:bCs/>
                <w:szCs w:val="21"/>
              </w:rPr>
              <w:t>评审内容</w:t>
            </w:r>
          </w:p>
        </w:tc>
        <w:tc>
          <w:tcPr>
            <w:tcW w:w="1549"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bCs/>
                <w:szCs w:val="21"/>
              </w:rPr>
            </w:pPr>
            <w:r>
              <w:rPr>
                <w:rFonts w:hint="eastAsia" w:ascii="宋体" w:hAnsi="宋体" w:cs="宋体"/>
                <w:szCs w:val="21"/>
              </w:rPr>
              <w:t>1</w:t>
            </w:r>
          </w:p>
        </w:tc>
        <w:tc>
          <w:tcPr>
            <w:tcW w:w="6509"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ascii="宋体" w:hAnsi="宋体" w:cs="宋体"/>
                <w:szCs w:val="21"/>
              </w:rPr>
              <w:t>2</w:t>
            </w:r>
          </w:p>
        </w:tc>
        <w:tc>
          <w:tcPr>
            <w:tcW w:w="6509"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shd w:val="clear" w:color="auto" w:fill="auto"/>
            <w:vAlign w:val="center"/>
          </w:tcPr>
          <w:p>
            <w:pPr>
              <w:rPr>
                <w:rFonts w:ascii="宋体" w:hAnsi="宋体" w:cs="宋体"/>
                <w:szCs w:val="21"/>
              </w:rPr>
            </w:pPr>
            <w:r>
              <w:rPr>
                <w:rFonts w:hint="eastAsia" w:ascii="宋体" w:hAnsi="宋体" w:cs="宋体"/>
                <w:szCs w:val="21"/>
              </w:rPr>
              <w:t>3</w:t>
            </w:r>
          </w:p>
        </w:tc>
        <w:tc>
          <w:tcPr>
            <w:tcW w:w="6509" w:type="dxa"/>
            <w:shd w:val="clear" w:color="auto" w:fill="auto"/>
            <w:vAlign w:val="center"/>
          </w:tcPr>
          <w:p>
            <w:pPr>
              <w:rPr>
                <w:rFonts w:ascii="宋体" w:hAnsi="宋体" w:cs="宋体"/>
                <w:szCs w:val="21"/>
              </w:rPr>
            </w:pPr>
            <w:r>
              <w:rPr>
                <w:rFonts w:hint="eastAsia" w:ascii="宋体" w:hAnsi="宋体" w:cs="宋体"/>
                <w:szCs w:val="21"/>
              </w:rPr>
              <w:t>同时具备有害生物防制服务资质证和白蚁防治资质证书</w:t>
            </w:r>
          </w:p>
        </w:tc>
        <w:tc>
          <w:tcPr>
            <w:tcW w:w="1549"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r>
              <w:rPr>
                <w:rFonts w:ascii="宋体" w:hAnsi="宋体"/>
                <w:bCs/>
                <w:szCs w:val="21"/>
              </w:rPr>
              <w:t>4</w:t>
            </w:r>
          </w:p>
        </w:tc>
        <w:tc>
          <w:tcPr>
            <w:tcW w:w="6509" w:type="dxa"/>
            <w:vAlign w:val="center"/>
          </w:tcPr>
          <w:p>
            <w:pPr>
              <w:rPr>
                <w:rFonts w:ascii="宋体" w:hAnsi="宋体" w:cs="宋体"/>
                <w:bCs/>
                <w:szCs w:val="21"/>
              </w:rPr>
            </w:pPr>
            <w:r>
              <w:rPr>
                <w:rFonts w:hint="eastAsia" w:ascii="宋体" w:hAnsi="宋体" w:cs="宋体"/>
                <w:szCs w:val="21"/>
              </w:rPr>
              <w:t>投标人近3年内(20</w:t>
            </w:r>
            <w:r>
              <w:rPr>
                <w:rFonts w:ascii="宋体" w:hAnsi="宋体" w:cs="宋体"/>
                <w:szCs w:val="21"/>
              </w:rPr>
              <w:t>19</w:t>
            </w:r>
            <w:r>
              <w:rPr>
                <w:rFonts w:hint="eastAsia" w:ascii="宋体" w:hAnsi="宋体" w:cs="宋体"/>
                <w:szCs w:val="21"/>
              </w:rPr>
              <w:t>年1月1日至今)完成过质量合格的类似项目业绩（需提供合同等相关证明材料复印件）</w:t>
            </w:r>
          </w:p>
        </w:tc>
        <w:tc>
          <w:tcPr>
            <w:tcW w:w="1549"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90" w:type="dxa"/>
            <w:vAlign w:val="center"/>
          </w:tcPr>
          <w:p>
            <w:pPr>
              <w:rPr>
                <w:rFonts w:ascii="宋体" w:hAnsi="宋体"/>
                <w:bCs/>
                <w:szCs w:val="21"/>
              </w:rPr>
            </w:pPr>
          </w:p>
        </w:tc>
        <w:tc>
          <w:tcPr>
            <w:tcW w:w="6509"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549"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6"/>
        </w:numPr>
        <w:adjustRightInd w:val="0"/>
        <w:snapToGrid w:val="0"/>
        <w:spacing w:line="400" w:lineRule="exact"/>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6"/>
        </w:numPr>
        <w:adjustRightInd w:val="0"/>
        <w:snapToGrid w:val="0"/>
        <w:spacing w:line="400" w:lineRule="exact"/>
        <w:rPr>
          <w:rFonts w:ascii="宋体" w:hAnsi="宋体"/>
          <w:szCs w:val="21"/>
        </w:rPr>
      </w:pPr>
      <w:r>
        <w:rPr>
          <w:rFonts w:hint="eastAsia" w:ascii="宋体" w:hAnsi="宋体"/>
          <w:szCs w:val="21"/>
        </w:rPr>
        <w:t>经评标委员会审核后，出现一个“×”的结论为“不通过”，即按废标处理。</w:t>
      </w:r>
    </w:p>
    <w:p>
      <w:pPr>
        <w:numPr>
          <w:ilvl w:val="0"/>
          <w:numId w:val="6"/>
        </w:numPr>
        <w:adjustRightInd w:val="0"/>
        <w:snapToGrid w:val="0"/>
        <w:spacing w:line="400" w:lineRule="exact"/>
        <w:rPr>
          <w:rFonts w:ascii="宋体" w:hAnsi="宋体"/>
          <w:szCs w:val="21"/>
        </w:rPr>
      </w:pPr>
      <w:r>
        <w:rPr>
          <w:rFonts w:hint="eastAsia" w:ascii="宋体" w:hAnsi="宋体"/>
          <w:szCs w:val="21"/>
        </w:rPr>
        <w:t>表中全部条件满足为“通过”，同意进入下一阶段评审。</w:t>
      </w:r>
    </w:p>
    <w:p>
      <w:pPr>
        <w:numPr>
          <w:ilvl w:val="0"/>
          <w:numId w:val="6"/>
        </w:numPr>
        <w:adjustRightInd w:val="0"/>
        <w:snapToGrid w:val="0"/>
        <w:spacing w:line="400" w:lineRule="exact"/>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adjustRightInd w:val="0"/>
        <w:snapToGrid w:val="0"/>
        <w:spacing w:line="400" w:lineRule="exact"/>
        <w:rPr>
          <w:rFonts w:ascii="宋体" w:hAnsi="宋体"/>
          <w:szCs w:val="21"/>
        </w:rPr>
      </w:pPr>
    </w:p>
    <w:p>
      <w:pPr>
        <w:spacing w:line="400" w:lineRule="exact"/>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rPr>
          <w:rFonts w:ascii="仿宋" w:hAnsi="仿宋" w:eastAsia="仿宋" w:cs="仿宋"/>
          <w:szCs w:val="21"/>
        </w:rPr>
      </w:pPr>
      <w:r>
        <w:rPr>
          <w:rFonts w:ascii="仿宋" w:hAnsi="仿宋" w:eastAsia="仿宋" w:cs="仿宋"/>
          <w:szCs w:val="21"/>
        </w:rPr>
        <w:br w:type="page"/>
      </w:r>
    </w:p>
    <w:p>
      <w:pPr>
        <w:spacing w:line="400" w:lineRule="exact"/>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jc w:val="center"/>
        <w:rPr>
          <w:rFonts w:ascii="宋体" w:hAnsi="宋体" w:cs="宋体"/>
          <w:b/>
          <w:bCs/>
          <w:sz w:val="24"/>
        </w:rPr>
      </w:pPr>
      <w:r>
        <w:rPr>
          <w:rFonts w:hint="eastAsia" w:ascii="宋体" w:hAnsi="宋体" w:cs="宋体"/>
          <w:b/>
          <w:bCs/>
          <w:sz w:val="36"/>
          <w:szCs w:val="36"/>
        </w:rPr>
        <w:t>投标文件有效性审查表</w:t>
      </w:r>
    </w:p>
    <w:p>
      <w:pPr>
        <w:spacing w:line="360" w:lineRule="auto"/>
        <w:rPr>
          <w:rFonts w:ascii="宋体" w:hAnsi="宋体"/>
          <w:bCs/>
          <w:szCs w:val="21"/>
        </w:rPr>
      </w:pPr>
      <w:r>
        <w:rPr>
          <w:rFonts w:hint="eastAsia" w:ascii="宋体" w:hAnsi="宋体"/>
          <w:bCs/>
          <w:szCs w:val="21"/>
        </w:rPr>
        <w:t>项目名称：生产现场除“四害”</w:t>
      </w:r>
      <w:r>
        <w:rPr>
          <w:rFonts w:hint="eastAsia" w:ascii="宋体" w:hAnsi="宋体"/>
          <w:bCs/>
          <w:szCs w:val="21"/>
          <w:lang w:eastAsia="zh-CN"/>
        </w:rPr>
        <w:t>、</w:t>
      </w:r>
      <w:r>
        <w:rPr>
          <w:rFonts w:hint="eastAsia" w:ascii="宋体" w:hAnsi="宋体"/>
          <w:bCs/>
          <w:szCs w:val="21"/>
        </w:rPr>
        <w:t>消杀白蚁项目</w:t>
      </w:r>
    </w:p>
    <w:tbl>
      <w:tblPr>
        <w:tblStyle w:val="15"/>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投标文件未按竞选文件规定的格式填写，内容不全或关键字迹模糊、无法辩认；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cs="宋体"/>
                <w:szCs w:val="21"/>
              </w:rPr>
            </w:pPr>
            <w:r>
              <w:rPr>
                <w:rFonts w:hint="eastAsia" w:ascii="宋体" w:hAnsi="宋体" w:cs="宋体"/>
                <w:szCs w:val="21"/>
              </w:rPr>
              <w:t>4</w:t>
            </w:r>
          </w:p>
        </w:tc>
        <w:tc>
          <w:tcPr>
            <w:tcW w:w="6225" w:type="dxa"/>
            <w:shd w:val="clear" w:color="auto" w:fill="auto"/>
            <w:vAlign w:val="center"/>
          </w:tcPr>
          <w:p>
            <w:pPr>
              <w:rPr>
                <w:rFonts w:ascii="宋体" w:hAnsi="宋体" w:cs="宋体"/>
                <w:szCs w:val="21"/>
              </w:rPr>
            </w:pPr>
            <w:r>
              <w:rPr>
                <w:rFonts w:hint="eastAsia" w:ascii="宋体" w:hAnsi="宋体" w:cs="宋体"/>
                <w:szCs w:val="21"/>
              </w:rPr>
              <w:t>投标总报价高于采购限价；</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投标文件附有采购人不能接受的条件；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不符合竞选文件中规定的其他实质性要求。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ind w:firstLine="420" w:firstLineChars="200"/>
        <w:rPr>
          <w:rFonts w:ascii="宋体" w:hAnsi="宋体"/>
          <w:szCs w:val="21"/>
        </w:rPr>
      </w:pPr>
      <w:r>
        <w:rPr>
          <w:rFonts w:hint="eastAsia" w:ascii="宋体" w:hAnsi="宋体"/>
          <w:szCs w:val="21"/>
        </w:rPr>
        <w:t>注：</w:t>
      </w:r>
    </w:p>
    <w:p>
      <w:pPr>
        <w:numPr>
          <w:ilvl w:val="0"/>
          <w:numId w:val="7"/>
        </w:numPr>
        <w:adjustRightInd w:val="0"/>
        <w:snapToGrid w:val="0"/>
        <w:spacing w:line="400" w:lineRule="exact"/>
        <w:ind w:firstLine="424" w:firstLineChars="202"/>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7"/>
        </w:numPr>
        <w:adjustRightInd w:val="0"/>
        <w:snapToGrid w:val="0"/>
        <w:spacing w:line="400" w:lineRule="exact"/>
        <w:ind w:firstLine="424" w:firstLineChars="202"/>
        <w:rPr>
          <w:rFonts w:ascii="宋体" w:hAnsi="宋体"/>
          <w:szCs w:val="21"/>
        </w:rPr>
      </w:pPr>
      <w:r>
        <w:rPr>
          <w:rFonts w:hint="eastAsia" w:ascii="宋体" w:hAnsi="宋体"/>
          <w:szCs w:val="21"/>
        </w:rPr>
        <w:t>经评标委员会审核后，出现一个“×”的结论为“不通过”，即按废标处理。</w:t>
      </w:r>
    </w:p>
    <w:p>
      <w:pPr>
        <w:numPr>
          <w:ilvl w:val="0"/>
          <w:numId w:val="7"/>
        </w:numPr>
        <w:adjustRightInd w:val="0"/>
        <w:snapToGrid w:val="0"/>
        <w:spacing w:line="400" w:lineRule="exact"/>
        <w:ind w:firstLine="424" w:firstLineChars="202"/>
        <w:rPr>
          <w:rFonts w:ascii="宋体" w:hAnsi="宋体"/>
          <w:szCs w:val="21"/>
        </w:rPr>
      </w:pPr>
      <w:r>
        <w:rPr>
          <w:rFonts w:hint="eastAsia" w:ascii="宋体" w:hAnsi="宋体"/>
          <w:szCs w:val="21"/>
        </w:rPr>
        <w:t>表中全部条件满足为“通过”，同意进入下一阶段评审。</w:t>
      </w:r>
    </w:p>
    <w:p>
      <w:pPr>
        <w:numPr>
          <w:ilvl w:val="0"/>
          <w:numId w:val="7"/>
        </w:numPr>
        <w:adjustRightInd w:val="0"/>
        <w:snapToGrid w:val="0"/>
        <w:spacing w:line="400" w:lineRule="exact"/>
        <w:ind w:firstLine="424" w:firstLineChars="202"/>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line="400" w:lineRule="exact"/>
        <w:ind w:left="420"/>
        <w:rPr>
          <w:rFonts w:ascii="宋体" w:hAnsi="宋体"/>
          <w:bCs/>
          <w:szCs w:val="21"/>
        </w:rPr>
      </w:pPr>
    </w:p>
    <w:p>
      <w:pPr>
        <w:spacing w:line="400" w:lineRule="exact"/>
        <w:ind w:left="420"/>
        <w:rPr>
          <w:rFonts w:ascii="宋体" w:hAnsi="宋体"/>
          <w:bCs/>
          <w:szCs w:val="21"/>
        </w:rPr>
      </w:pPr>
      <w:r>
        <w:rPr>
          <w:rFonts w:hint="eastAsia" w:ascii="宋体" w:hAnsi="宋体"/>
          <w:bCs/>
          <w:szCs w:val="21"/>
        </w:rPr>
        <w:t xml:space="preserve">评委签名：                                                                                </w:t>
      </w:r>
    </w:p>
    <w:p>
      <w:pPr>
        <w:spacing w:line="400" w:lineRule="exact"/>
        <w:ind w:left="420"/>
        <w:rPr>
          <w:rFonts w:ascii="宋体" w:hAnsi="宋体"/>
          <w:bCs/>
          <w:szCs w:val="21"/>
        </w:rPr>
      </w:pPr>
    </w:p>
    <w:p>
      <w:pPr>
        <w:spacing w:line="400" w:lineRule="exact"/>
        <w:ind w:left="420"/>
        <w:rPr>
          <w:rFonts w:ascii="宋体" w:hAnsi="宋体"/>
          <w:szCs w:val="21"/>
        </w:rPr>
      </w:pPr>
      <w:r>
        <w:rPr>
          <w:rFonts w:hint="eastAsia" w:ascii="宋体" w:hAnsi="宋体"/>
          <w:bCs/>
          <w:szCs w:val="21"/>
        </w:rPr>
        <w:t>日 期：</w:t>
      </w:r>
      <w:r>
        <w:rPr>
          <w:rFonts w:ascii="宋体" w:hAnsi="宋体"/>
          <w:szCs w:val="21"/>
        </w:rPr>
        <w:t>2022</w:t>
      </w:r>
      <w:r>
        <w:rPr>
          <w:rFonts w:hint="eastAsia" w:ascii="宋体" w:hAnsi="宋体"/>
          <w:szCs w:val="21"/>
        </w:rPr>
        <w:t>年   月   日</w:t>
      </w:r>
    </w:p>
    <w:p>
      <w:pPr>
        <w:spacing w:line="360" w:lineRule="auto"/>
        <w:rPr>
          <w:sz w:val="28"/>
          <w:szCs w:val="28"/>
        </w:rPr>
      </w:pPr>
    </w:p>
    <w:p>
      <w:pPr>
        <w:widowControl/>
        <w:jc w:val="left"/>
        <w:rPr>
          <w:sz w:val="28"/>
          <w:szCs w:val="28"/>
        </w:rPr>
      </w:pPr>
      <w:r>
        <w:rPr>
          <w:sz w:val="28"/>
          <w:szCs w:val="28"/>
        </w:rPr>
        <w:br w:type="page"/>
      </w:r>
    </w:p>
    <w:p>
      <w:pPr>
        <w:spacing w:line="360" w:lineRule="auto"/>
        <w:rPr>
          <w:rFonts w:hint="eastAsia"/>
          <w:sz w:val="28"/>
          <w:szCs w:val="28"/>
          <w:lang w:val="en-US" w:eastAsia="zh-CN"/>
        </w:rPr>
      </w:pPr>
      <w:r>
        <w:rPr>
          <w:rFonts w:hint="eastAsia"/>
          <w:sz w:val="28"/>
          <w:szCs w:val="28"/>
          <w:lang w:val="en-US" w:eastAsia="zh-CN"/>
        </w:rPr>
        <w:t>附件7</w:t>
      </w:r>
    </w:p>
    <w:p>
      <w:pPr>
        <w:ind w:firstLine="3253" w:firstLineChars="900"/>
        <w:jc w:val="both"/>
        <w:rPr>
          <w:rFonts w:hint="eastAsia" w:ascii="宋体" w:hAnsi="宋体" w:cs="宋体"/>
          <w:b/>
          <w:bCs/>
          <w:sz w:val="36"/>
          <w:szCs w:val="36"/>
        </w:rPr>
      </w:pPr>
      <w:r>
        <w:rPr>
          <w:rFonts w:hint="eastAsia" w:ascii="宋体" w:hAnsi="宋体" w:cs="宋体"/>
          <w:b/>
          <w:bCs/>
          <w:sz w:val="36"/>
          <w:szCs w:val="36"/>
        </w:rPr>
        <w:t>综合评分细则</w:t>
      </w:r>
    </w:p>
    <w:p>
      <w:pPr>
        <w:jc w:val="both"/>
        <w:rPr>
          <w:rFonts w:hint="eastAsia" w:ascii="宋体" w:hAnsi="宋体" w:cs="宋体" w:eastAsiaTheme="minorEastAsia"/>
          <w:b w:val="0"/>
          <w:bCs w:val="0"/>
          <w:sz w:val="36"/>
          <w:szCs w:val="36"/>
          <w:lang w:val="en-US" w:eastAsia="zh-CN"/>
        </w:rPr>
      </w:pPr>
      <w:r>
        <w:rPr>
          <w:rFonts w:hint="eastAsia" w:ascii="宋体" w:hAnsi="宋体" w:cs="宋体"/>
          <w:b w:val="0"/>
          <w:bCs w:val="0"/>
          <w:sz w:val="21"/>
          <w:szCs w:val="21"/>
          <w:lang w:val="en-US" w:eastAsia="zh-CN"/>
        </w:rPr>
        <w:t>项目：</w:t>
      </w:r>
    </w:p>
    <w:tbl>
      <w:tblPr>
        <w:tblStyle w:val="15"/>
        <w:tblW w:w="9286" w:type="dxa"/>
        <w:tblInd w:w="0" w:type="dxa"/>
        <w:tblLayout w:type="fixed"/>
        <w:tblCellMar>
          <w:top w:w="0" w:type="dxa"/>
          <w:left w:w="108" w:type="dxa"/>
          <w:bottom w:w="0" w:type="dxa"/>
          <w:right w:w="108" w:type="dxa"/>
        </w:tblCellMar>
      </w:tblPr>
      <w:tblGrid>
        <w:gridCol w:w="864"/>
        <w:gridCol w:w="1370"/>
        <w:gridCol w:w="513"/>
        <w:gridCol w:w="6539"/>
      </w:tblGrid>
      <w:tr>
        <w:tblPrEx>
          <w:tblLayout w:type="fixed"/>
          <w:tblCellMar>
            <w:top w:w="0" w:type="dxa"/>
            <w:left w:w="108" w:type="dxa"/>
            <w:bottom w:w="0" w:type="dxa"/>
            <w:right w:w="108" w:type="dxa"/>
          </w:tblCellMar>
        </w:tblPrEx>
        <w:trPr>
          <w:trHeight w:val="1340" w:hRule="atLeast"/>
        </w:trPr>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bookmarkStart w:id="0" w:name="_Hlk4405241"/>
            <w:r>
              <w:rPr>
                <w:rFonts w:hint="eastAsia" w:ascii="宋体" w:hAnsi="宋体" w:eastAsia="宋体" w:cs="宋体"/>
                <w:b/>
                <w:kern w:val="0"/>
                <w:sz w:val="18"/>
                <w:szCs w:val="18"/>
              </w:rPr>
              <w:t>评审大项</w:t>
            </w:r>
          </w:p>
        </w:tc>
        <w:tc>
          <w:tcPr>
            <w:tcW w:w="1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评审内容</w:t>
            </w:r>
          </w:p>
        </w:tc>
        <w:tc>
          <w:tcPr>
            <w:tcW w:w="51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分值</w:t>
            </w:r>
          </w:p>
        </w:tc>
        <w:tc>
          <w:tcPr>
            <w:tcW w:w="6539"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b/>
                <w:kern w:val="0"/>
                <w:sz w:val="18"/>
                <w:szCs w:val="18"/>
              </w:rPr>
            </w:pPr>
            <w:r>
              <w:rPr>
                <w:rFonts w:hint="eastAsia" w:ascii="宋体" w:hAnsi="宋体" w:eastAsia="宋体" w:cs="宋体"/>
                <w:b/>
                <w:kern w:val="0"/>
                <w:sz w:val="18"/>
                <w:szCs w:val="18"/>
              </w:rPr>
              <w:t>评分标准</w:t>
            </w:r>
          </w:p>
        </w:tc>
      </w:tr>
      <w:tr>
        <w:tblPrEx>
          <w:tblLayout w:type="fixed"/>
          <w:tblCellMar>
            <w:top w:w="0" w:type="dxa"/>
            <w:left w:w="108" w:type="dxa"/>
            <w:bottom w:w="0" w:type="dxa"/>
            <w:right w:w="108" w:type="dxa"/>
          </w:tblCellMar>
        </w:tblPrEx>
        <w:trPr>
          <w:trHeight w:val="225" w:hRule="atLeast"/>
        </w:trPr>
        <w:tc>
          <w:tcPr>
            <w:tcW w:w="864" w:type="dxa"/>
            <w:vMerge w:val="restart"/>
            <w:tcBorders>
              <w:top w:val="single" w:color="auto" w:sz="4" w:space="0"/>
              <w:left w:val="single" w:color="auto" w:sz="4" w:space="0"/>
              <w:right w:val="single" w:color="auto" w:sz="4" w:space="0"/>
            </w:tcBorders>
            <w:shd w:val="clear" w:color="auto" w:fill="FFFFFF"/>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商务部分</w:t>
            </w:r>
          </w:p>
          <w:p>
            <w:pPr>
              <w:jc w:val="center"/>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tc>
        <w:tc>
          <w:tcPr>
            <w:tcW w:w="13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采购人供应商管理系统查到的分值</w:t>
            </w:r>
          </w:p>
        </w:tc>
        <w:tc>
          <w:tcPr>
            <w:tcW w:w="51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6539" w:type="dxa"/>
            <w:tcBorders>
              <w:top w:val="single" w:color="auto" w:sz="4" w:space="0"/>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供应商诚信分以评标当天采购人供应商管理系统查到的分值直接计取（供应商诚信分原始分为0分），投标人不在供应商管理系统内的，诚信分按0分计算。本项供应商诚信分在采购人官方网站上定期公布。</w:t>
            </w:r>
          </w:p>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诚信分≧2分时本项得2分。</w:t>
            </w:r>
          </w:p>
        </w:tc>
      </w:tr>
      <w:tr>
        <w:tblPrEx>
          <w:tblLayout w:type="fixed"/>
          <w:tblCellMar>
            <w:top w:w="0" w:type="dxa"/>
            <w:left w:w="108" w:type="dxa"/>
            <w:bottom w:w="0" w:type="dxa"/>
            <w:right w:w="108" w:type="dxa"/>
          </w:tblCellMar>
        </w:tblPrEx>
        <w:trPr>
          <w:trHeight w:val="512" w:hRule="atLeast"/>
        </w:trPr>
        <w:tc>
          <w:tcPr>
            <w:tcW w:w="864" w:type="dxa"/>
            <w:vMerge w:val="continue"/>
            <w:tcBorders>
              <w:left w:val="single" w:color="auto" w:sz="4" w:space="0"/>
              <w:right w:val="single" w:color="auto" w:sz="4" w:space="0"/>
            </w:tcBorders>
            <w:vAlign w:val="center"/>
          </w:tcPr>
          <w:p>
            <w:pPr>
              <w:widowControl/>
              <w:jc w:val="center"/>
              <w:rPr>
                <w:rFonts w:ascii="宋体" w:hAnsi="宋体" w:eastAsia="宋体" w:cs="宋体"/>
                <w:kern w:val="0"/>
                <w:sz w:val="24"/>
                <w:szCs w:val="24"/>
              </w:rPr>
            </w:pPr>
          </w:p>
        </w:tc>
        <w:tc>
          <w:tcPr>
            <w:tcW w:w="13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类似业绩</w:t>
            </w:r>
          </w:p>
        </w:tc>
        <w:tc>
          <w:tcPr>
            <w:tcW w:w="513"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6539" w:type="dxa"/>
            <w:tcBorders>
              <w:top w:val="nil"/>
              <w:left w:val="nil"/>
              <w:bottom w:val="single" w:color="auto" w:sz="4" w:space="0"/>
              <w:right w:val="single" w:color="auto" w:sz="4" w:space="0"/>
            </w:tcBorders>
            <w:vAlign w:val="center"/>
          </w:tcPr>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自2019年1月1日至投标截止日前，投标人参与或完成类似项目业绩，每一个项目得2分；</w:t>
            </w:r>
          </w:p>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本项累计最高得8分。</w:t>
            </w:r>
          </w:p>
          <w:p>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注：类似业绩是指</w:t>
            </w:r>
            <w:r>
              <w:rPr>
                <w:rFonts w:hint="eastAsia" w:ascii="宋体" w:hAnsi="宋体" w:eastAsia="宋体" w:cs="宋体"/>
                <w:kern w:val="0"/>
                <w:sz w:val="24"/>
                <w:szCs w:val="24"/>
                <w:lang w:val="en-US" w:eastAsia="zh-CN"/>
              </w:rPr>
              <w:t>除“四害”、白蚁消杀</w:t>
            </w:r>
            <w:r>
              <w:rPr>
                <w:rFonts w:hint="eastAsia" w:ascii="宋体" w:hAnsi="宋体" w:eastAsia="宋体" w:cs="宋体"/>
                <w:kern w:val="0"/>
                <w:sz w:val="24"/>
                <w:szCs w:val="24"/>
              </w:rPr>
              <w:t>项目，提供实施项目的合同关键页。参与项目的时间以合同</w:t>
            </w:r>
            <w:r>
              <w:rPr>
                <w:rFonts w:hint="eastAsia" w:ascii="宋体" w:hAnsi="宋体" w:eastAsia="宋体" w:cs="宋体"/>
                <w:kern w:val="0"/>
                <w:sz w:val="24"/>
                <w:szCs w:val="24"/>
                <w:lang w:val="en-US" w:eastAsia="zh-CN"/>
              </w:rPr>
              <w:t>签订日期</w:t>
            </w:r>
            <w:r>
              <w:rPr>
                <w:rFonts w:hint="eastAsia" w:ascii="宋体" w:hAnsi="宋体" w:eastAsia="宋体" w:cs="宋体"/>
                <w:kern w:val="0"/>
                <w:sz w:val="24"/>
                <w:szCs w:val="24"/>
              </w:rPr>
              <w:t>或中标通知书为准。</w:t>
            </w:r>
          </w:p>
        </w:tc>
      </w:tr>
      <w:tr>
        <w:tblPrEx>
          <w:tblLayout w:type="fixed"/>
          <w:tblCellMar>
            <w:top w:w="0" w:type="dxa"/>
            <w:left w:w="108" w:type="dxa"/>
            <w:bottom w:w="0" w:type="dxa"/>
            <w:right w:w="108" w:type="dxa"/>
          </w:tblCellMar>
        </w:tblPrEx>
        <w:trPr>
          <w:trHeight w:val="810" w:hRule="atLeast"/>
        </w:trPr>
        <w:tc>
          <w:tcPr>
            <w:tcW w:w="864"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技术部分</w:t>
            </w:r>
          </w:p>
          <w:p>
            <w:pPr>
              <w:widowControl/>
              <w:jc w:val="center"/>
              <w:rPr>
                <w:rFonts w:ascii="宋体" w:hAnsi="宋体" w:eastAsia="宋体" w:cs="宋体"/>
                <w:kern w:val="0"/>
                <w:sz w:val="24"/>
                <w:szCs w:val="24"/>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40</w:t>
            </w:r>
            <w:r>
              <w:rPr>
                <w:rFonts w:hint="eastAsia" w:ascii="宋体" w:hAnsi="宋体" w:eastAsia="宋体" w:cs="宋体"/>
                <w:kern w:val="0"/>
                <w:sz w:val="24"/>
                <w:szCs w:val="24"/>
              </w:rPr>
              <w:t>分）</w:t>
            </w:r>
          </w:p>
          <w:p>
            <w:pPr>
              <w:jc w:val="center"/>
              <w:rPr>
                <w:rFonts w:ascii="宋体" w:hAnsi="宋体" w:eastAsia="宋体" w:cs="宋体"/>
                <w:kern w:val="0"/>
                <w:sz w:val="24"/>
                <w:szCs w:val="24"/>
              </w:rPr>
            </w:pPr>
          </w:p>
        </w:tc>
        <w:tc>
          <w:tcPr>
            <w:tcW w:w="13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cs="宋体"/>
                <w:color w:val="auto"/>
                <w:kern w:val="0"/>
                <w:sz w:val="24"/>
                <w:szCs w:val="24"/>
                <w:lang w:val="en-US" w:eastAsia="zh-CN"/>
              </w:rPr>
              <w:t>服务方案</w:t>
            </w:r>
            <w:r>
              <w:rPr>
                <w:rFonts w:hint="eastAsia" w:ascii="宋体" w:hAnsi="宋体" w:cs="宋体"/>
                <w:color w:val="auto"/>
                <w:kern w:val="0"/>
                <w:sz w:val="24"/>
                <w:szCs w:val="24"/>
              </w:rPr>
              <w:t>评审</w:t>
            </w:r>
          </w:p>
        </w:tc>
        <w:tc>
          <w:tcPr>
            <w:tcW w:w="513" w:type="dxa"/>
            <w:tcBorders>
              <w:top w:val="nil"/>
              <w:left w:val="nil"/>
              <w:bottom w:val="single" w:color="auto" w:sz="4" w:space="0"/>
              <w:right w:val="single" w:color="auto" w:sz="4" w:space="0"/>
            </w:tcBorders>
            <w:vAlign w:val="center"/>
          </w:tcPr>
          <w:p>
            <w:pPr>
              <w:pStyle w:val="31"/>
              <w:spacing w:line="240" w:lineRule="auto"/>
              <w:rPr>
                <w:rFonts w:hint="default" w:ascii="宋体" w:hAnsi="宋体" w:eastAsia="宋体" w:cs="宋体"/>
                <w:kern w:val="0"/>
                <w:sz w:val="24"/>
                <w:szCs w:val="24"/>
                <w:lang w:val="en-US" w:eastAsia="zh-CN"/>
              </w:rPr>
            </w:pPr>
            <w:r>
              <w:rPr>
                <w:rFonts w:hint="eastAsia" w:ascii="宋体" w:hAnsi="宋体" w:cs="宋体"/>
                <w:color w:val="auto"/>
                <w:kern w:val="0"/>
                <w:sz w:val="24"/>
                <w:szCs w:val="24"/>
                <w:lang w:val="en-US" w:eastAsia="zh-CN"/>
              </w:rPr>
              <w:t>20</w:t>
            </w:r>
          </w:p>
        </w:tc>
        <w:tc>
          <w:tcPr>
            <w:tcW w:w="6539" w:type="dxa"/>
            <w:tcBorders>
              <w:top w:val="nil"/>
              <w:left w:val="nil"/>
              <w:bottom w:val="single" w:color="auto" w:sz="4" w:space="0"/>
              <w:right w:val="single" w:color="auto" w:sz="4" w:space="0"/>
            </w:tcBorders>
            <w:vAlign w:val="center"/>
          </w:tcPr>
          <w:p>
            <w:pPr>
              <w:pStyle w:val="31"/>
              <w:spacing w:line="240" w:lineRule="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ascii="宋体" w:hAnsi="宋体" w:cs="宋体"/>
                <w:color w:val="auto"/>
                <w:kern w:val="0"/>
                <w:sz w:val="24"/>
                <w:szCs w:val="24"/>
              </w:rPr>
              <w:t>A.</w:t>
            </w:r>
            <w:r>
              <w:rPr>
                <w:rFonts w:hint="eastAsia" w:ascii="宋体" w:hAnsi="宋体" w:cs="宋体"/>
                <w:color w:val="auto"/>
                <w:kern w:val="0"/>
                <w:sz w:val="24"/>
                <w:szCs w:val="24"/>
              </w:rPr>
              <w:t>对项目已深入研究熟悉，</w:t>
            </w:r>
            <w:r>
              <w:rPr>
                <w:rFonts w:hint="eastAsia" w:ascii="宋体" w:hAnsi="宋体" w:cs="宋体"/>
                <w:color w:val="auto"/>
                <w:kern w:val="0"/>
                <w:sz w:val="24"/>
                <w:szCs w:val="24"/>
                <w:lang w:val="en-US" w:eastAsia="zh-CN"/>
              </w:rPr>
              <w:t>服务</w:t>
            </w:r>
            <w:r>
              <w:rPr>
                <w:rFonts w:hint="eastAsia" w:ascii="宋体" w:hAnsi="宋体" w:cs="宋体"/>
                <w:color w:val="auto"/>
                <w:kern w:val="0"/>
                <w:sz w:val="24"/>
                <w:szCs w:val="24"/>
              </w:rPr>
              <w:t>方案具有针对性，符合项目特点，合理且可操作性强得</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分。</w:t>
            </w:r>
          </w:p>
          <w:p>
            <w:pPr>
              <w:pStyle w:val="31"/>
              <w:spacing w:line="240" w:lineRule="auto"/>
              <w:rPr>
                <w:rFonts w:ascii="宋体" w:hAnsi="宋体" w:cs="宋体"/>
                <w:color w:val="auto"/>
                <w:kern w:val="0"/>
                <w:sz w:val="24"/>
                <w:szCs w:val="24"/>
              </w:rPr>
            </w:pPr>
            <w:r>
              <w:rPr>
                <w:rFonts w:hint="eastAsia" w:ascii="宋体" w:hAnsi="宋体" w:cs="宋体"/>
                <w:color w:val="auto"/>
                <w:kern w:val="0"/>
                <w:sz w:val="24"/>
                <w:szCs w:val="24"/>
              </w:rPr>
              <w:t xml:space="preserve">    </w:t>
            </w:r>
            <w:r>
              <w:rPr>
                <w:rFonts w:ascii="宋体" w:hAnsi="宋体" w:cs="宋体"/>
                <w:color w:val="auto"/>
                <w:kern w:val="0"/>
                <w:sz w:val="24"/>
                <w:szCs w:val="24"/>
              </w:rPr>
              <w:t>B.</w:t>
            </w:r>
            <w:r>
              <w:rPr>
                <w:rFonts w:hint="eastAsia" w:ascii="宋体" w:hAnsi="宋体" w:cs="宋体"/>
                <w:color w:val="auto"/>
                <w:kern w:val="0"/>
                <w:sz w:val="24"/>
                <w:szCs w:val="24"/>
              </w:rPr>
              <w:t xml:space="preserve"> 对项目较为了解，总体案有一定的针对性，基本符合项目特点，基本合理，可操作性一般得</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14</w:t>
            </w:r>
            <w:r>
              <w:rPr>
                <w:rFonts w:hint="eastAsia" w:ascii="宋体" w:hAnsi="宋体" w:cs="宋体"/>
                <w:color w:val="auto"/>
                <w:kern w:val="0"/>
                <w:sz w:val="24"/>
                <w:szCs w:val="24"/>
              </w:rPr>
              <w:t>分。</w:t>
            </w:r>
          </w:p>
          <w:p>
            <w:pPr>
              <w:pStyle w:val="31"/>
              <w:spacing w:line="240" w:lineRule="auto"/>
              <w:rPr>
                <w:rFonts w:ascii="宋体" w:hAnsi="宋体" w:cs="宋体"/>
                <w:kern w:val="0"/>
                <w:sz w:val="24"/>
                <w:szCs w:val="24"/>
              </w:rPr>
            </w:pPr>
            <w:r>
              <w:rPr>
                <w:rFonts w:hint="eastAsia" w:ascii="宋体" w:hAnsi="宋体" w:cs="宋体"/>
                <w:color w:val="auto"/>
                <w:kern w:val="0"/>
                <w:sz w:val="24"/>
                <w:szCs w:val="24"/>
              </w:rPr>
              <w:t xml:space="preserve">    </w:t>
            </w:r>
            <w:r>
              <w:rPr>
                <w:rFonts w:ascii="宋体" w:hAnsi="宋体" w:cs="宋体"/>
                <w:color w:val="auto"/>
                <w:kern w:val="0"/>
                <w:sz w:val="24"/>
                <w:szCs w:val="24"/>
              </w:rPr>
              <w:t>C.</w:t>
            </w:r>
            <w:r>
              <w:rPr>
                <w:rFonts w:hint="eastAsia" w:ascii="宋体" w:hAnsi="宋体" w:cs="宋体"/>
                <w:color w:val="auto"/>
                <w:kern w:val="0"/>
                <w:sz w:val="24"/>
                <w:szCs w:val="24"/>
              </w:rPr>
              <w:t xml:space="preserve"> 不了解项目情况，总体方案泛泛没有针对性，不符合项目或不合理，可操作性差，得</w:t>
            </w:r>
            <w:r>
              <w:rPr>
                <w:rFonts w:ascii="宋体" w:hAnsi="宋体" w:cs="宋体"/>
                <w:color w:val="auto"/>
                <w:kern w:val="0"/>
                <w:sz w:val="24"/>
                <w:szCs w:val="24"/>
              </w:rPr>
              <w:t>0</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7</w:t>
            </w:r>
            <w:r>
              <w:rPr>
                <w:rFonts w:hint="eastAsia" w:ascii="宋体" w:hAnsi="宋体" w:cs="宋体"/>
                <w:color w:val="auto"/>
                <w:kern w:val="0"/>
                <w:sz w:val="24"/>
                <w:szCs w:val="24"/>
              </w:rPr>
              <w:t>分。</w:t>
            </w:r>
          </w:p>
        </w:tc>
      </w:tr>
      <w:tr>
        <w:tblPrEx>
          <w:tblLayout w:type="fixed"/>
          <w:tblCellMar>
            <w:top w:w="0" w:type="dxa"/>
            <w:left w:w="108" w:type="dxa"/>
            <w:bottom w:w="0" w:type="dxa"/>
            <w:right w:w="108" w:type="dxa"/>
          </w:tblCellMar>
        </w:tblPrEx>
        <w:trPr>
          <w:trHeight w:val="1059" w:hRule="atLeast"/>
        </w:trPr>
        <w:tc>
          <w:tcPr>
            <w:tcW w:w="864" w:type="dxa"/>
            <w:vMerge w:val="continue"/>
            <w:tcBorders>
              <w:left w:val="single" w:color="auto" w:sz="4" w:space="0"/>
              <w:right w:val="single" w:color="auto" w:sz="4" w:space="0"/>
            </w:tcBorders>
            <w:vAlign w:val="center"/>
          </w:tcPr>
          <w:p>
            <w:pPr>
              <w:jc w:val="center"/>
              <w:rPr>
                <w:rFonts w:ascii="宋体" w:hAnsi="宋体" w:eastAsia="宋体" w:cs="宋体"/>
                <w:kern w:val="0"/>
                <w:sz w:val="24"/>
                <w:szCs w:val="24"/>
              </w:rPr>
            </w:pPr>
          </w:p>
        </w:tc>
        <w:tc>
          <w:tcPr>
            <w:tcW w:w="1370" w:type="dxa"/>
            <w:tcBorders>
              <w:top w:val="nil"/>
              <w:left w:val="nil"/>
              <w:bottom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对项目重难点分析</w:t>
            </w:r>
          </w:p>
        </w:tc>
        <w:tc>
          <w:tcPr>
            <w:tcW w:w="513"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6539" w:type="dxa"/>
            <w:tcBorders>
              <w:top w:val="nil"/>
              <w:left w:val="nil"/>
              <w:bottom w:val="single" w:color="auto" w:sz="4" w:space="0"/>
              <w:right w:val="single" w:color="auto" w:sz="4" w:space="0"/>
            </w:tcBorders>
            <w:shd w:val="clear" w:color="auto" w:fill="FFFFFF"/>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A. </w:t>
            </w:r>
            <w:r>
              <w:rPr>
                <w:rFonts w:hint="eastAsia" w:ascii="宋体" w:hAnsi="宋体" w:eastAsia="宋体" w:cs="宋体"/>
                <w:kern w:val="0"/>
                <w:sz w:val="24"/>
                <w:szCs w:val="24"/>
                <w:lang w:val="en-US" w:eastAsia="zh-CN"/>
              </w:rPr>
              <w:t>项目重难点</w:t>
            </w:r>
            <w:r>
              <w:rPr>
                <w:rFonts w:hint="eastAsia" w:ascii="宋体" w:hAnsi="宋体" w:eastAsia="宋体" w:cs="宋体"/>
                <w:kern w:val="0"/>
                <w:sz w:val="24"/>
                <w:szCs w:val="24"/>
              </w:rPr>
              <w:t>叙述全面，且简明扼要，重点突出，近远期结合，经济可行。项目难点的分析透彻，并提出实际可行的针对措施，得</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B. </w:t>
            </w:r>
            <w:r>
              <w:rPr>
                <w:rFonts w:hint="eastAsia" w:ascii="宋体" w:hAnsi="宋体" w:eastAsia="宋体" w:cs="宋体"/>
                <w:kern w:val="0"/>
                <w:sz w:val="24"/>
                <w:szCs w:val="24"/>
                <w:lang w:val="en-US" w:eastAsia="zh-CN"/>
              </w:rPr>
              <w:t>对项目重难点</w:t>
            </w:r>
            <w:r>
              <w:rPr>
                <w:rFonts w:hint="eastAsia" w:ascii="宋体" w:hAnsi="宋体" w:eastAsia="宋体" w:cs="宋体"/>
                <w:kern w:val="0"/>
                <w:sz w:val="24"/>
                <w:szCs w:val="24"/>
              </w:rPr>
              <w:t>叙述较为全面，可操作性一般，重点基本突出。项目难点分析欠透彻，解决措施可行性一般，得</w:t>
            </w:r>
            <w:r>
              <w:rPr>
                <w:rFonts w:hint="eastAsia" w:ascii="宋体" w:hAnsi="宋体" w:eastAsia="宋体" w:cs="宋体"/>
                <w:kern w:val="0"/>
                <w:sz w:val="24"/>
                <w:szCs w:val="24"/>
                <w:lang w:val="en-US" w:eastAsia="zh-CN"/>
              </w:rPr>
              <w:t>4-6</w:t>
            </w:r>
            <w:r>
              <w:rPr>
                <w:rFonts w:hint="eastAsia" w:ascii="宋体" w:hAnsi="宋体" w:eastAsia="宋体" w:cs="宋体"/>
                <w:kern w:val="0"/>
                <w:sz w:val="24"/>
                <w:szCs w:val="24"/>
              </w:rPr>
              <w:t>分。</w:t>
            </w:r>
          </w:p>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C. </w:t>
            </w:r>
            <w:r>
              <w:rPr>
                <w:rFonts w:hint="eastAsia" w:ascii="宋体" w:hAnsi="宋体" w:eastAsia="宋体" w:cs="宋体"/>
                <w:kern w:val="0"/>
                <w:sz w:val="24"/>
                <w:szCs w:val="24"/>
                <w:lang w:val="en-US" w:eastAsia="zh-CN"/>
              </w:rPr>
              <w:t>对项目重难点</w:t>
            </w:r>
            <w:r>
              <w:rPr>
                <w:rFonts w:hint="eastAsia" w:ascii="宋体" w:hAnsi="宋体" w:eastAsia="宋体" w:cs="宋体"/>
                <w:kern w:val="0"/>
                <w:sz w:val="24"/>
                <w:szCs w:val="24"/>
              </w:rPr>
              <w:t>重点不突出；项目重点、难点的分析不透彻，解决措施差或不可行，得0-</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分。</w:t>
            </w:r>
          </w:p>
        </w:tc>
      </w:tr>
      <w:tr>
        <w:tblPrEx>
          <w:tblLayout w:type="fixed"/>
          <w:tblCellMar>
            <w:top w:w="0" w:type="dxa"/>
            <w:left w:w="108" w:type="dxa"/>
            <w:bottom w:w="0" w:type="dxa"/>
            <w:right w:w="108" w:type="dxa"/>
          </w:tblCellMar>
        </w:tblPrEx>
        <w:trPr>
          <w:trHeight w:val="416" w:hRule="atLeast"/>
        </w:trPr>
        <w:tc>
          <w:tcPr>
            <w:tcW w:w="864" w:type="dxa"/>
            <w:vMerge w:val="continue"/>
            <w:tcBorders>
              <w:left w:val="single" w:color="auto" w:sz="4" w:space="0"/>
              <w:right w:val="single" w:color="auto" w:sz="4" w:space="0"/>
            </w:tcBorders>
            <w:vAlign w:val="center"/>
          </w:tcPr>
          <w:p>
            <w:pPr>
              <w:jc w:val="center"/>
              <w:rPr>
                <w:rFonts w:ascii="宋体" w:hAnsi="宋体" w:eastAsia="宋体" w:cs="宋体"/>
                <w:kern w:val="0"/>
                <w:sz w:val="24"/>
                <w:szCs w:val="24"/>
              </w:rPr>
            </w:pPr>
          </w:p>
        </w:tc>
        <w:tc>
          <w:tcPr>
            <w:tcW w:w="137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cs="宋体"/>
                <w:color w:val="auto"/>
                <w:kern w:val="0"/>
                <w:sz w:val="24"/>
                <w:szCs w:val="24"/>
              </w:rPr>
              <w:t>安全文明</w:t>
            </w:r>
            <w:r>
              <w:rPr>
                <w:rFonts w:hint="eastAsia" w:ascii="宋体" w:hAnsi="宋体" w:cs="宋体"/>
                <w:color w:val="auto"/>
                <w:kern w:val="0"/>
                <w:sz w:val="24"/>
                <w:szCs w:val="24"/>
                <w:lang w:val="en-US" w:eastAsia="zh-CN"/>
              </w:rPr>
              <w:t>服务方案</w:t>
            </w:r>
            <w:r>
              <w:rPr>
                <w:rFonts w:hint="eastAsia" w:ascii="宋体" w:hAnsi="宋体" w:cs="宋体"/>
                <w:color w:val="auto"/>
                <w:kern w:val="0"/>
                <w:sz w:val="24"/>
                <w:szCs w:val="24"/>
              </w:rPr>
              <w:t>及应急处理方案评审</w:t>
            </w:r>
          </w:p>
        </w:tc>
        <w:tc>
          <w:tcPr>
            <w:tcW w:w="513" w:type="dxa"/>
            <w:tcBorders>
              <w:top w:val="nil"/>
              <w:left w:val="nil"/>
              <w:bottom w:val="single" w:color="auto" w:sz="4" w:space="0"/>
              <w:right w:val="single" w:color="auto" w:sz="4" w:space="0"/>
            </w:tcBorders>
            <w:vAlign w:val="center"/>
          </w:tcPr>
          <w:p>
            <w:pPr>
              <w:adjustRightInd w:val="0"/>
              <w:snapToGrid w:val="0"/>
              <w:jc w:val="center"/>
              <w:rPr>
                <w:rFonts w:hint="default" w:ascii="宋体" w:hAnsi="宋体" w:eastAsia="宋体" w:cs="宋体"/>
                <w:kern w:val="0"/>
                <w:sz w:val="24"/>
                <w:szCs w:val="24"/>
                <w:lang w:val="en-US" w:eastAsia="zh-CN"/>
              </w:rPr>
            </w:pPr>
            <w:r>
              <w:rPr>
                <w:rFonts w:hint="eastAsia" w:ascii="宋体" w:hAnsi="宋体" w:eastAsia="宋体" w:cs="宋体"/>
                <w:color w:val="auto"/>
                <w:kern w:val="0"/>
                <w:sz w:val="24"/>
                <w:szCs w:val="24"/>
                <w:lang w:val="en-US" w:eastAsia="zh-CN"/>
              </w:rPr>
              <w:t>10</w:t>
            </w:r>
          </w:p>
        </w:tc>
        <w:tc>
          <w:tcPr>
            <w:tcW w:w="6539"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hint="eastAsia" w:ascii="宋体" w:hAnsi="宋体" w:eastAsia="宋体" w:cs="宋体"/>
                <w:kern w:val="0"/>
                <w:sz w:val="24"/>
                <w:szCs w:val="24"/>
              </w:rPr>
            </w:pPr>
            <w:r>
              <w:rPr>
                <w:rFonts w:hint="eastAsia" w:ascii="宋体" w:hAnsi="宋体" w:cs="宋体"/>
                <w:color w:val="auto"/>
                <w:kern w:val="0"/>
                <w:sz w:val="24"/>
                <w:szCs w:val="24"/>
              </w:rPr>
              <w:t>内容完整、详细、表述清晰、科学 合理、切实可行，得7-</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分； 内容比较完整、详细、表述清晰、比较合理、可行，得4-6分； 内容基本完整 、详细、表述基本清晰、合理、可行性稍差，得1-3分；其他或无响应，得0分。</w:t>
            </w:r>
          </w:p>
        </w:tc>
      </w:tr>
      <w:tr>
        <w:tblPrEx>
          <w:tblLayout w:type="fixed"/>
          <w:tblCellMar>
            <w:top w:w="0" w:type="dxa"/>
            <w:left w:w="108" w:type="dxa"/>
            <w:bottom w:w="0" w:type="dxa"/>
            <w:right w:w="108" w:type="dxa"/>
          </w:tblCellMar>
        </w:tblPrEx>
        <w:trPr>
          <w:trHeight w:val="416" w:hRule="atLeast"/>
        </w:trPr>
        <w:tc>
          <w:tcPr>
            <w:tcW w:w="864" w:type="dxa"/>
            <w:tcBorders>
              <w:left w:val="single" w:color="auto" w:sz="4" w:space="0"/>
              <w:right w:val="single" w:color="auto" w:sz="4" w:space="0"/>
            </w:tcBorders>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价格部分</w:t>
            </w:r>
          </w:p>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0分）</w:t>
            </w:r>
          </w:p>
        </w:tc>
        <w:tc>
          <w:tcPr>
            <w:tcW w:w="1370" w:type="dxa"/>
            <w:tcBorders>
              <w:top w:val="nil"/>
              <w:left w:val="nil"/>
              <w:bottom w:val="single" w:color="auto" w:sz="4" w:space="0"/>
              <w:right w:val="single" w:color="auto" w:sz="4" w:space="0"/>
            </w:tcBorders>
            <w:vAlign w:val="center"/>
          </w:tcPr>
          <w:p>
            <w:pPr>
              <w:adjustRightInd w:val="0"/>
              <w:snapToGrid w:val="0"/>
              <w:jc w:val="center"/>
              <w:rPr>
                <w:rFonts w:hint="eastAsia" w:ascii="宋体" w:hAnsi="宋体" w:cs="宋体"/>
                <w:color w:val="auto"/>
                <w:kern w:val="0"/>
                <w:sz w:val="24"/>
                <w:szCs w:val="24"/>
              </w:rPr>
            </w:pPr>
            <w:r>
              <w:rPr>
                <w:rFonts w:hint="eastAsia" w:ascii="宋体" w:hAnsi="宋体" w:eastAsia="宋体" w:cs="宋体"/>
                <w:kern w:val="0"/>
                <w:sz w:val="24"/>
                <w:szCs w:val="24"/>
              </w:rPr>
              <w:t>报价</w:t>
            </w:r>
          </w:p>
        </w:tc>
        <w:tc>
          <w:tcPr>
            <w:tcW w:w="513" w:type="dxa"/>
            <w:tcBorders>
              <w:top w:val="nil"/>
              <w:left w:val="nil"/>
              <w:bottom w:val="single" w:color="auto" w:sz="4" w:space="0"/>
              <w:right w:val="single" w:color="auto" w:sz="4" w:space="0"/>
            </w:tcBorders>
            <w:vAlign w:val="center"/>
          </w:tcPr>
          <w:p>
            <w:pPr>
              <w:adjustRightInd w:val="0"/>
              <w:snapToGrid w:val="0"/>
              <w:jc w:val="left"/>
              <w:rPr>
                <w:rFonts w:hint="eastAsia" w:ascii="宋体" w:hAnsi="宋体" w:eastAsia="宋体" w:cs="宋体"/>
                <w:color w:val="auto"/>
                <w:kern w:val="0"/>
                <w:sz w:val="24"/>
                <w:szCs w:val="24"/>
                <w:lang w:val="en-US" w:eastAsia="zh-CN"/>
              </w:rPr>
            </w:pPr>
            <w:r>
              <w:rPr>
                <w:rFonts w:hint="eastAsia" w:ascii="宋体" w:hAnsi="宋体" w:eastAsia="宋体" w:cs="宋体"/>
                <w:kern w:val="0"/>
                <w:sz w:val="24"/>
                <w:szCs w:val="24"/>
                <w:lang w:val="en-US" w:eastAsia="zh-CN"/>
              </w:rPr>
              <w:t>5</w:t>
            </w:r>
            <w:r>
              <w:rPr>
                <w:rFonts w:ascii="宋体" w:hAnsi="宋体" w:eastAsia="宋体" w:cs="宋体"/>
                <w:kern w:val="0"/>
                <w:sz w:val="24"/>
                <w:szCs w:val="24"/>
              </w:rPr>
              <w:t>0</w:t>
            </w:r>
          </w:p>
        </w:tc>
        <w:tc>
          <w:tcPr>
            <w:tcW w:w="6539" w:type="dxa"/>
            <w:tcBorders>
              <w:top w:val="nil"/>
              <w:left w:val="nil"/>
              <w:bottom w:val="single" w:color="auto" w:sz="4" w:space="0"/>
              <w:right w:val="single" w:color="auto" w:sz="4" w:space="0"/>
            </w:tcBorders>
            <w:shd w:val="clear" w:color="auto" w:fill="FFFFFF"/>
            <w:vAlign w:val="center"/>
          </w:tcPr>
          <w:p>
            <w:pPr>
              <w:adjustRightInd w:val="0"/>
              <w:snapToGrid w:val="0"/>
              <w:jc w:val="left"/>
              <w:rPr>
                <w:rFonts w:hint="eastAsia" w:ascii="宋体" w:hAnsi="宋体" w:cs="宋体"/>
                <w:color w:val="auto"/>
                <w:kern w:val="0"/>
                <w:sz w:val="24"/>
                <w:szCs w:val="24"/>
              </w:rPr>
            </w:pPr>
            <w:r>
              <w:rPr>
                <w:rFonts w:hint="eastAsia"/>
                <w:sz w:val="24"/>
                <w:szCs w:val="24"/>
              </w:rPr>
              <w:t>以经评审的最低投标报价作为评标基准价，当投标价等于评标基准价时价格分得满分，投标价每高于评标基准价1%</w:t>
            </w:r>
            <w:r>
              <w:rPr>
                <w:rFonts w:hint="eastAsia"/>
                <w:sz w:val="24"/>
                <w:szCs w:val="24"/>
                <w:highlight w:val="none"/>
              </w:rPr>
              <w:t>扣</w:t>
            </w:r>
            <w:r>
              <w:rPr>
                <w:rFonts w:hint="eastAsia"/>
                <w:sz w:val="24"/>
                <w:szCs w:val="24"/>
                <w:highlight w:val="none"/>
                <w:lang w:val="en-US" w:eastAsia="zh-CN"/>
              </w:rPr>
              <w:t>0.5</w:t>
            </w:r>
            <w:r>
              <w:rPr>
                <w:rFonts w:hint="eastAsia"/>
                <w:sz w:val="24"/>
                <w:szCs w:val="24"/>
                <w:highlight w:val="none"/>
              </w:rPr>
              <w:t>分，</w:t>
            </w:r>
            <w:r>
              <w:rPr>
                <w:rFonts w:hint="eastAsia"/>
                <w:sz w:val="24"/>
                <w:szCs w:val="24"/>
              </w:rPr>
              <w:t>扣至0分为止。</w:t>
            </w:r>
          </w:p>
        </w:tc>
      </w:tr>
      <w:bookmarkEnd w:id="0"/>
    </w:tbl>
    <w:p>
      <w:pPr>
        <w:spacing w:line="360" w:lineRule="auto"/>
        <w:rPr>
          <w:rFonts w:hint="default"/>
          <w:sz w:val="28"/>
          <w:szCs w:val="28"/>
          <w:lang w:val="en-US" w:eastAsia="zh-CN"/>
        </w:rPr>
        <w:sectPr>
          <w:footerReference r:id="rId3" w:type="default"/>
          <w:pgSz w:w="11906" w:h="16838"/>
          <w:pgMar w:top="1134" w:right="1418" w:bottom="1134" w:left="1418" w:header="851" w:footer="992" w:gutter="0"/>
          <w:cols w:space="720" w:num="1"/>
          <w:docGrid w:type="lines" w:linePitch="312" w:charSpace="0"/>
        </w:sectPr>
      </w:pPr>
    </w:p>
    <w:p>
      <w:pPr>
        <w:spacing w:line="360" w:lineRule="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附件8、标有红色箭头的为除“四害”、消杀白蚁施工消杀点</w:t>
      </w:r>
    </w:p>
    <w:p>
      <w:pPr>
        <w:spacing w:line="360" w:lineRule="auto"/>
        <w:rPr>
          <w:rFonts w:hint="eastAsia"/>
          <w:bCs/>
          <w:sz w:val="28"/>
          <w:szCs w:val="28"/>
        </w:rPr>
      </w:pPr>
    </w:p>
    <w:p>
      <w:pPr>
        <w:spacing w:line="360" w:lineRule="auto"/>
        <w:rPr>
          <w:rFonts w:hint="eastAsia"/>
          <w:bCs/>
          <w:sz w:val="28"/>
          <w:szCs w:val="28"/>
        </w:rPr>
      </w:pPr>
    </w:p>
    <w:p>
      <w:pPr>
        <w:spacing w:line="360" w:lineRule="auto"/>
        <w:rPr>
          <w:rFonts w:hint="eastAsia"/>
          <w:bCs/>
          <w:sz w:val="28"/>
          <w:szCs w:val="28"/>
        </w:rPr>
      </w:pPr>
      <w:r>
        <w:rPr>
          <w:rFonts w:hint="eastAsia" w:ascii="仿宋" w:hAnsi="仿宋" w:eastAsia="仿宋" w:cs="仿宋"/>
          <w:sz w:val="28"/>
          <w:szCs w:val="28"/>
        </w:rPr>
        <w:drawing>
          <wp:anchor distT="0" distB="0" distL="114935" distR="114935" simplePos="0" relativeHeight="251658240" behindDoc="0" locked="0" layoutInCell="1" allowOverlap="1">
            <wp:simplePos x="0" y="0"/>
            <wp:positionH relativeFrom="column">
              <wp:posOffset>27940</wp:posOffset>
            </wp:positionH>
            <wp:positionV relativeFrom="paragraph">
              <wp:posOffset>113665</wp:posOffset>
            </wp:positionV>
            <wp:extent cx="8851900" cy="4410075"/>
            <wp:effectExtent l="0" t="0" r="6350" b="9525"/>
            <wp:wrapTopAndBottom/>
            <wp:docPr id="1" name="图片 1" descr="微信图片编辑_20220928094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编辑_20220928094539"/>
                    <pic:cNvPicPr>
                      <a:picLocks noChangeAspect="1"/>
                    </pic:cNvPicPr>
                  </pic:nvPicPr>
                  <pic:blipFill>
                    <a:blip r:embed="rId5"/>
                    <a:stretch>
                      <a:fillRect/>
                    </a:stretch>
                  </pic:blipFill>
                  <pic:spPr>
                    <a:xfrm>
                      <a:off x="0" y="0"/>
                      <a:ext cx="8851900" cy="4410075"/>
                    </a:xfrm>
                    <a:prstGeom prst="rect">
                      <a:avLst/>
                    </a:prstGeom>
                    <a:noFill/>
                    <a:ln>
                      <a:noFill/>
                    </a:ln>
                  </pic:spPr>
                </pic:pic>
              </a:graphicData>
            </a:graphic>
          </wp:anchor>
        </w:drawing>
      </w:r>
    </w:p>
    <w:p>
      <w:pPr>
        <w:spacing w:line="360" w:lineRule="auto"/>
        <w:rPr>
          <w:rFonts w:hint="default"/>
          <w:bCs/>
          <w:sz w:val="28"/>
          <w:szCs w:val="28"/>
          <w:lang w:val="en-US" w:eastAsia="zh-CN"/>
        </w:rPr>
      </w:pPr>
      <w:r>
        <w:rPr>
          <w:rFonts w:hint="eastAsia"/>
          <w:bCs/>
          <w:sz w:val="28"/>
          <w:szCs w:val="28"/>
          <w:lang w:val="en-US" w:eastAsia="zh-CN"/>
        </w:rPr>
        <w:t>附件9</w:t>
      </w:r>
    </w:p>
    <w:p>
      <w:pPr>
        <w:spacing w:line="360" w:lineRule="auto"/>
        <w:jc w:val="center"/>
        <w:rPr>
          <w:rFonts w:hint="default" w:eastAsia="宋体"/>
          <w:bCs/>
          <w:sz w:val="28"/>
          <w:szCs w:val="28"/>
          <w:lang w:val="en-US" w:eastAsia="zh-CN"/>
        </w:rPr>
      </w:pPr>
      <w:r>
        <w:rPr>
          <w:rFonts w:hint="eastAsia" w:ascii="仿宋" w:hAnsi="仿宋" w:eastAsia="仿宋" w:cs="仿宋"/>
          <w:b/>
          <w:bCs/>
          <w:sz w:val="24"/>
        </w:rPr>
        <w:t>除“四害”、消杀白蚁检查考核内容及处罚标准      （季度）</w:t>
      </w:r>
    </w:p>
    <w:tbl>
      <w:tblPr>
        <w:tblStyle w:val="16"/>
        <w:tblpPr w:leftFromText="180" w:rightFromText="180" w:vertAnchor="text" w:horzAnchor="page" w:tblpX="1206" w:tblpY="151"/>
        <w:tblOverlap w:val="never"/>
        <w:tblW w:w="14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4671"/>
        <w:gridCol w:w="5542"/>
        <w:gridCol w:w="3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62" w:type="dxa"/>
            <w:vAlign w:val="center"/>
          </w:tcPr>
          <w:p>
            <w:pPr>
              <w:jc w:val="center"/>
              <w:rPr>
                <w:b/>
                <w:bCs/>
                <w:sz w:val="24"/>
              </w:rPr>
            </w:pPr>
            <w:r>
              <w:rPr>
                <w:rFonts w:hint="eastAsia"/>
                <w:b/>
                <w:bCs/>
                <w:sz w:val="24"/>
              </w:rPr>
              <w:t>序号</w:t>
            </w:r>
          </w:p>
        </w:tc>
        <w:tc>
          <w:tcPr>
            <w:tcW w:w="4671" w:type="dxa"/>
            <w:vAlign w:val="center"/>
          </w:tcPr>
          <w:p>
            <w:pPr>
              <w:rPr>
                <w:b/>
                <w:bCs/>
                <w:sz w:val="24"/>
              </w:rPr>
            </w:pPr>
            <w:r>
              <w:rPr>
                <w:rFonts w:hint="eastAsia"/>
                <w:b/>
                <w:bCs/>
                <w:sz w:val="24"/>
              </w:rPr>
              <w:t xml:space="preserve">           考核检查内容</w:t>
            </w:r>
          </w:p>
        </w:tc>
        <w:tc>
          <w:tcPr>
            <w:tcW w:w="5542" w:type="dxa"/>
            <w:vAlign w:val="center"/>
          </w:tcPr>
          <w:p>
            <w:pPr>
              <w:jc w:val="center"/>
              <w:rPr>
                <w:b/>
                <w:bCs/>
                <w:sz w:val="24"/>
              </w:rPr>
            </w:pPr>
            <w:r>
              <w:rPr>
                <w:rFonts w:hint="eastAsia"/>
                <w:b/>
                <w:bCs/>
                <w:sz w:val="24"/>
              </w:rPr>
              <w:t>交纳罚款额度</w:t>
            </w:r>
          </w:p>
        </w:tc>
        <w:tc>
          <w:tcPr>
            <w:tcW w:w="3605" w:type="dxa"/>
            <w:vAlign w:val="center"/>
          </w:tcPr>
          <w:p>
            <w:pPr>
              <w:rPr>
                <w:b/>
                <w:bCs/>
                <w:sz w:val="24"/>
              </w:rPr>
            </w:pPr>
            <w:r>
              <w:rPr>
                <w:rFonts w:hint="eastAsia"/>
                <w:b/>
                <w:bCs/>
                <w:sz w:val="24"/>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62" w:type="dxa"/>
            <w:vAlign w:val="center"/>
          </w:tcPr>
          <w:p>
            <w:pPr>
              <w:jc w:val="center"/>
              <w:rPr>
                <w:b/>
                <w:bCs/>
                <w:sz w:val="24"/>
              </w:rPr>
            </w:pPr>
            <w:r>
              <w:rPr>
                <w:rFonts w:hint="eastAsia"/>
                <w:b/>
                <w:bCs/>
                <w:sz w:val="24"/>
              </w:rPr>
              <w:t>1</w:t>
            </w:r>
          </w:p>
        </w:tc>
        <w:tc>
          <w:tcPr>
            <w:tcW w:w="4671" w:type="dxa"/>
            <w:vAlign w:val="center"/>
          </w:tcPr>
          <w:p>
            <w:pPr>
              <w:rPr>
                <w:szCs w:val="21"/>
              </w:rPr>
            </w:pPr>
            <w:r>
              <w:rPr>
                <w:rFonts w:hint="eastAsia"/>
                <w:szCs w:val="21"/>
              </w:rPr>
              <w:t>按规定定期放置老鼠药</w:t>
            </w:r>
          </w:p>
        </w:tc>
        <w:tc>
          <w:tcPr>
            <w:tcW w:w="5542" w:type="dxa"/>
            <w:vAlign w:val="center"/>
          </w:tcPr>
          <w:p>
            <w:pPr>
              <w:rPr>
                <w:szCs w:val="21"/>
              </w:rPr>
            </w:pPr>
            <w:r>
              <w:rPr>
                <w:rFonts w:hint="eastAsia"/>
                <w:szCs w:val="21"/>
              </w:rPr>
              <w:t>没有定期放置老鼠药，一次扣罚</w:t>
            </w:r>
            <w:r>
              <w:rPr>
                <w:szCs w:val="21"/>
              </w:rPr>
              <w:t>3</w:t>
            </w:r>
            <w:r>
              <w:rPr>
                <w:rFonts w:hint="eastAsia"/>
                <w:szCs w:val="21"/>
              </w:rPr>
              <w:t>00元</w:t>
            </w:r>
          </w:p>
        </w:tc>
        <w:tc>
          <w:tcPr>
            <w:tcW w:w="360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62" w:type="dxa"/>
            <w:vAlign w:val="center"/>
          </w:tcPr>
          <w:p>
            <w:pPr>
              <w:jc w:val="center"/>
              <w:rPr>
                <w:b/>
                <w:bCs/>
                <w:sz w:val="24"/>
              </w:rPr>
            </w:pPr>
            <w:r>
              <w:rPr>
                <w:rFonts w:hint="eastAsia"/>
                <w:b/>
                <w:bCs/>
                <w:sz w:val="24"/>
              </w:rPr>
              <w:t>2</w:t>
            </w:r>
          </w:p>
        </w:tc>
        <w:tc>
          <w:tcPr>
            <w:tcW w:w="4671" w:type="dxa"/>
            <w:vAlign w:val="center"/>
          </w:tcPr>
          <w:p>
            <w:pPr>
              <w:rPr>
                <w:szCs w:val="21"/>
              </w:rPr>
            </w:pPr>
            <w:r>
              <w:rPr>
                <w:rFonts w:hint="eastAsia"/>
                <w:szCs w:val="21"/>
              </w:rPr>
              <w:t>出现老鼠不超5</w:t>
            </w:r>
            <w:r>
              <w:rPr>
                <w:rFonts w:hint="eastAsia" w:ascii="宋体" w:hAnsi="宋体" w:cs="宋体"/>
                <w:szCs w:val="21"/>
              </w:rPr>
              <w:t>％</w:t>
            </w:r>
          </w:p>
        </w:tc>
        <w:tc>
          <w:tcPr>
            <w:tcW w:w="5542" w:type="dxa"/>
            <w:vAlign w:val="center"/>
          </w:tcPr>
          <w:p>
            <w:pPr>
              <w:rPr>
                <w:szCs w:val="21"/>
              </w:rPr>
            </w:pPr>
            <w:r>
              <w:rPr>
                <w:rFonts w:hint="eastAsia"/>
                <w:szCs w:val="21"/>
              </w:rPr>
              <w:t>出现老鼠超过5</w:t>
            </w:r>
            <w:r>
              <w:rPr>
                <w:rFonts w:hint="eastAsia" w:ascii="宋体" w:hAnsi="宋体" w:cs="宋体"/>
                <w:szCs w:val="21"/>
              </w:rPr>
              <w:t>％，</w:t>
            </w:r>
            <w:r>
              <w:rPr>
                <w:rFonts w:hint="eastAsia"/>
                <w:szCs w:val="21"/>
              </w:rPr>
              <w:t>一次扣罚</w:t>
            </w:r>
            <w:r>
              <w:rPr>
                <w:szCs w:val="21"/>
              </w:rPr>
              <w:t>5</w:t>
            </w:r>
            <w:r>
              <w:rPr>
                <w:rFonts w:hint="eastAsia"/>
                <w:szCs w:val="21"/>
              </w:rPr>
              <w:t>00元</w:t>
            </w:r>
          </w:p>
        </w:tc>
        <w:tc>
          <w:tcPr>
            <w:tcW w:w="360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762" w:type="dxa"/>
            <w:vAlign w:val="center"/>
          </w:tcPr>
          <w:p>
            <w:pPr>
              <w:jc w:val="center"/>
              <w:rPr>
                <w:b/>
                <w:bCs/>
                <w:sz w:val="24"/>
              </w:rPr>
            </w:pPr>
            <w:r>
              <w:rPr>
                <w:rFonts w:hint="eastAsia"/>
                <w:b/>
                <w:bCs/>
                <w:sz w:val="24"/>
              </w:rPr>
              <w:t>3</w:t>
            </w:r>
          </w:p>
        </w:tc>
        <w:tc>
          <w:tcPr>
            <w:tcW w:w="4671" w:type="dxa"/>
            <w:vAlign w:val="center"/>
          </w:tcPr>
          <w:p>
            <w:pPr>
              <w:rPr>
                <w:szCs w:val="21"/>
              </w:rPr>
            </w:pPr>
            <w:r>
              <w:rPr>
                <w:rFonts w:hint="eastAsia"/>
                <w:szCs w:val="21"/>
              </w:rPr>
              <w:t>按规定定期喷洒灭蚊药</w:t>
            </w:r>
          </w:p>
        </w:tc>
        <w:tc>
          <w:tcPr>
            <w:tcW w:w="5542" w:type="dxa"/>
            <w:vAlign w:val="center"/>
          </w:tcPr>
          <w:p>
            <w:pPr>
              <w:rPr>
                <w:szCs w:val="21"/>
              </w:rPr>
            </w:pPr>
            <w:r>
              <w:rPr>
                <w:rFonts w:hint="eastAsia"/>
                <w:szCs w:val="21"/>
              </w:rPr>
              <w:t>没有定期喷洒灭蚊药，一次扣罚</w:t>
            </w:r>
            <w:r>
              <w:rPr>
                <w:szCs w:val="21"/>
              </w:rPr>
              <w:t>3</w:t>
            </w:r>
            <w:r>
              <w:rPr>
                <w:rFonts w:hint="eastAsia"/>
                <w:szCs w:val="21"/>
              </w:rPr>
              <w:t>00元</w:t>
            </w:r>
          </w:p>
        </w:tc>
        <w:tc>
          <w:tcPr>
            <w:tcW w:w="3605"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8" w:hRule="atLeast"/>
        </w:trPr>
        <w:tc>
          <w:tcPr>
            <w:tcW w:w="762" w:type="dxa"/>
            <w:vAlign w:val="center"/>
          </w:tcPr>
          <w:p>
            <w:pPr>
              <w:jc w:val="center"/>
              <w:rPr>
                <w:b/>
                <w:bCs/>
                <w:szCs w:val="21"/>
              </w:rPr>
            </w:pPr>
            <w:r>
              <w:rPr>
                <w:rFonts w:hint="eastAsia"/>
                <w:b/>
                <w:bCs/>
                <w:szCs w:val="21"/>
              </w:rPr>
              <w:t>4</w:t>
            </w:r>
          </w:p>
        </w:tc>
        <w:tc>
          <w:tcPr>
            <w:tcW w:w="4671" w:type="dxa"/>
            <w:vAlign w:val="center"/>
          </w:tcPr>
          <w:p>
            <w:pPr>
              <w:rPr>
                <w:szCs w:val="21"/>
              </w:rPr>
            </w:pPr>
            <w:r>
              <w:rPr>
                <w:rFonts w:hint="eastAsia"/>
                <w:szCs w:val="21"/>
              </w:rPr>
              <w:t>出现蚊不超3</w:t>
            </w:r>
            <w:r>
              <w:rPr>
                <w:rFonts w:hint="eastAsia" w:ascii="宋体" w:hAnsi="宋体" w:cs="宋体"/>
                <w:szCs w:val="21"/>
              </w:rPr>
              <w:t>％</w:t>
            </w:r>
          </w:p>
        </w:tc>
        <w:tc>
          <w:tcPr>
            <w:tcW w:w="5542" w:type="dxa"/>
            <w:vAlign w:val="center"/>
          </w:tcPr>
          <w:p>
            <w:pPr>
              <w:rPr>
                <w:szCs w:val="21"/>
              </w:rPr>
            </w:pPr>
            <w:r>
              <w:rPr>
                <w:rFonts w:hint="eastAsia"/>
                <w:szCs w:val="21"/>
              </w:rPr>
              <w:t>出现蚊超过3</w:t>
            </w:r>
            <w:r>
              <w:rPr>
                <w:rFonts w:hint="eastAsia" w:ascii="宋体" w:hAnsi="宋体" w:cs="宋体"/>
                <w:szCs w:val="21"/>
              </w:rPr>
              <w:t>％，</w:t>
            </w:r>
            <w:r>
              <w:rPr>
                <w:rFonts w:hint="eastAsia"/>
                <w:szCs w:val="21"/>
              </w:rPr>
              <w:t>一次扣罚</w:t>
            </w:r>
            <w:r>
              <w:rPr>
                <w:szCs w:val="21"/>
              </w:rPr>
              <w:t>5</w:t>
            </w:r>
            <w:r>
              <w:rPr>
                <w:rFonts w:hint="eastAsia"/>
                <w:szCs w:val="21"/>
              </w:rPr>
              <w:t>00元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trPr>
        <w:tc>
          <w:tcPr>
            <w:tcW w:w="762" w:type="dxa"/>
            <w:vAlign w:val="center"/>
          </w:tcPr>
          <w:p>
            <w:pPr>
              <w:jc w:val="center"/>
              <w:rPr>
                <w:b/>
                <w:bCs/>
                <w:szCs w:val="21"/>
              </w:rPr>
            </w:pPr>
            <w:r>
              <w:rPr>
                <w:rFonts w:hint="eastAsia"/>
                <w:b/>
                <w:bCs/>
                <w:szCs w:val="21"/>
              </w:rPr>
              <w:t>5</w:t>
            </w:r>
          </w:p>
        </w:tc>
        <w:tc>
          <w:tcPr>
            <w:tcW w:w="4671" w:type="dxa"/>
            <w:vAlign w:val="center"/>
          </w:tcPr>
          <w:p>
            <w:pPr>
              <w:rPr>
                <w:szCs w:val="21"/>
              </w:rPr>
            </w:pPr>
            <w:r>
              <w:rPr>
                <w:rFonts w:hint="eastAsia"/>
                <w:szCs w:val="21"/>
              </w:rPr>
              <w:t>按规定定期放置灭苍蝇药</w:t>
            </w:r>
          </w:p>
        </w:tc>
        <w:tc>
          <w:tcPr>
            <w:tcW w:w="5542" w:type="dxa"/>
            <w:vAlign w:val="center"/>
          </w:tcPr>
          <w:p>
            <w:pPr>
              <w:rPr>
                <w:szCs w:val="21"/>
              </w:rPr>
            </w:pPr>
            <w:r>
              <w:rPr>
                <w:rFonts w:hint="eastAsia"/>
                <w:szCs w:val="21"/>
              </w:rPr>
              <w:t>没有定期放置灭苍蝇药，一次扣罚</w:t>
            </w:r>
            <w:r>
              <w:rPr>
                <w:szCs w:val="21"/>
              </w:rPr>
              <w:t>3</w:t>
            </w:r>
            <w:r>
              <w:rPr>
                <w:rFonts w:hint="eastAsia"/>
                <w:szCs w:val="21"/>
              </w:rPr>
              <w:t>00元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trPr>
        <w:tc>
          <w:tcPr>
            <w:tcW w:w="762" w:type="dxa"/>
            <w:vAlign w:val="center"/>
          </w:tcPr>
          <w:p>
            <w:pPr>
              <w:jc w:val="center"/>
              <w:rPr>
                <w:b/>
                <w:bCs/>
                <w:szCs w:val="21"/>
              </w:rPr>
            </w:pPr>
            <w:r>
              <w:rPr>
                <w:rFonts w:hint="eastAsia"/>
                <w:b/>
                <w:bCs/>
                <w:szCs w:val="21"/>
              </w:rPr>
              <w:t>6</w:t>
            </w:r>
          </w:p>
        </w:tc>
        <w:tc>
          <w:tcPr>
            <w:tcW w:w="4671" w:type="dxa"/>
            <w:vAlign w:val="center"/>
          </w:tcPr>
          <w:p>
            <w:pPr>
              <w:rPr>
                <w:szCs w:val="21"/>
              </w:rPr>
            </w:pPr>
            <w:r>
              <w:rPr>
                <w:rFonts w:hint="eastAsia"/>
                <w:szCs w:val="21"/>
              </w:rPr>
              <w:t>出现苍蝇不超3</w:t>
            </w:r>
            <w:r>
              <w:rPr>
                <w:rFonts w:hint="eastAsia" w:ascii="宋体" w:hAnsi="宋体" w:cs="宋体"/>
                <w:szCs w:val="21"/>
              </w:rPr>
              <w:t>％</w:t>
            </w:r>
          </w:p>
        </w:tc>
        <w:tc>
          <w:tcPr>
            <w:tcW w:w="5542" w:type="dxa"/>
            <w:vAlign w:val="center"/>
          </w:tcPr>
          <w:p>
            <w:pPr>
              <w:rPr>
                <w:szCs w:val="21"/>
              </w:rPr>
            </w:pPr>
            <w:r>
              <w:rPr>
                <w:rFonts w:hint="eastAsia"/>
                <w:szCs w:val="21"/>
              </w:rPr>
              <w:t>出现苍蝇超过3</w:t>
            </w:r>
            <w:r>
              <w:rPr>
                <w:rFonts w:hint="eastAsia" w:ascii="宋体" w:hAnsi="宋体" w:cs="宋体"/>
                <w:szCs w:val="21"/>
              </w:rPr>
              <w:t>％，</w:t>
            </w:r>
            <w:r>
              <w:rPr>
                <w:rFonts w:hint="eastAsia"/>
                <w:szCs w:val="21"/>
              </w:rPr>
              <w:t>一次扣罚</w:t>
            </w:r>
            <w:r>
              <w:rPr>
                <w:szCs w:val="21"/>
              </w:rPr>
              <w:t>5</w:t>
            </w:r>
            <w:r>
              <w:rPr>
                <w:rFonts w:hint="eastAsia"/>
                <w:szCs w:val="21"/>
              </w:rPr>
              <w:t>00元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trPr>
        <w:tc>
          <w:tcPr>
            <w:tcW w:w="762" w:type="dxa"/>
            <w:vAlign w:val="center"/>
          </w:tcPr>
          <w:p>
            <w:pPr>
              <w:jc w:val="center"/>
              <w:rPr>
                <w:b/>
                <w:bCs/>
                <w:szCs w:val="21"/>
              </w:rPr>
            </w:pPr>
            <w:r>
              <w:rPr>
                <w:rFonts w:hint="eastAsia"/>
                <w:b/>
                <w:bCs/>
                <w:szCs w:val="21"/>
              </w:rPr>
              <w:t>7</w:t>
            </w:r>
          </w:p>
        </w:tc>
        <w:tc>
          <w:tcPr>
            <w:tcW w:w="4671" w:type="dxa"/>
            <w:vAlign w:val="center"/>
          </w:tcPr>
          <w:p>
            <w:pPr>
              <w:rPr>
                <w:szCs w:val="21"/>
              </w:rPr>
            </w:pPr>
            <w:r>
              <w:rPr>
                <w:rFonts w:hint="eastAsia"/>
                <w:szCs w:val="21"/>
              </w:rPr>
              <w:t>按规定定期放置灭蟑药</w:t>
            </w:r>
          </w:p>
        </w:tc>
        <w:tc>
          <w:tcPr>
            <w:tcW w:w="5542" w:type="dxa"/>
            <w:vAlign w:val="center"/>
          </w:tcPr>
          <w:p>
            <w:pPr>
              <w:rPr>
                <w:szCs w:val="21"/>
              </w:rPr>
            </w:pPr>
            <w:r>
              <w:rPr>
                <w:rFonts w:hint="eastAsia"/>
                <w:szCs w:val="21"/>
              </w:rPr>
              <w:t>没有定期放置灭蟑药，一次扣罚</w:t>
            </w:r>
            <w:r>
              <w:rPr>
                <w:szCs w:val="21"/>
              </w:rPr>
              <w:t>3</w:t>
            </w:r>
            <w:r>
              <w:rPr>
                <w:rFonts w:hint="eastAsia"/>
                <w:szCs w:val="21"/>
              </w:rPr>
              <w:t>00元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62" w:type="dxa"/>
            <w:vAlign w:val="center"/>
          </w:tcPr>
          <w:p>
            <w:pPr>
              <w:jc w:val="center"/>
              <w:rPr>
                <w:b/>
                <w:bCs/>
                <w:szCs w:val="21"/>
              </w:rPr>
            </w:pPr>
            <w:r>
              <w:rPr>
                <w:rFonts w:hint="eastAsia"/>
                <w:b/>
                <w:bCs/>
                <w:szCs w:val="21"/>
              </w:rPr>
              <w:t>8</w:t>
            </w:r>
          </w:p>
        </w:tc>
        <w:tc>
          <w:tcPr>
            <w:tcW w:w="4671" w:type="dxa"/>
            <w:vAlign w:val="center"/>
          </w:tcPr>
          <w:p>
            <w:pPr>
              <w:rPr>
                <w:szCs w:val="21"/>
              </w:rPr>
            </w:pPr>
            <w:r>
              <w:rPr>
                <w:rFonts w:hint="eastAsia"/>
                <w:szCs w:val="21"/>
              </w:rPr>
              <w:t>出现蟑螂不超3</w:t>
            </w:r>
            <w:r>
              <w:rPr>
                <w:rFonts w:hint="eastAsia" w:ascii="宋体" w:hAnsi="宋体" w:cs="宋体"/>
                <w:szCs w:val="21"/>
              </w:rPr>
              <w:t>％</w:t>
            </w:r>
          </w:p>
        </w:tc>
        <w:tc>
          <w:tcPr>
            <w:tcW w:w="5542" w:type="dxa"/>
            <w:vAlign w:val="center"/>
          </w:tcPr>
          <w:p>
            <w:pPr>
              <w:rPr>
                <w:szCs w:val="21"/>
              </w:rPr>
            </w:pPr>
            <w:r>
              <w:rPr>
                <w:rFonts w:hint="eastAsia"/>
                <w:szCs w:val="21"/>
              </w:rPr>
              <w:t>出现蟑螂超过3</w:t>
            </w:r>
            <w:r>
              <w:rPr>
                <w:rFonts w:hint="eastAsia" w:ascii="宋体" w:hAnsi="宋体" w:cs="宋体"/>
                <w:szCs w:val="21"/>
              </w:rPr>
              <w:t>％，</w:t>
            </w:r>
            <w:r>
              <w:rPr>
                <w:rFonts w:hint="eastAsia"/>
                <w:szCs w:val="21"/>
              </w:rPr>
              <w:t>一次扣罚</w:t>
            </w:r>
            <w:r>
              <w:rPr>
                <w:szCs w:val="21"/>
              </w:rPr>
              <w:t>3</w:t>
            </w:r>
            <w:r>
              <w:rPr>
                <w:rFonts w:hint="eastAsia"/>
                <w:szCs w:val="21"/>
              </w:rPr>
              <w:t>00元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62" w:type="dxa"/>
            <w:vAlign w:val="center"/>
          </w:tcPr>
          <w:p>
            <w:pPr>
              <w:jc w:val="center"/>
              <w:rPr>
                <w:b/>
                <w:bCs/>
                <w:szCs w:val="21"/>
              </w:rPr>
            </w:pPr>
            <w:r>
              <w:rPr>
                <w:rFonts w:hint="eastAsia"/>
                <w:b/>
                <w:bCs/>
                <w:szCs w:val="21"/>
              </w:rPr>
              <w:t>9</w:t>
            </w:r>
          </w:p>
        </w:tc>
        <w:tc>
          <w:tcPr>
            <w:tcW w:w="4671" w:type="dxa"/>
            <w:vAlign w:val="center"/>
          </w:tcPr>
          <w:p>
            <w:pPr>
              <w:rPr>
                <w:szCs w:val="21"/>
              </w:rPr>
            </w:pPr>
            <w:r>
              <w:rPr>
                <w:rFonts w:hint="eastAsia"/>
                <w:szCs w:val="21"/>
              </w:rPr>
              <w:t>接到甲方通知3天内到达现场消杀白蚁</w:t>
            </w:r>
          </w:p>
        </w:tc>
        <w:tc>
          <w:tcPr>
            <w:tcW w:w="5542" w:type="dxa"/>
            <w:vAlign w:val="center"/>
          </w:tcPr>
          <w:p>
            <w:pPr>
              <w:rPr>
                <w:szCs w:val="21"/>
              </w:rPr>
            </w:pPr>
            <w:r>
              <w:rPr>
                <w:rFonts w:hint="eastAsia"/>
                <w:szCs w:val="21"/>
              </w:rPr>
              <w:t>未在3天内到达现场消杀白蚁，一次扣罚200元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62" w:type="dxa"/>
            <w:vAlign w:val="center"/>
          </w:tcPr>
          <w:p>
            <w:pPr>
              <w:jc w:val="center"/>
              <w:rPr>
                <w:b/>
                <w:bCs/>
                <w:szCs w:val="21"/>
              </w:rPr>
            </w:pPr>
            <w:r>
              <w:rPr>
                <w:rFonts w:hint="eastAsia"/>
                <w:b/>
                <w:bCs/>
                <w:szCs w:val="21"/>
              </w:rPr>
              <w:t>10</w:t>
            </w:r>
          </w:p>
        </w:tc>
        <w:tc>
          <w:tcPr>
            <w:tcW w:w="4671" w:type="dxa"/>
            <w:vAlign w:val="center"/>
          </w:tcPr>
          <w:p>
            <w:pPr>
              <w:rPr>
                <w:szCs w:val="21"/>
              </w:rPr>
            </w:pPr>
            <w:r>
              <w:rPr>
                <w:rFonts w:hint="eastAsia"/>
                <w:szCs w:val="21"/>
              </w:rPr>
              <w:t>一个年度内同一个点不重复出现</w:t>
            </w:r>
            <w:r>
              <w:rPr>
                <w:szCs w:val="21"/>
              </w:rPr>
              <w:t>3</w:t>
            </w:r>
            <w:r>
              <w:rPr>
                <w:rFonts w:hint="eastAsia"/>
                <w:szCs w:val="21"/>
              </w:rPr>
              <w:t>次白蚁蚁患</w:t>
            </w:r>
          </w:p>
        </w:tc>
        <w:tc>
          <w:tcPr>
            <w:tcW w:w="5542" w:type="dxa"/>
            <w:vAlign w:val="center"/>
          </w:tcPr>
          <w:p>
            <w:pPr>
              <w:rPr>
                <w:szCs w:val="21"/>
              </w:rPr>
            </w:pPr>
            <w:r>
              <w:rPr>
                <w:rFonts w:hint="eastAsia"/>
                <w:szCs w:val="21"/>
              </w:rPr>
              <w:t>同一个点重复出现3次白蚁，一次扣罚1000元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62" w:type="dxa"/>
            <w:vAlign w:val="center"/>
          </w:tcPr>
          <w:p>
            <w:pPr>
              <w:jc w:val="center"/>
              <w:rPr>
                <w:b/>
                <w:bCs/>
                <w:szCs w:val="21"/>
              </w:rPr>
            </w:pPr>
            <w:r>
              <w:rPr>
                <w:rFonts w:hint="eastAsia"/>
                <w:b/>
                <w:bCs/>
                <w:szCs w:val="21"/>
              </w:rPr>
              <w:t>11</w:t>
            </w:r>
          </w:p>
        </w:tc>
        <w:tc>
          <w:tcPr>
            <w:tcW w:w="4671" w:type="dxa"/>
            <w:vAlign w:val="center"/>
          </w:tcPr>
          <w:p>
            <w:pPr>
              <w:rPr>
                <w:szCs w:val="21"/>
              </w:rPr>
            </w:pPr>
            <w:r>
              <w:rPr>
                <w:rFonts w:hint="eastAsia"/>
                <w:szCs w:val="21"/>
              </w:rPr>
              <w:t>按规定做好消杀记录</w:t>
            </w:r>
            <w:r>
              <w:rPr>
                <w:rFonts w:hint="eastAsia" w:ascii="宋体" w:hAnsi="宋体" w:cs="宋体"/>
                <w:szCs w:val="21"/>
              </w:rPr>
              <w:t>（包括施工图片）</w:t>
            </w:r>
          </w:p>
        </w:tc>
        <w:tc>
          <w:tcPr>
            <w:tcW w:w="5542" w:type="dxa"/>
            <w:vAlign w:val="center"/>
          </w:tcPr>
          <w:p>
            <w:pPr>
              <w:rPr>
                <w:szCs w:val="21"/>
              </w:rPr>
            </w:pPr>
            <w:r>
              <w:rPr>
                <w:rFonts w:hint="eastAsia"/>
                <w:szCs w:val="21"/>
              </w:rPr>
              <w:t>未能提供消杀记录</w:t>
            </w:r>
            <w:r>
              <w:rPr>
                <w:rFonts w:hint="eastAsia" w:ascii="宋体" w:hAnsi="宋体" w:cs="宋体"/>
                <w:szCs w:val="21"/>
              </w:rPr>
              <w:t>（包括施工图片），</w:t>
            </w:r>
            <w:r>
              <w:rPr>
                <w:rFonts w:hint="eastAsia"/>
                <w:szCs w:val="21"/>
              </w:rPr>
              <w:t>一次扣罚</w:t>
            </w:r>
            <w:r>
              <w:rPr>
                <w:szCs w:val="21"/>
              </w:rPr>
              <w:t>500</w:t>
            </w:r>
            <w:r>
              <w:rPr>
                <w:rFonts w:hint="eastAsia"/>
                <w:szCs w:val="21"/>
              </w:rPr>
              <w:t>元</w:t>
            </w:r>
          </w:p>
        </w:tc>
        <w:tc>
          <w:tcPr>
            <w:tcW w:w="3605"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762" w:type="dxa"/>
            <w:vAlign w:val="center"/>
          </w:tcPr>
          <w:p>
            <w:pPr>
              <w:jc w:val="center"/>
              <w:rPr>
                <w:b/>
                <w:bCs/>
                <w:szCs w:val="21"/>
              </w:rPr>
            </w:pPr>
            <w:r>
              <w:rPr>
                <w:rFonts w:hint="eastAsia"/>
                <w:b/>
                <w:bCs/>
                <w:szCs w:val="21"/>
              </w:rPr>
              <w:t>12</w:t>
            </w:r>
          </w:p>
        </w:tc>
        <w:tc>
          <w:tcPr>
            <w:tcW w:w="4671" w:type="dxa"/>
            <w:vAlign w:val="center"/>
          </w:tcPr>
          <w:p>
            <w:pPr>
              <w:rPr>
                <w:szCs w:val="21"/>
              </w:rPr>
            </w:pPr>
            <w:r>
              <w:rPr>
                <w:rFonts w:hint="eastAsia"/>
                <w:szCs w:val="21"/>
              </w:rPr>
              <w:t>接到甲方通知10个工作日内不到达现场消杀白蚁</w:t>
            </w:r>
          </w:p>
        </w:tc>
        <w:tc>
          <w:tcPr>
            <w:tcW w:w="5542" w:type="dxa"/>
            <w:vAlign w:val="center"/>
          </w:tcPr>
          <w:p>
            <w:pPr>
              <w:rPr>
                <w:szCs w:val="21"/>
              </w:rPr>
            </w:pPr>
            <w:r>
              <w:rPr>
                <w:rFonts w:hint="eastAsia"/>
                <w:szCs w:val="21"/>
              </w:rPr>
              <w:t>10个工作日内不到达现场消杀白蚁，一次扣罚2000元，甲方有权解除合同</w:t>
            </w:r>
          </w:p>
        </w:tc>
        <w:tc>
          <w:tcPr>
            <w:tcW w:w="3605" w:type="dxa"/>
            <w:vAlign w:val="center"/>
          </w:tcPr>
          <w:p>
            <w:pPr>
              <w:jc w:val="center"/>
              <w:rPr>
                <w:szCs w:val="21"/>
              </w:rPr>
            </w:pPr>
          </w:p>
        </w:tc>
      </w:tr>
    </w:tbl>
    <w:p>
      <w:pPr>
        <w:rPr>
          <w:rFonts w:hint="eastAsia" w:ascii="仿宋" w:hAnsi="仿宋" w:eastAsia="仿宋" w:cs="仿宋"/>
          <w:sz w:val="24"/>
        </w:rPr>
      </w:pPr>
      <w:r>
        <w:rPr>
          <w:rFonts w:hint="eastAsia" w:ascii="仿宋" w:hAnsi="仿宋" w:eastAsia="仿宋" w:cs="仿宋"/>
          <w:sz w:val="24"/>
        </w:rPr>
        <w:t>说明：1.因不可抗力因素造成未能及时施药，应说明原因，同时应尽快进行补充施药工作。</w:t>
      </w:r>
    </w:p>
    <w:p>
      <w:pPr>
        <w:rPr>
          <w:rFonts w:hint="eastAsia" w:ascii="仿宋" w:hAnsi="仿宋" w:eastAsia="仿宋" w:cs="仿宋"/>
          <w:sz w:val="24"/>
        </w:rPr>
      </w:pPr>
      <w:r>
        <w:rPr>
          <w:rFonts w:hint="eastAsia" w:ascii="仿宋" w:hAnsi="仿宋" w:eastAsia="仿宋" w:cs="仿宋"/>
          <w:sz w:val="24"/>
        </w:rPr>
        <w:t xml:space="preserve">         2.考核意见：有考核填则写内容,没有考核填写“合格</w:t>
      </w:r>
      <w:r>
        <w:rPr>
          <w:rFonts w:ascii="仿宋" w:hAnsi="仿宋" w:eastAsia="仿宋" w:cs="仿宋"/>
          <w:sz w:val="24"/>
        </w:rPr>
        <w:t>”</w:t>
      </w:r>
      <w:r>
        <w:rPr>
          <w:rFonts w:hint="eastAsia" w:ascii="仿宋" w:hAnsi="仿宋" w:eastAsia="仿宋" w:cs="仿宋"/>
          <w:sz w:val="24"/>
        </w:rPr>
        <w:t>。                                  检查人：</w:t>
      </w:r>
    </w:p>
    <w:p>
      <w:pPr>
        <w:rPr>
          <w:rFonts w:hint="eastAsia" w:ascii="仿宋" w:hAnsi="仿宋" w:eastAsia="仿宋" w:cs="仿宋"/>
          <w:sz w:val="24"/>
        </w:rPr>
        <w:sectPr>
          <w:pgSz w:w="16838" w:h="11906" w:orient="landscape"/>
          <w:pgMar w:top="720" w:right="720" w:bottom="720" w:left="720" w:header="851" w:footer="992" w:gutter="0"/>
          <w:cols w:space="720" w:num="1"/>
          <w:docGrid w:type="lines" w:linePitch="312" w:charSpace="0"/>
        </w:sectPr>
      </w:pPr>
      <w:r>
        <w:rPr>
          <w:rFonts w:hint="eastAsia" w:ascii="仿宋" w:hAnsi="仿宋" w:eastAsia="仿宋" w:cs="仿宋"/>
          <w:sz w:val="24"/>
        </w:rPr>
        <w:t xml:space="preserve">                                                                                                         年    月   </w:t>
      </w:r>
    </w:p>
    <w:p>
      <w:pPr>
        <w:rPr>
          <w:rFonts w:hint="default" w:ascii="仿宋" w:hAnsi="仿宋" w:eastAsia="仿宋" w:cs="仿宋"/>
          <w:sz w:val="24"/>
          <w:lang w:val="en-US" w:eastAsia="zh-CN"/>
        </w:rPr>
      </w:pPr>
      <w:r>
        <w:rPr>
          <w:rFonts w:hint="eastAsia" w:ascii="仿宋" w:hAnsi="仿宋" w:eastAsia="仿宋" w:cs="仿宋"/>
          <w:sz w:val="24"/>
          <w:lang w:val="en-US" w:eastAsia="zh-CN"/>
        </w:rPr>
        <w:t>附件10</w:t>
      </w:r>
    </w:p>
    <w:p>
      <w:pPr>
        <w:spacing w:before="156" w:beforeLines="50" w:after="156" w:afterLines="50" w:line="360" w:lineRule="auto"/>
        <w:ind w:right="105" w:rightChars="50"/>
        <w:jc w:val="center"/>
        <w:rPr>
          <w:rFonts w:ascii="仿宋" w:hAnsi="仿宋" w:eastAsia="仿宋" w:cs="仿宋"/>
          <w:b/>
          <w:bCs/>
          <w:sz w:val="36"/>
          <w:szCs w:val="36"/>
        </w:rPr>
      </w:pPr>
      <w:r>
        <w:rPr>
          <w:rFonts w:hint="eastAsia" w:ascii="仿宋" w:hAnsi="仿宋" w:eastAsia="仿宋" w:cs="仿宋"/>
          <w:b/>
          <w:bCs/>
          <w:sz w:val="36"/>
          <w:szCs w:val="36"/>
          <w:lang w:val="en-US" w:eastAsia="zh-CN"/>
        </w:rPr>
        <w:t>除</w:t>
      </w:r>
      <w:r>
        <w:rPr>
          <w:rFonts w:hint="eastAsia" w:ascii="仿宋" w:hAnsi="仿宋" w:eastAsia="仿宋" w:cs="仿宋"/>
          <w:sz w:val="28"/>
          <w:szCs w:val="28"/>
        </w:rPr>
        <w:t xml:space="preserve"> </w:t>
      </w:r>
      <w:r>
        <w:rPr>
          <w:rFonts w:hint="eastAsia" w:ascii="仿宋" w:hAnsi="仿宋" w:eastAsia="仿宋" w:cs="仿宋"/>
          <w:b/>
          <w:bCs/>
          <w:sz w:val="36"/>
          <w:szCs w:val="36"/>
        </w:rPr>
        <w:t>“四害”、消杀白蚁服务记录卡</w:t>
      </w:r>
    </w:p>
    <w:p>
      <w:pPr>
        <w:spacing w:before="156" w:beforeLines="50" w:after="156" w:afterLines="50" w:line="360" w:lineRule="auto"/>
        <w:ind w:right="105" w:rightChars="50"/>
        <w:jc w:val="left"/>
        <w:rPr>
          <w:rFonts w:hint="eastAsia" w:ascii="仿宋" w:hAnsi="仿宋" w:eastAsia="仿宋" w:cs="仿宋"/>
          <w:b/>
          <w:bCs/>
          <w:sz w:val="36"/>
          <w:szCs w:val="36"/>
        </w:rPr>
      </w:pPr>
      <w:r>
        <w:rPr>
          <w:rFonts w:hint="eastAsia" w:ascii="仿宋" w:hAnsi="仿宋" w:eastAsia="仿宋" w:cs="仿宋"/>
          <w:sz w:val="28"/>
          <w:szCs w:val="28"/>
        </w:rPr>
        <w:t>消杀服务点：                     消杀服务公司咨询</w:t>
      </w:r>
      <w:r>
        <w:rPr>
          <w:rFonts w:hint="eastAsia" w:ascii="宋体" w:hAnsi="宋体" w:cs="宋体"/>
          <w:sz w:val="28"/>
          <w:szCs w:val="28"/>
        </w:rPr>
        <w:t>/</w:t>
      </w:r>
      <w:r>
        <w:rPr>
          <w:rFonts w:hint="eastAsia" w:ascii="仿宋" w:hAnsi="仿宋" w:eastAsia="仿宋" w:cs="仿宋"/>
          <w:sz w:val="28"/>
          <w:szCs w:val="28"/>
        </w:rPr>
        <w:t>投诉电话：</w:t>
      </w:r>
    </w:p>
    <w:tbl>
      <w:tblPr>
        <w:tblStyle w:val="15"/>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400"/>
        <w:gridCol w:w="1140"/>
        <w:gridCol w:w="1170"/>
        <w:gridCol w:w="1155"/>
        <w:gridCol w:w="1249"/>
        <w:gridCol w:w="1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8" w:hRule="atLeast"/>
        </w:trPr>
        <w:tc>
          <w:tcPr>
            <w:tcW w:w="3685" w:type="dxa"/>
            <w:gridSpan w:val="2"/>
            <w:noWrap w:val="0"/>
            <w:vAlign w:val="center"/>
          </w:tcPr>
          <w:p>
            <w:pPr>
              <w:spacing w:before="156" w:beforeLines="50" w:after="156" w:afterLines="50" w:line="360" w:lineRule="auto"/>
              <w:ind w:right="105" w:rightChars="50"/>
              <w:jc w:val="center"/>
              <w:rPr>
                <w:rFonts w:hint="eastAsia" w:ascii="仿宋" w:hAnsi="仿宋" w:eastAsia="仿宋" w:cs="仿宋"/>
                <w:b/>
                <w:bCs/>
                <w:sz w:val="24"/>
              </w:rPr>
            </w:pPr>
            <w:r>
              <w:rPr>
                <w:rFonts w:hint="eastAsia" w:ascii="仿宋" w:hAnsi="仿宋" w:eastAsia="仿宋" w:cs="仿宋"/>
                <w:b/>
                <w:bCs/>
                <w:sz w:val="24"/>
              </w:rPr>
              <w:t>服务范围及内容</w:t>
            </w:r>
          </w:p>
        </w:tc>
        <w:tc>
          <w:tcPr>
            <w:tcW w:w="1140" w:type="dxa"/>
            <w:noWrap w:val="0"/>
            <w:vAlign w:val="center"/>
          </w:tcPr>
          <w:p>
            <w:pPr>
              <w:spacing w:before="156" w:beforeLines="50" w:after="156" w:afterLines="50" w:line="360" w:lineRule="auto"/>
              <w:ind w:right="105" w:rightChars="50"/>
              <w:jc w:val="center"/>
              <w:rPr>
                <w:rFonts w:hint="eastAsia" w:ascii="仿宋" w:hAnsi="仿宋" w:eastAsia="仿宋" w:cs="仿宋"/>
                <w:b/>
                <w:bCs/>
                <w:sz w:val="24"/>
              </w:rPr>
            </w:pPr>
            <w:r>
              <w:rPr>
                <w:rFonts w:hint="eastAsia" w:ascii="仿宋" w:hAnsi="仿宋" w:eastAsia="仿宋" w:cs="仿宋"/>
                <w:b/>
                <w:bCs/>
                <w:sz w:val="24"/>
              </w:rPr>
              <w:t>使用药物名称</w:t>
            </w:r>
          </w:p>
        </w:tc>
        <w:tc>
          <w:tcPr>
            <w:tcW w:w="1170" w:type="dxa"/>
            <w:noWrap w:val="0"/>
            <w:vAlign w:val="center"/>
          </w:tcPr>
          <w:p>
            <w:pPr>
              <w:spacing w:before="156" w:beforeLines="50" w:after="156" w:afterLines="50" w:line="360" w:lineRule="auto"/>
              <w:ind w:right="105" w:rightChars="50"/>
              <w:jc w:val="center"/>
              <w:rPr>
                <w:rFonts w:hint="eastAsia" w:ascii="仿宋" w:hAnsi="仿宋" w:eastAsia="仿宋" w:cs="仿宋"/>
                <w:b/>
                <w:bCs/>
                <w:sz w:val="24"/>
              </w:rPr>
            </w:pPr>
            <w:r>
              <w:rPr>
                <w:rFonts w:hint="eastAsia" w:ascii="仿宋" w:hAnsi="仿宋" w:eastAsia="仿宋" w:cs="仿宋"/>
                <w:b/>
                <w:bCs/>
                <w:sz w:val="24"/>
              </w:rPr>
              <w:t>防治对象</w:t>
            </w:r>
          </w:p>
        </w:tc>
        <w:tc>
          <w:tcPr>
            <w:tcW w:w="1155" w:type="dxa"/>
            <w:noWrap w:val="0"/>
            <w:vAlign w:val="center"/>
          </w:tcPr>
          <w:p>
            <w:pPr>
              <w:spacing w:before="156" w:beforeLines="50" w:after="156" w:afterLines="50" w:line="360" w:lineRule="auto"/>
              <w:ind w:right="105" w:rightChars="50"/>
              <w:jc w:val="center"/>
              <w:rPr>
                <w:rFonts w:hint="eastAsia" w:ascii="仿宋" w:hAnsi="仿宋" w:eastAsia="仿宋" w:cs="仿宋"/>
                <w:b/>
                <w:bCs/>
                <w:sz w:val="24"/>
              </w:rPr>
            </w:pPr>
            <w:r>
              <w:rPr>
                <w:rFonts w:hint="eastAsia" w:ascii="仿宋" w:hAnsi="仿宋" w:eastAsia="仿宋" w:cs="仿宋"/>
                <w:b/>
                <w:bCs/>
                <w:sz w:val="24"/>
              </w:rPr>
              <w:t>用药浓度</w:t>
            </w:r>
          </w:p>
        </w:tc>
        <w:tc>
          <w:tcPr>
            <w:tcW w:w="1249" w:type="dxa"/>
            <w:noWrap w:val="0"/>
            <w:vAlign w:val="center"/>
          </w:tcPr>
          <w:p>
            <w:pPr>
              <w:spacing w:before="156" w:beforeLines="50" w:after="156" w:afterLines="50" w:line="360" w:lineRule="auto"/>
              <w:ind w:right="105" w:rightChars="50"/>
              <w:jc w:val="center"/>
              <w:rPr>
                <w:rFonts w:hint="eastAsia" w:ascii="仿宋" w:hAnsi="仿宋" w:eastAsia="仿宋" w:cs="仿宋"/>
                <w:b/>
                <w:bCs/>
                <w:sz w:val="24"/>
              </w:rPr>
            </w:pPr>
            <w:r>
              <w:rPr>
                <w:rFonts w:hint="eastAsia" w:ascii="仿宋" w:hAnsi="仿宋" w:eastAsia="仿宋" w:cs="仿宋"/>
                <w:b/>
                <w:bCs/>
                <w:sz w:val="24"/>
              </w:rPr>
              <w:t>使用量</w:t>
            </w:r>
          </w:p>
        </w:tc>
        <w:tc>
          <w:tcPr>
            <w:tcW w:w="1681" w:type="dxa"/>
            <w:noWrap w:val="0"/>
            <w:vAlign w:val="center"/>
          </w:tcPr>
          <w:p>
            <w:pPr>
              <w:spacing w:before="156" w:beforeLines="50" w:after="156" w:afterLines="50" w:line="360" w:lineRule="auto"/>
              <w:ind w:right="105" w:rightChars="50"/>
              <w:jc w:val="center"/>
              <w:rPr>
                <w:rFonts w:hint="eastAsia" w:ascii="仿宋" w:hAnsi="仿宋" w:eastAsia="仿宋" w:cs="仿宋"/>
                <w:b/>
                <w:bCs/>
                <w:sz w:val="24"/>
              </w:rPr>
            </w:pPr>
            <w:r>
              <w:rPr>
                <w:rFonts w:hint="eastAsia" w:ascii="仿宋" w:hAnsi="仿宋" w:eastAsia="仿宋" w:cs="仿宋"/>
                <w:b/>
                <w:bCs/>
                <w:sz w:val="24"/>
              </w:rPr>
              <w:t>使用器械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3685" w:type="dxa"/>
            <w:gridSpan w:val="2"/>
            <w:vMerge w:val="restart"/>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4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7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55"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249"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681"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3685" w:type="dxa"/>
            <w:gridSpan w:val="2"/>
            <w:vMerge w:val="continue"/>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4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7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55"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249"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681"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3685" w:type="dxa"/>
            <w:gridSpan w:val="2"/>
            <w:vMerge w:val="continue"/>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4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7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55"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249"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681"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3685" w:type="dxa"/>
            <w:gridSpan w:val="2"/>
            <w:vMerge w:val="continue"/>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4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70"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155"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249"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c>
          <w:tcPr>
            <w:tcW w:w="1681"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0080" w:type="dxa"/>
            <w:gridSpan w:val="7"/>
            <w:noWrap w:val="0"/>
            <w:vAlign w:val="center"/>
          </w:tcPr>
          <w:p>
            <w:pPr>
              <w:spacing w:before="156" w:beforeLines="50" w:after="156" w:afterLines="50" w:line="360" w:lineRule="auto"/>
              <w:ind w:right="105" w:rightChars="50"/>
              <w:rPr>
                <w:rFonts w:hint="eastAsia" w:ascii="仿宋" w:hAnsi="仿宋" w:eastAsia="仿宋" w:cs="仿宋"/>
                <w:sz w:val="24"/>
              </w:rPr>
            </w:pPr>
            <w:r>
              <w:rPr>
                <w:rFonts w:hint="eastAsia" w:ascii="仿宋" w:hAnsi="仿宋" w:eastAsia="仿宋" w:cs="仿宋"/>
                <w:sz w:val="28"/>
                <w:szCs w:val="28"/>
              </w:rPr>
              <w:t>消杀服务时间：20  年   月   日          消杀服务人员：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8" w:hRule="atLeast"/>
        </w:trPr>
        <w:tc>
          <w:tcPr>
            <w:tcW w:w="10080" w:type="dxa"/>
            <w:gridSpan w:val="7"/>
            <w:noWrap w:val="0"/>
            <w:vAlign w:val="center"/>
          </w:tcPr>
          <w:p>
            <w:pPr>
              <w:spacing w:before="156" w:beforeLines="50" w:after="156" w:afterLines="50" w:line="360" w:lineRule="auto"/>
              <w:ind w:right="105" w:rightChars="50"/>
              <w:rPr>
                <w:rFonts w:hint="eastAsia" w:ascii="仿宋" w:hAnsi="仿宋" w:eastAsia="仿宋" w:cs="仿宋"/>
                <w:sz w:val="24"/>
              </w:rPr>
            </w:pPr>
            <w:r>
              <w:rPr>
                <w:rFonts w:hint="eastAsia" w:ascii="仿宋" w:hAnsi="仿宋" w:eastAsia="仿宋" w:cs="仿宋"/>
                <w:sz w:val="24"/>
              </w:rPr>
              <w:t>进场（公司）</w:t>
            </w:r>
            <w:r>
              <w:rPr>
                <w:rFonts w:hint="eastAsia" w:ascii="仿宋" w:hAnsi="仿宋" w:eastAsia="仿宋" w:cs="仿宋"/>
                <w:sz w:val="28"/>
                <w:szCs w:val="28"/>
              </w:rPr>
              <w:t>时间：20  年   月   日    出</w:t>
            </w:r>
            <w:r>
              <w:rPr>
                <w:rFonts w:hint="eastAsia" w:ascii="仿宋" w:hAnsi="仿宋" w:eastAsia="仿宋" w:cs="仿宋"/>
                <w:sz w:val="24"/>
              </w:rPr>
              <w:t>场（公司）</w:t>
            </w:r>
            <w:r>
              <w:rPr>
                <w:rFonts w:hint="eastAsia" w:ascii="仿宋" w:hAnsi="仿宋" w:eastAsia="仿宋" w:cs="仿宋"/>
                <w:sz w:val="28"/>
                <w:szCs w:val="28"/>
              </w:rPr>
              <w:t xml:space="preserve">时间：20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trPr>
        <w:tc>
          <w:tcPr>
            <w:tcW w:w="10080" w:type="dxa"/>
            <w:gridSpan w:val="7"/>
            <w:noWrap w:val="0"/>
            <w:vAlign w:val="center"/>
          </w:tcPr>
          <w:p>
            <w:pPr>
              <w:spacing w:before="156" w:beforeLines="50" w:after="156" w:afterLines="50" w:line="360" w:lineRule="auto"/>
              <w:ind w:right="105" w:rightChars="50"/>
              <w:rPr>
                <w:rFonts w:hint="eastAsia" w:ascii="仿宋" w:hAnsi="仿宋" w:eastAsia="仿宋" w:cs="仿宋"/>
                <w:sz w:val="24"/>
              </w:rPr>
            </w:pPr>
            <w:r>
              <w:rPr>
                <w:rFonts w:hint="eastAsia" w:ascii="仿宋" w:hAnsi="仿宋" w:eastAsia="仿宋" w:cs="仿宋"/>
                <w:sz w:val="24"/>
              </w:rPr>
              <w:t>防治“四害”建议：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trPr>
        <w:tc>
          <w:tcPr>
            <w:tcW w:w="1285" w:type="dxa"/>
            <w:noWrap w:val="0"/>
            <w:vAlign w:val="center"/>
          </w:tcPr>
          <w:p>
            <w:pPr>
              <w:spacing w:before="156" w:beforeLines="50" w:after="156" w:afterLines="50" w:line="360" w:lineRule="auto"/>
              <w:ind w:right="105" w:rightChars="50"/>
              <w:jc w:val="center"/>
              <w:rPr>
                <w:rFonts w:hint="eastAsia" w:ascii="仿宋" w:hAnsi="仿宋" w:eastAsia="仿宋" w:cs="仿宋"/>
                <w:sz w:val="24"/>
              </w:rPr>
            </w:pPr>
            <w:r>
              <w:rPr>
                <w:rFonts w:hint="eastAsia" w:ascii="仿宋" w:hAnsi="仿宋" w:eastAsia="仿宋" w:cs="仿宋"/>
                <w:sz w:val="24"/>
              </w:rPr>
              <w:t>甲方对项目评价</w:t>
            </w:r>
          </w:p>
        </w:tc>
        <w:tc>
          <w:tcPr>
            <w:tcW w:w="8795" w:type="dxa"/>
            <w:gridSpan w:val="6"/>
            <w:noWrap w:val="0"/>
            <w:vAlign w:val="center"/>
          </w:tcPr>
          <w:p>
            <w:pPr>
              <w:spacing w:before="156" w:beforeLines="50" w:after="156" w:afterLines="50" w:line="360" w:lineRule="auto"/>
              <w:ind w:right="105" w:rightChars="50"/>
              <w:jc w:val="center"/>
              <w:rPr>
                <w:rFonts w:hint="eastAsia" w:ascii="仿宋" w:hAnsi="仿宋" w:eastAsia="仿宋" w:cs="仿宋"/>
                <w:sz w:val="24"/>
              </w:rPr>
            </w:pPr>
          </w:p>
        </w:tc>
      </w:tr>
    </w:tbl>
    <w:p>
      <w:pPr>
        <w:spacing w:before="156" w:beforeLines="50" w:after="156" w:afterLines="50" w:line="360" w:lineRule="auto"/>
        <w:ind w:right="105" w:rightChars="50"/>
        <w:jc w:val="left"/>
        <w:rPr>
          <w:rFonts w:hint="eastAsia" w:ascii="仿宋" w:hAnsi="仿宋" w:eastAsia="仿宋" w:cs="仿宋"/>
          <w:sz w:val="24"/>
        </w:rPr>
      </w:pPr>
      <w:r>
        <w:rPr>
          <w:rFonts w:hint="eastAsia" w:ascii="仿宋" w:hAnsi="仿宋" w:eastAsia="仿宋" w:cs="仿宋"/>
          <w:sz w:val="24"/>
        </w:rPr>
        <w:t>甲方现场签名：                                  xxxx消杀服务公司(公章)</w:t>
      </w:r>
    </w:p>
    <w:p>
      <w:pPr>
        <w:spacing w:before="156" w:beforeLines="50" w:after="156" w:afterLines="50" w:line="360" w:lineRule="auto"/>
        <w:ind w:right="105" w:rightChars="50"/>
        <w:jc w:val="left"/>
        <w:rPr>
          <w:rFonts w:hint="eastAsia" w:ascii="仿宋" w:hAnsi="仿宋" w:eastAsia="仿宋" w:cs="仿宋"/>
          <w:sz w:val="24"/>
          <w:lang w:val="en-US" w:eastAsia="zh-CN"/>
        </w:rPr>
        <w:sectPr>
          <w:pgSz w:w="11906" w:h="16838"/>
          <w:pgMar w:top="720" w:right="720" w:bottom="720" w:left="720" w:header="851" w:footer="992" w:gutter="0"/>
          <w:cols w:space="720" w:num="1"/>
          <w:docGrid w:type="lines" w:linePitch="312" w:charSpace="0"/>
        </w:sectPr>
      </w:pPr>
      <w:r>
        <w:rPr>
          <w:rFonts w:hint="eastAsia" w:ascii="仿宋" w:hAnsi="仿宋" w:eastAsia="仿宋" w:cs="仿宋"/>
          <w:sz w:val="28"/>
          <w:szCs w:val="28"/>
        </w:rPr>
        <w:t xml:space="preserve">           20  年   月   日                   　　20  年   月   </w:t>
      </w:r>
      <w:r>
        <w:rPr>
          <w:rFonts w:hint="eastAsia" w:ascii="仿宋" w:hAnsi="仿宋" w:eastAsia="仿宋" w:cs="仿宋"/>
          <w:sz w:val="28"/>
          <w:szCs w:val="28"/>
          <w:lang w:val="en-US" w:eastAsia="zh-CN"/>
        </w:rPr>
        <w:t>日</w:t>
      </w:r>
    </w:p>
    <w:p>
      <w:pPr>
        <w:spacing w:line="360" w:lineRule="auto"/>
        <w:rPr>
          <w:rFonts w:hint="default"/>
          <w:sz w:val="28"/>
          <w:szCs w:val="28"/>
          <w:lang w:val="en-US" w:eastAsia="zh-CN"/>
        </w:rPr>
      </w:pPr>
    </w:p>
    <w:sectPr>
      <w:pgSz w:w="16838" w:h="11906" w:orient="landscape"/>
      <w:pgMar w:top="1418" w:right="1134" w:bottom="1418" w:left="1134"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fldChar w:fldCharType="begin"/>
    </w:r>
    <w:r>
      <w:instrText xml:space="preserve"> PAGE   \* MERGEFORMAT </w:instrText>
    </w:r>
    <w:r>
      <w:fldChar w:fldCharType="separate"/>
    </w:r>
    <w:r>
      <w:rPr>
        <w:lang w:val="zh-CN"/>
      </w:rPr>
      <w:t>8</w:t>
    </w:r>
    <w: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C83890"/>
    <w:multiLevelType w:val="singleLevel"/>
    <w:tmpl w:val="87C83890"/>
    <w:lvl w:ilvl="0" w:tentative="0">
      <w:start w:val="2"/>
      <w:numFmt w:val="chineseCounting"/>
      <w:suff w:val="nothing"/>
      <w:lvlText w:val="（%1）"/>
      <w:lvlJc w:val="left"/>
      <w:rPr>
        <w:rFonts w:hint="eastAsia"/>
      </w:rPr>
    </w:lvl>
  </w:abstractNum>
  <w:abstractNum w:abstractNumId="1">
    <w:nsid w:val="05A839F1"/>
    <w:multiLevelType w:val="multilevel"/>
    <w:tmpl w:val="05A839F1"/>
    <w:lvl w:ilvl="0" w:tentative="0">
      <w:start w:val="1"/>
      <w:numFmt w:val="decimal"/>
      <w:suff w:val="nothing"/>
      <w:lvlText w:val="%1、"/>
      <w:lvlJc w:val="left"/>
      <w:pPr>
        <w:ind w:left="993" w:hanging="567"/>
      </w:pPr>
      <w:rPr>
        <w:rFonts w:hint="default"/>
      </w:rPr>
    </w:lvl>
    <w:lvl w:ilvl="1" w:tentative="0">
      <w:start w:val="1"/>
      <w:numFmt w:val="lowerLetter"/>
      <w:lvlText w:val="%2)"/>
      <w:lvlJc w:val="left"/>
      <w:pPr>
        <w:tabs>
          <w:tab w:val="left" w:pos="1266"/>
        </w:tabs>
        <w:ind w:left="1266" w:hanging="420"/>
      </w:pPr>
      <w:rPr>
        <w:rFonts w:hint="eastAsia"/>
      </w:rPr>
    </w:lvl>
    <w:lvl w:ilvl="2" w:tentative="0">
      <w:start w:val="1"/>
      <w:numFmt w:val="lowerRoman"/>
      <w:lvlText w:val="%3."/>
      <w:lvlJc w:val="right"/>
      <w:pPr>
        <w:tabs>
          <w:tab w:val="left" w:pos="1686"/>
        </w:tabs>
        <w:ind w:left="1686" w:hanging="420"/>
      </w:pPr>
      <w:rPr>
        <w:rFonts w:hint="eastAsia"/>
      </w:rPr>
    </w:lvl>
    <w:lvl w:ilvl="3" w:tentative="0">
      <w:start w:val="1"/>
      <w:numFmt w:val="decimal"/>
      <w:lvlText w:val="%4."/>
      <w:lvlJc w:val="left"/>
      <w:pPr>
        <w:tabs>
          <w:tab w:val="left" w:pos="2106"/>
        </w:tabs>
        <w:ind w:left="2106" w:hanging="420"/>
      </w:pPr>
      <w:rPr>
        <w:rFonts w:hint="eastAsia"/>
      </w:rPr>
    </w:lvl>
    <w:lvl w:ilvl="4" w:tentative="0">
      <w:start w:val="1"/>
      <w:numFmt w:val="lowerLetter"/>
      <w:lvlText w:val="%5)"/>
      <w:lvlJc w:val="left"/>
      <w:pPr>
        <w:tabs>
          <w:tab w:val="left" w:pos="2526"/>
        </w:tabs>
        <w:ind w:left="2526" w:hanging="420"/>
      </w:pPr>
      <w:rPr>
        <w:rFonts w:hint="eastAsia"/>
      </w:rPr>
    </w:lvl>
    <w:lvl w:ilvl="5" w:tentative="0">
      <w:start w:val="1"/>
      <w:numFmt w:val="lowerRoman"/>
      <w:lvlText w:val="%6."/>
      <w:lvlJc w:val="right"/>
      <w:pPr>
        <w:tabs>
          <w:tab w:val="left" w:pos="2946"/>
        </w:tabs>
        <w:ind w:left="2946" w:hanging="420"/>
      </w:pPr>
      <w:rPr>
        <w:rFonts w:hint="eastAsia"/>
      </w:rPr>
    </w:lvl>
    <w:lvl w:ilvl="6" w:tentative="0">
      <w:start w:val="1"/>
      <w:numFmt w:val="decimal"/>
      <w:lvlText w:val="%7."/>
      <w:lvlJc w:val="left"/>
      <w:pPr>
        <w:tabs>
          <w:tab w:val="left" w:pos="3366"/>
        </w:tabs>
        <w:ind w:left="3366" w:hanging="420"/>
      </w:pPr>
      <w:rPr>
        <w:rFonts w:hint="eastAsia"/>
      </w:rPr>
    </w:lvl>
    <w:lvl w:ilvl="7" w:tentative="0">
      <w:start w:val="1"/>
      <w:numFmt w:val="lowerLetter"/>
      <w:lvlText w:val="%8)"/>
      <w:lvlJc w:val="left"/>
      <w:pPr>
        <w:tabs>
          <w:tab w:val="left" w:pos="3786"/>
        </w:tabs>
        <w:ind w:left="3786" w:hanging="420"/>
      </w:pPr>
      <w:rPr>
        <w:rFonts w:hint="eastAsia"/>
      </w:rPr>
    </w:lvl>
    <w:lvl w:ilvl="8" w:tentative="0">
      <w:start w:val="1"/>
      <w:numFmt w:val="lowerRoman"/>
      <w:lvlText w:val="%9."/>
      <w:lvlJc w:val="right"/>
      <w:pPr>
        <w:tabs>
          <w:tab w:val="left" w:pos="4206"/>
        </w:tabs>
        <w:ind w:left="4206" w:hanging="420"/>
      </w:pPr>
      <w:rPr>
        <w:rFonts w:hint="eastAsia"/>
      </w:rPr>
    </w:lvl>
  </w:abstractNum>
  <w:abstractNum w:abstractNumId="2">
    <w:nsid w:val="158838E4"/>
    <w:multiLevelType w:val="multilevel"/>
    <w:tmpl w:val="158838E4"/>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3">
    <w:nsid w:val="21D2323D"/>
    <w:multiLevelType w:val="multilevel"/>
    <w:tmpl w:val="21D2323D"/>
    <w:lvl w:ilvl="0" w:tentative="0">
      <w:start w:val="1"/>
      <w:numFmt w:val="decimal"/>
      <w:lvlText w:val="%1、"/>
      <w:lvlJc w:val="left"/>
      <w:pPr>
        <w:tabs>
          <w:tab w:val="left" w:pos="993"/>
        </w:tabs>
        <w:ind w:left="993" w:hanging="567"/>
      </w:pPr>
      <w:rPr>
        <w:rFonts w:hint="default"/>
      </w:rPr>
    </w:lvl>
    <w:lvl w:ilvl="1" w:tentative="0">
      <w:start w:val="1"/>
      <w:numFmt w:val="lowerLetter"/>
      <w:lvlText w:val="%2)"/>
      <w:lvlJc w:val="left"/>
      <w:pPr>
        <w:tabs>
          <w:tab w:val="left" w:pos="1266"/>
        </w:tabs>
        <w:ind w:left="1266" w:hanging="420"/>
      </w:pPr>
    </w:lvl>
    <w:lvl w:ilvl="2" w:tentative="0">
      <w:start w:val="1"/>
      <w:numFmt w:val="lowerRoman"/>
      <w:lvlText w:val="%3."/>
      <w:lvlJc w:val="right"/>
      <w:pPr>
        <w:tabs>
          <w:tab w:val="left" w:pos="1686"/>
        </w:tabs>
        <w:ind w:left="1686" w:hanging="420"/>
      </w:pPr>
    </w:lvl>
    <w:lvl w:ilvl="3" w:tentative="0">
      <w:start w:val="1"/>
      <w:numFmt w:val="decimal"/>
      <w:lvlText w:val="%4."/>
      <w:lvlJc w:val="left"/>
      <w:pPr>
        <w:tabs>
          <w:tab w:val="left" w:pos="2106"/>
        </w:tabs>
        <w:ind w:left="2106" w:hanging="420"/>
      </w:pPr>
    </w:lvl>
    <w:lvl w:ilvl="4" w:tentative="0">
      <w:start w:val="1"/>
      <w:numFmt w:val="lowerLetter"/>
      <w:lvlText w:val="%5)"/>
      <w:lvlJc w:val="left"/>
      <w:pPr>
        <w:tabs>
          <w:tab w:val="left" w:pos="2526"/>
        </w:tabs>
        <w:ind w:left="2526" w:hanging="420"/>
      </w:pPr>
    </w:lvl>
    <w:lvl w:ilvl="5" w:tentative="0">
      <w:start w:val="1"/>
      <w:numFmt w:val="lowerRoman"/>
      <w:lvlText w:val="%6."/>
      <w:lvlJc w:val="right"/>
      <w:pPr>
        <w:tabs>
          <w:tab w:val="left" w:pos="2946"/>
        </w:tabs>
        <w:ind w:left="2946" w:hanging="420"/>
      </w:pPr>
    </w:lvl>
    <w:lvl w:ilvl="6" w:tentative="0">
      <w:start w:val="1"/>
      <w:numFmt w:val="decimal"/>
      <w:lvlText w:val="%7."/>
      <w:lvlJc w:val="left"/>
      <w:pPr>
        <w:tabs>
          <w:tab w:val="left" w:pos="3366"/>
        </w:tabs>
        <w:ind w:left="3366" w:hanging="420"/>
      </w:pPr>
    </w:lvl>
    <w:lvl w:ilvl="7" w:tentative="0">
      <w:start w:val="1"/>
      <w:numFmt w:val="lowerLetter"/>
      <w:lvlText w:val="%8)"/>
      <w:lvlJc w:val="left"/>
      <w:pPr>
        <w:tabs>
          <w:tab w:val="left" w:pos="3786"/>
        </w:tabs>
        <w:ind w:left="3786" w:hanging="420"/>
      </w:pPr>
    </w:lvl>
    <w:lvl w:ilvl="8" w:tentative="0">
      <w:start w:val="1"/>
      <w:numFmt w:val="lowerRoman"/>
      <w:lvlText w:val="%9."/>
      <w:lvlJc w:val="right"/>
      <w:pPr>
        <w:tabs>
          <w:tab w:val="left" w:pos="4206"/>
        </w:tabs>
        <w:ind w:left="4206" w:hanging="420"/>
      </w:pPr>
    </w:lvl>
  </w:abstractNum>
  <w:abstractNum w:abstractNumId="4">
    <w:nsid w:val="2F92352D"/>
    <w:multiLevelType w:val="singleLevel"/>
    <w:tmpl w:val="2F92352D"/>
    <w:lvl w:ilvl="0" w:tentative="0">
      <w:start w:val="1"/>
      <w:numFmt w:val="decimal"/>
      <w:suff w:val="nothing"/>
      <w:lvlText w:val="%1."/>
      <w:lvlJc w:val="left"/>
    </w:lvl>
  </w:abstractNum>
  <w:abstractNum w:abstractNumId="5">
    <w:nsid w:val="572DE5B4"/>
    <w:multiLevelType w:val="singleLevel"/>
    <w:tmpl w:val="572DE5B4"/>
    <w:lvl w:ilvl="0" w:tentative="0">
      <w:start w:val="1"/>
      <w:numFmt w:val="decimal"/>
      <w:suff w:val="nothing"/>
      <w:lvlText w:val="%1."/>
      <w:lvlJc w:val="left"/>
    </w:lvl>
  </w:abstractNum>
  <w:abstractNum w:abstractNumId="6">
    <w:nsid w:val="754644D1"/>
    <w:multiLevelType w:val="singleLevel"/>
    <w:tmpl w:val="754644D1"/>
    <w:lvl w:ilvl="0" w:tentative="0">
      <w:start w:val="8"/>
      <w:numFmt w:val="chineseCounting"/>
      <w:suff w:val="nothing"/>
      <w:lvlText w:val="（%1）"/>
      <w:lvlJc w:val="left"/>
      <w:rPr>
        <w:rFonts w:hint="eastAsia"/>
      </w:rPr>
    </w:lvl>
  </w:abstractNum>
  <w:num w:numId="1">
    <w:abstractNumId w:val="0"/>
  </w:num>
  <w:num w:numId="2">
    <w:abstractNumId w:val="6"/>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EAB"/>
    <w:rsid w:val="0001269A"/>
    <w:rsid w:val="000248F2"/>
    <w:rsid w:val="00024DB1"/>
    <w:rsid w:val="000261AC"/>
    <w:rsid w:val="000511EF"/>
    <w:rsid w:val="000542BB"/>
    <w:rsid w:val="00054374"/>
    <w:rsid w:val="00066150"/>
    <w:rsid w:val="00066222"/>
    <w:rsid w:val="00097540"/>
    <w:rsid w:val="000A00B3"/>
    <w:rsid w:val="000A2487"/>
    <w:rsid w:val="000A75A0"/>
    <w:rsid w:val="000B75B2"/>
    <w:rsid w:val="000C112E"/>
    <w:rsid w:val="000D372E"/>
    <w:rsid w:val="000D4516"/>
    <w:rsid w:val="000D5A89"/>
    <w:rsid w:val="000E277D"/>
    <w:rsid w:val="001013A8"/>
    <w:rsid w:val="00105509"/>
    <w:rsid w:val="00115EDB"/>
    <w:rsid w:val="001300D3"/>
    <w:rsid w:val="00146B63"/>
    <w:rsid w:val="00155983"/>
    <w:rsid w:val="00161C4F"/>
    <w:rsid w:val="00167F5B"/>
    <w:rsid w:val="00171297"/>
    <w:rsid w:val="00172A27"/>
    <w:rsid w:val="00175957"/>
    <w:rsid w:val="00186019"/>
    <w:rsid w:val="00191017"/>
    <w:rsid w:val="00194365"/>
    <w:rsid w:val="001944F5"/>
    <w:rsid w:val="00195617"/>
    <w:rsid w:val="001B2E16"/>
    <w:rsid w:val="001C510A"/>
    <w:rsid w:val="001D1FFB"/>
    <w:rsid w:val="001D769B"/>
    <w:rsid w:val="001F6D6F"/>
    <w:rsid w:val="00202786"/>
    <w:rsid w:val="00205D19"/>
    <w:rsid w:val="002117D0"/>
    <w:rsid w:val="00211BF3"/>
    <w:rsid w:val="00214EFD"/>
    <w:rsid w:val="0021591C"/>
    <w:rsid w:val="00220F76"/>
    <w:rsid w:val="00221D47"/>
    <w:rsid w:val="0022476E"/>
    <w:rsid w:val="0025569B"/>
    <w:rsid w:val="0026536E"/>
    <w:rsid w:val="00265945"/>
    <w:rsid w:val="00275CA3"/>
    <w:rsid w:val="00290DA5"/>
    <w:rsid w:val="00294486"/>
    <w:rsid w:val="002A558D"/>
    <w:rsid w:val="002D14AE"/>
    <w:rsid w:val="002D4296"/>
    <w:rsid w:val="002D7DD0"/>
    <w:rsid w:val="002E0B01"/>
    <w:rsid w:val="002F6943"/>
    <w:rsid w:val="003202A4"/>
    <w:rsid w:val="00327AA1"/>
    <w:rsid w:val="0033236B"/>
    <w:rsid w:val="00343111"/>
    <w:rsid w:val="00353699"/>
    <w:rsid w:val="0036491C"/>
    <w:rsid w:val="00392549"/>
    <w:rsid w:val="003932F2"/>
    <w:rsid w:val="00394717"/>
    <w:rsid w:val="003954FA"/>
    <w:rsid w:val="003975C1"/>
    <w:rsid w:val="003A61B7"/>
    <w:rsid w:val="003A63C6"/>
    <w:rsid w:val="003D0FFC"/>
    <w:rsid w:val="003D6DDA"/>
    <w:rsid w:val="003F2B4E"/>
    <w:rsid w:val="003F53D9"/>
    <w:rsid w:val="0040425D"/>
    <w:rsid w:val="00426155"/>
    <w:rsid w:val="004469BA"/>
    <w:rsid w:val="00456BC1"/>
    <w:rsid w:val="00467CAD"/>
    <w:rsid w:val="00476BF0"/>
    <w:rsid w:val="00480966"/>
    <w:rsid w:val="00497671"/>
    <w:rsid w:val="004A0372"/>
    <w:rsid w:val="004A1A1D"/>
    <w:rsid w:val="004A23D1"/>
    <w:rsid w:val="004A4F9A"/>
    <w:rsid w:val="004C4EDB"/>
    <w:rsid w:val="004D5436"/>
    <w:rsid w:val="004E3B04"/>
    <w:rsid w:val="004E5C78"/>
    <w:rsid w:val="004E7A16"/>
    <w:rsid w:val="00513077"/>
    <w:rsid w:val="0052246D"/>
    <w:rsid w:val="00541171"/>
    <w:rsid w:val="00545D4B"/>
    <w:rsid w:val="00550B1F"/>
    <w:rsid w:val="005566FF"/>
    <w:rsid w:val="00557322"/>
    <w:rsid w:val="00561290"/>
    <w:rsid w:val="005613DF"/>
    <w:rsid w:val="00567151"/>
    <w:rsid w:val="0056721A"/>
    <w:rsid w:val="00567DB5"/>
    <w:rsid w:val="00576B93"/>
    <w:rsid w:val="005772A9"/>
    <w:rsid w:val="00584444"/>
    <w:rsid w:val="00585285"/>
    <w:rsid w:val="00592951"/>
    <w:rsid w:val="005969FB"/>
    <w:rsid w:val="005B2C4E"/>
    <w:rsid w:val="005B4909"/>
    <w:rsid w:val="005B6CEE"/>
    <w:rsid w:val="005D2CC7"/>
    <w:rsid w:val="005E4E7C"/>
    <w:rsid w:val="00607731"/>
    <w:rsid w:val="006106FB"/>
    <w:rsid w:val="00611B4E"/>
    <w:rsid w:val="00617D0B"/>
    <w:rsid w:val="00621A9E"/>
    <w:rsid w:val="006244A0"/>
    <w:rsid w:val="00637977"/>
    <w:rsid w:val="0064000A"/>
    <w:rsid w:val="006431C5"/>
    <w:rsid w:val="00643B2F"/>
    <w:rsid w:val="006448AF"/>
    <w:rsid w:val="00646FC2"/>
    <w:rsid w:val="006503EF"/>
    <w:rsid w:val="00666B5D"/>
    <w:rsid w:val="00690C78"/>
    <w:rsid w:val="00694033"/>
    <w:rsid w:val="006A3B53"/>
    <w:rsid w:val="006A5A49"/>
    <w:rsid w:val="006B2E51"/>
    <w:rsid w:val="006B36E7"/>
    <w:rsid w:val="006E54A2"/>
    <w:rsid w:val="006E7BA8"/>
    <w:rsid w:val="006F1914"/>
    <w:rsid w:val="00706205"/>
    <w:rsid w:val="00714ACD"/>
    <w:rsid w:val="00715897"/>
    <w:rsid w:val="007216CB"/>
    <w:rsid w:val="0072216A"/>
    <w:rsid w:val="007423DA"/>
    <w:rsid w:val="00743DF1"/>
    <w:rsid w:val="00753739"/>
    <w:rsid w:val="00763505"/>
    <w:rsid w:val="007672D2"/>
    <w:rsid w:val="00776700"/>
    <w:rsid w:val="00786B2B"/>
    <w:rsid w:val="007A0E9C"/>
    <w:rsid w:val="007A2D85"/>
    <w:rsid w:val="007A3422"/>
    <w:rsid w:val="007A7F23"/>
    <w:rsid w:val="007C04CE"/>
    <w:rsid w:val="007C3669"/>
    <w:rsid w:val="007C67DB"/>
    <w:rsid w:val="007D5EF0"/>
    <w:rsid w:val="007D7DD0"/>
    <w:rsid w:val="007F3362"/>
    <w:rsid w:val="007F4585"/>
    <w:rsid w:val="007F49B3"/>
    <w:rsid w:val="007F62C7"/>
    <w:rsid w:val="00800453"/>
    <w:rsid w:val="00804A55"/>
    <w:rsid w:val="00814712"/>
    <w:rsid w:val="00815501"/>
    <w:rsid w:val="008160FF"/>
    <w:rsid w:val="00821F86"/>
    <w:rsid w:val="008451F2"/>
    <w:rsid w:val="0084579E"/>
    <w:rsid w:val="00846388"/>
    <w:rsid w:val="00854D07"/>
    <w:rsid w:val="00860A31"/>
    <w:rsid w:val="008638B9"/>
    <w:rsid w:val="008639B0"/>
    <w:rsid w:val="00877012"/>
    <w:rsid w:val="00885F0E"/>
    <w:rsid w:val="008872F1"/>
    <w:rsid w:val="00892318"/>
    <w:rsid w:val="00894519"/>
    <w:rsid w:val="008A0E92"/>
    <w:rsid w:val="008A3D6E"/>
    <w:rsid w:val="008B670C"/>
    <w:rsid w:val="008C26B6"/>
    <w:rsid w:val="008C7560"/>
    <w:rsid w:val="008E3344"/>
    <w:rsid w:val="008F2808"/>
    <w:rsid w:val="008F4BC0"/>
    <w:rsid w:val="008F50D8"/>
    <w:rsid w:val="008F5C67"/>
    <w:rsid w:val="00902C05"/>
    <w:rsid w:val="0090551B"/>
    <w:rsid w:val="009159D7"/>
    <w:rsid w:val="00926D40"/>
    <w:rsid w:val="00932FEC"/>
    <w:rsid w:val="00952170"/>
    <w:rsid w:val="009729EA"/>
    <w:rsid w:val="0097363A"/>
    <w:rsid w:val="00973949"/>
    <w:rsid w:val="009767C9"/>
    <w:rsid w:val="00976A0B"/>
    <w:rsid w:val="00983A2A"/>
    <w:rsid w:val="00990E1A"/>
    <w:rsid w:val="009914C9"/>
    <w:rsid w:val="009A2776"/>
    <w:rsid w:val="009A4D34"/>
    <w:rsid w:val="009A525E"/>
    <w:rsid w:val="009B3ADC"/>
    <w:rsid w:val="009B745A"/>
    <w:rsid w:val="009C3EE0"/>
    <w:rsid w:val="009C65A2"/>
    <w:rsid w:val="009C7BC9"/>
    <w:rsid w:val="009E12D5"/>
    <w:rsid w:val="009E29EF"/>
    <w:rsid w:val="009E359E"/>
    <w:rsid w:val="00A03189"/>
    <w:rsid w:val="00A047AA"/>
    <w:rsid w:val="00A05921"/>
    <w:rsid w:val="00A066C7"/>
    <w:rsid w:val="00A105FC"/>
    <w:rsid w:val="00A15326"/>
    <w:rsid w:val="00A214CC"/>
    <w:rsid w:val="00A32246"/>
    <w:rsid w:val="00A46630"/>
    <w:rsid w:val="00A52869"/>
    <w:rsid w:val="00A614CE"/>
    <w:rsid w:val="00A63DD1"/>
    <w:rsid w:val="00A71D2C"/>
    <w:rsid w:val="00A735C6"/>
    <w:rsid w:val="00A81CD4"/>
    <w:rsid w:val="00A963B9"/>
    <w:rsid w:val="00AA7AB2"/>
    <w:rsid w:val="00AB7FA5"/>
    <w:rsid w:val="00AE5CBE"/>
    <w:rsid w:val="00AF3EDE"/>
    <w:rsid w:val="00AF442C"/>
    <w:rsid w:val="00B00BE7"/>
    <w:rsid w:val="00B03C03"/>
    <w:rsid w:val="00B25BB6"/>
    <w:rsid w:val="00B261B8"/>
    <w:rsid w:val="00B27F3C"/>
    <w:rsid w:val="00B30173"/>
    <w:rsid w:val="00B30809"/>
    <w:rsid w:val="00B43CD4"/>
    <w:rsid w:val="00B47E24"/>
    <w:rsid w:val="00B5736B"/>
    <w:rsid w:val="00B726C7"/>
    <w:rsid w:val="00B72889"/>
    <w:rsid w:val="00B860C3"/>
    <w:rsid w:val="00B90671"/>
    <w:rsid w:val="00B90B6E"/>
    <w:rsid w:val="00B9496A"/>
    <w:rsid w:val="00B96B7C"/>
    <w:rsid w:val="00BA4EFF"/>
    <w:rsid w:val="00BB1E59"/>
    <w:rsid w:val="00BB6D96"/>
    <w:rsid w:val="00BB7C3F"/>
    <w:rsid w:val="00BC0E38"/>
    <w:rsid w:val="00BC35DC"/>
    <w:rsid w:val="00BC4ED0"/>
    <w:rsid w:val="00BD5240"/>
    <w:rsid w:val="00BF0C77"/>
    <w:rsid w:val="00C07BF1"/>
    <w:rsid w:val="00C11059"/>
    <w:rsid w:val="00C110E4"/>
    <w:rsid w:val="00C174A4"/>
    <w:rsid w:val="00C2645D"/>
    <w:rsid w:val="00C3119C"/>
    <w:rsid w:val="00C514A7"/>
    <w:rsid w:val="00C57767"/>
    <w:rsid w:val="00C706FF"/>
    <w:rsid w:val="00C74CE8"/>
    <w:rsid w:val="00C758F6"/>
    <w:rsid w:val="00C8092D"/>
    <w:rsid w:val="00C85998"/>
    <w:rsid w:val="00C90657"/>
    <w:rsid w:val="00C935C1"/>
    <w:rsid w:val="00C9536A"/>
    <w:rsid w:val="00C9758C"/>
    <w:rsid w:val="00CB1706"/>
    <w:rsid w:val="00CC78E6"/>
    <w:rsid w:val="00CD7E92"/>
    <w:rsid w:val="00CF3AA5"/>
    <w:rsid w:val="00CF5C4F"/>
    <w:rsid w:val="00CF678C"/>
    <w:rsid w:val="00D01A48"/>
    <w:rsid w:val="00D03706"/>
    <w:rsid w:val="00D14DB9"/>
    <w:rsid w:val="00D24C67"/>
    <w:rsid w:val="00D2784D"/>
    <w:rsid w:val="00D40EF6"/>
    <w:rsid w:val="00D51B1D"/>
    <w:rsid w:val="00D57C42"/>
    <w:rsid w:val="00D648BA"/>
    <w:rsid w:val="00D70E13"/>
    <w:rsid w:val="00D71A5D"/>
    <w:rsid w:val="00D845E0"/>
    <w:rsid w:val="00D87D2D"/>
    <w:rsid w:val="00D9132A"/>
    <w:rsid w:val="00D92AC4"/>
    <w:rsid w:val="00D9769D"/>
    <w:rsid w:val="00DA71C3"/>
    <w:rsid w:val="00DA7CB3"/>
    <w:rsid w:val="00DB6F1F"/>
    <w:rsid w:val="00DC0A3E"/>
    <w:rsid w:val="00DD2666"/>
    <w:rsid w:val="00DD3D16"/>
    <w:rsid w:val="00DE00B8"/>
    <w:rsid w:val="00DE68FF"/>
    <w:rsid w:val="00DF1B2F"/>
    <w:rsid w:val="00DF4B6D"/>
    <w:rsid w:val="00E1751F"/>
    <w:rsid w:val="00E354F4"/>
    <w:rsid w:val="00E36D06"/>
    <w:rsid w:val="00E47B3B"/>
    <w:rsid w:val="00E47B59"/>
    <w:rsid w:val="00E60A10"/>
    <w:rsid w:val="00E63138"/>
    <w:rsid w:val="00E738C7"/>
    <w:rsid w:val="00E80794"/>
    <w:rsid w:val="00E97A9C"/>
    <w:rsid w:val="00EA4024"/>
    <w:rsid w:val="00EA4B1F"/>
    <w:rsid w:val="00EC0CD3"/>
    <w:rsid w:val="00EE46A6"/>
    <w:rsid w:val="00EF18C1"/>
    <w:rsid w:val="00F02A17"/>
    <w:rsid w:val="00F05829"/>
    <w:rsid w:val="00F1300D"/>
    <w:rsid w:val="00F154F7"/>
    <w:rsid w:val="00F16767"/>
    <w:rsid w:val="00F42B37"/>
    <w:rsid w:val="00F547F7"/>
    <w:rsid w:val="00F63FB3"/>
    <w:rsid w:val="00F71114"/>
    <w:rsid w:val="00F716E9"/>
    <w:rsid w:val="00F71ADB"/>
    <w:rsid w:val="00F74258"/>
    <w:rsid w:val="00F97B4C"/>
    <w:rsid w:val="00F97C3B"/>
    <w:rsid w:val="00FA0034"/>
    <w:rsid w:val="00FB25F3"/>
    <w:rsid w:val="00FC33B2"/>
    <w:rsid w:val="00FC3A89"/>
    <w:rsid w:val="00FC5C6A"/>
    <w:rsid w:val="00FD50E2"/>
    <w:rsid w:val="01586AB7"/>
    <w:rsid w:val="042B4404"/>
    <w:rsid w:val="05F33E19"/>
    <w:rsid w:val="08A607DC"/>
    <w:rsid w:val="13033C28"/>
    <w:rsid w:val="13B94E90"/>
    <w:rsid w:val="16FA62BC"/>
    <w:rsid w:val="214926E0"/>
    <w:rsid w:val="2B275931"/>
    <w:rsid w:val="33F0290A"/>
    <w:rsid w:val="3B0254A3"/>
    <w:rsid w:val="3C823756"/>
    <w:rsid w:val="3C9B5EFD"/>
    <w:rsid w:val="3E13186C"/>
    <w:rsid w:val="3F827695"/>
    <w:rsid w:val="50055DC9"/>
    <w:rsid w:val="5FA63A90"/>
    <w:rsid w:val="656F3231"/>
    <w:rsid w:val="697F115B"/>
    <w:rsid w:val="6AB5708C"/>
    <w:rsid w:val="6ABC302E"/>
    <w:rsid w:val="6BC534BD"/>
    <w:rsid w:val="72BE286D"/>
    <w:rsid w:val="796C3466"/>
    <w:rsid w:val="7B2D3227"/>
    <w:rsid w:val="7CE93406"/>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spacing w:before="100" w:beforeAutospacing="1" w:after="100" w:afterAutospacing="1"/>
      <w:jc w:val="left"/>
      <w:outlineLvl w:val="0"/>
    </w:pPr>
    <w:rPr>
      <w:rFonts w:hint="eastAsia" w:ascii="宋体" w:hAnsi="宋体"/>
      <w:b/>
      <w:bCs/>
      <w:snapToGrid w:val="0"/>
      <w:kern w:val="44"/>
      <w:sz w:val="48"/>
      <w:szCs w:val="48"/>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6"/>
    <w:semiHidden/>
    <w:unhideWhenUsed/>
    <w:qFormat/>
    <w:uiPriority w:val="99"/>
    <w:rPr>
      <w:b/>
      <w:bCs/>
    </w:rPr>
  </w:style>
  <w:style w:type="paragraph" w:styleId="4">
    <w:name w:val="annotation text"/>
    <w:basedOn w:val="1"/>
    <w:link w:val="25"/>
    <w:semiHidden/>
    <w:unhideWhenUsed/>
    <w:qFormat/>
    <w:uiPriority w:val="99"/>
    <w:pPr>
      <w:jc w:val="left"/>
    </w:pPr>
  </w:style>
  <w:style w:type="paragraph" w:styleId="5">
    <w:name w:val="Closing"/>
    <w:basedOn w:val="1"/>
    <w:qFormat/>
    <w:uiPriority w:val="0"/>
    <w:pPr>
      <w:ind w:left="100" w:leftChars="2100"/>
    </w:pPr>
    <w:rPr>
      <w:rFonts w:ascii="宋体"/>
      <w:sz w:val="24"/>
    </w:rPr>
  </w:style>
  <w:style w:type="paragraph" w:styleId="6">
    <w:name w:val="Body Text Indent"/>
    <w:basedOn w:val="1"/>
    <w:link w:val="30"/>
    <w:qFormat/>
    <w:uiPriority w:val="0"/>
    <w:pPr>
      <w:spacing w:after="120"/>
      <w:ind w:left="420" w:leftChars="200"/>
    </w:pPr>
    <w:rPr>
      <w:rFonts w:ascii="Calibri" w:hAnsi="Calibri"/>
      <w:szCs w:val="22"/>
    </w:rPr>
  </w:style>
  <w:style w:type="paragraph" w:styleId="7">
    <w:name w:val="Plain Text"/>
    <w:basedOn w:val="1"/>
    <w:link w:val="2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Balloon Text"/>
    <w:basedOn w:val="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2"/>
    </w:rPr>
  </w:style>
  <w:style w:type="character" w:styleId="13">
    <w:name w:val="Hyperlink"/>
    <w:basedOn w:val="12"/>
    <w:unhideWhenUsed/>
    <w:qFormat/>
    <w:uiPriority w:val="99"/>
    <w:rPr>
      <w:color w:val="0000FF"/>
      <w:u w:val="single"/>
    </w:rPr>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7">
    <w:name w:val="纯文本1"/>
    <w:basedOn w:val="1"/>
    <w:qFormat/>
    <w:uiPriority w:val="0"/>
    <w:pPr>
      <w:widowControl/>
      <w:jc w:val="left"/>
    </w:pPr>
    <w:rPr>
      <w:rFonts w:ascii="宋体" w:hAnsi="Courier New" w:eastAsia="微软雅黑"/>
      <w:kern w:val="0"/>
      <w:sz w:val="20"/>
      <w:szCs w:val="21"/>
    </w:rPr>
  </w:style>
  <w:style w:type="paragraph" w:customStyle="1" w:styleId="18">
    <w:name w:val="1_0"/>
    <w:basedOn w:val="1"/>
    <w:next w:val="17"/>
    <w:qFormat/>
    <w:uiPriority w:val="0"/>
    <w:rPr>
      <w:rFonts w:ascii="宋体" w:hAnsi="Courier New"/>
      <w:szCs w:val="22"/>
    </w:rPr>
  </w:style>
  <w:style w:type="paragraph" w:customStyle="1" w:styleId="1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20">
    <w:name w:val="页脚 Char"/>
    <w:link w:val="9"/>
    <w:qFormat/>
    <w:uiPriority w:val="99"/>
    <w:rPr>
      <w:kern w:val="2"/>
      <w:sz w:val="18"/>
      <w:szCs w:val="18"/>
    </w:rPr>
  </w:style>
  <w:style w:type="character" w:customStyle="1" w:styleId="21">
    <w:name w:val="apple-style-span"/>
    <w:basedOn w:val="12"/>
    <w:qFormat/>
    <w:uiPriority w:val="0"/>
  </w:style>
  <w:style w:type="character" w:customStyle="1" w:styleId="22">
    <w:name w:val="页眉 Char"/>
    <w:link w:val="10"/>
    <w:qFormat/>
    <w:uiPriority w:val="0"/>
    <w:rPr>
      <w:kern w:val="2"/>
      <w:sz w:val="18"/>
      <w:szCs w:val="18"/>
    </w:rPr>
  </w:style>
  <w:style w:type="character" w:customStyle="1" w:styleId="23">
    <w:name w:val="style141"/>
    <w:qFormat/>
    <w:uiPriority w:val="0"/>
    <w:rPr>
      <w:rFonts w:hint="eastAsia" w:ascii="宋体" w:hAnsi="宋体" w:eastAsia="宋体"/>
      <w:sz w:val="18"/>
      <w:szCs w:val="18"/>
    </w:rPr>
  </w:style>
  <w:style w:type="character" w:customStyle="1" w:styleId="24">
    <w:name w:val="纯文本 Char"/>
    <w:basedOn w:val="12"/>
    <w:link w:val="7"/>
    <w:qFormat/>
    <w:uiPriority w:val="0"/>
    <w:rPr>
      <w:rFonts w:ascii="宋体" w:hAnsi="Courier New" w:eastAsia="微软雅黑" w:cs="Courier New"/>
      <w:sz w:val="22"/>
      <w:szCs w:val="21"/>
    </w:rPr>
  </w:style>
  <w:style w:type="character" w:customStyle="1" w:styleId="25">
    <w:name w:val="批注文字 Char"/>
    <w:basedOn w:val="12"/>
    <w:link w:val="4"/>
    <w:semiHidden/>
    <w:qFormat/>
    <w:uiPriority w:val="99"/>
    <w:rPr>
      <w:kern w:val="2"/>
      <w:sz w:val="21"/>
      <w:szCs w:val="24"/>
    </w:rPr>
  </w:style>
  <w:style w:type="character" w:customStyle="1" w:styleId="26">
    <w:name w:val="批注主题 Char"/>
    <w:basedOn w:val="25"/>
    <w:link w:val="3"/>
    <w:semiHidden/>
    <w:qFormat/>
    <w:uiPriority w:val="99"/>
    <w:rPr>
      <w:b/>
      <w:bCs/>
      <w:kern w:val="2"/>
      <w:sz w:val="21"/>
      <w:szCs w:val="24"/>
    </w:rPr>
  </w:style>
  <w:style w:type="paragraph" w:styleId="27">
    <w:name w:val="List Paragraph"/>
    <w:basedOn w:val="1"/>
    <w:qFormat/>
    <w:uiPriority w:val="34"/>
    <w:pPr>
      <w:ind w:firstLine="420" w:firstLineChars="200"/>
    </w:pPr>
  </w:style>
  <w:style w:type="character" w:customStyle="1" w:styleId="28">
    <w:name w:val="标题 1 Char"/>
    <w:basedOn w:val="12"/>
    <w:link w:val="2"/>
    <w:qFormat/>
    <w:uiPriority w:val="9"/>
    <w:rPr>
      <w:rFonts w:ascii="宋体" w:hAnsi="宋体"/>
      <w:b/>
      <w:bCs/>
      <w:snapToGrid w:val="0"/>
      <w:kern w:val="44"/>
      <w:sz w:val="48"/>
      <w:szCs w:val="48"/>
    </w:rPr>
  </w:style>
  <w:style w:type="character" w:customStyle="1" w:styleId="29">
    <w:name w:val="font01"/>
    <w:basedOn w:val="12"/>
    <w:qFormat/>
    <w:uiPriority w:val="0"/>
    <w:rPr>
      <w:rFonts w:hint="eastAsia" w:ascii="宋体" w:hAnsi="宋体" w:eastAsia="宋体" w:cs="宋体"/>
      <w:color w:val="000000"/>
      <w:sz w:val="22"/>
      <w:szCs w:val="22"/>
      <w:u w:val="none"/>
      <w:vertAlign w:val="superscript"/>
    </w:rPr>
  </w:style>
  <w:style w:type="character" w:customStyle="1" w:styleId="30">
    <w:name w:val="正文文本缩进 Char"/>
    <w:basedOn w:val="12"/>
    <w:link w:val="6"/>
    <w:qFormat/>
    <w:uiPriority w:val="0"/>
    <w:rPr>
      <w:rFonts w:ascii="Calibri" w:hAnsi="Calibri"/>
      <w:kern w:val="2"/>
      <w:sz w:val="21"/>
      <w:szCs w:val="22"/>
    </w:rPr>
  </w:style>
  <w:style w:type="paragraph" w:customStyle="1" w:styleId="31">
    <w:name w:val="！表格内容"/>
    <w:basedOn w:val="1"/>
    <w:qFormat/>
    <w:uiPriority w:val="0"/>
    <w:pPr>
      <w:spacing w:line="320" w:lineRule="atLeast"/>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37319;&#36141;&#21512;&#21516;&#37096;&#21508;&#31867;&#24037;&#20316;&#26631;&#20934;&#25991;&#20214;\&#20844;&#24320;&#31454;&#36873;\Normal.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aaa</Company>
  <Pages>16</Pages>
  <Words>1091</Words>
  <Characters>6225</Characters>
  <Lines>51</Lines>
  <Paragraphs>14</Paragraphs>
  <TotalTime>10</TotalTime>
  <ScaleCrop>false</ScaleCrop>
  <LinksUpToDate>false</LinksUpToDate>
  <CharactersWithSpaces>7302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2018-02-28T04:01:00Z</dcterms:created>
  <dc:creator>abc</dc:creator>
  <cp:lastModifiedBy>詹映静</cp:lastModifiedBy>
  <cp:lastPrinted>2011-11-29T08:47:00Z</cp:lastPrinted>
  <dcterms:modified xsi:type="dcterms:W3CDTF">2022-11-29T02:30:09Z</dcterms:modified>
  <dc:title>广州大学城投资经营管理有限公司</dc:title>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