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rPr>
      </w:pPr>
      <w:r>
        <w:rPr>
          <w:rFonts w:hint="eastAsia"/>
          <w:b/>
          <w:sz w:val="28"/>
        </w:rPr>
        <w:t>广州大学城能源发展有限公司</w:t>
      </w:r>
    </w:p>
    <w:p>
      <w:pPr>
        <w:jc w:val="center"/>
        <w:rPr>
          <w:b/>
          <w:sz w:val="28"/>
        </w:rPr>
      </w:pPr>
      <w:r>
        <w:rPr>
          <w:rFonts w:hint="eastAsia"/>
          <w:b/>
          <w:sz w:val="28"/>
        </w:rPr>
        <w:t>空调系统末端设备清洗工程项目</w:t>
      </w:r>
    </w:p>
    <w:p>
      <w:pPr>
        <w:jc w:val="center"/>
        <w:rPr>
          <w:b/>
          <w:sz w:val="28"/>
        </w:rPr>
      </w:pPr>
      <w:r>
        <w:rPr>
          <w:rFonts w:hint="eastAsia"/>
          <w:b/>
          <w:sz w:val="28"/>
        </w:rPr>
        <w:t>竞选文件（竞争性磋商）</w:t>
      </w:r>
    </w:p>
    <w:p>
      <w:pPr>
        <w:ind w:firstLine="482" w:firstLineChars="200"/>
        <w:jc w:val="left"/>
        <w:rPr>
          <w:rFonts w:ascii="宋体" w:hAnsi="宋体"/>
          <w:b/>
          <w:sz w:val="24"/>
        </w:rPr>
      </w:pPr>
    </w:p>
    <w:p>
      <w:pPr>
        <w:pStyle w:val="12"/>
        <w:numPr>
          <w:ilvl w:val="0"/>
          <w:numId w:val="1"/>
        </w:numPr>
        <w:spacing w:line="360" w:lineRule="auto"/>
        <w:ind w:left="0" w:firstLine="482"/>
        <w:rPr>
          <w:rFonts w:ascii="宋体" w:hAnsi="宋体"/>
          <w:b/>
          <w:sz w:val="24"/>
        </w:rPr>
      </w:pPr>
      <w:r>
        <w:rPr>
          <w:rFonts w:hint="eastAsia" w:ascii="宋体" w:hAnsi="宋体"/>
          <w:b/>
          <w:sz w:val="24"/>
        </w:rPr>
        <w:t>项目名称和采购内容</w:t>
      </w:r>
    </w:p>
    <w:p>
      <w:pPr>
        <w:pStyle w:val="12"/>
        <w:numPr>
          <w:ilvl w:val="0"/>
          <w:numId w:val="2"/>
        </w:numPr>
        <w:tabs>
          <w:tab w:val="left" w:pos="420"/>
        </w:tabs>
        <w:spacing w:line="360" w:lineRule="auto"/>
        <w:ind w:left="0" w:firstLine="480" w:firstLineChars="0"/>
        <w:rPr>
          <w:rFonts w:ascii="宋体" w:hAnsi="宋体"/>
          <w:sz w:val="24"/>
        </w:rPr>
      </w:pPr>
      <w:r>
        <w:rPr>
          <w:rFonts w:hint="eastAsia" w:ascii="宋体" w:hAnsi="宋体"/>
          <w:sz w:val="24"/>
        </w:rPr>
        <w:t>项目名称：空调系统末端设备清洗工程项目</w:t>
      </w:r>
    </w:p>
    <w:p>
      <w:pPr>
        <w:pStyle w:val="12"/>
        <w:numPr>
          <w:ilvl w:val="0"/>
          <w:numId w:val="2"/>
        </w:numPr>
        <w:tabs>
          <w:tab w:val="left" w:pos="420"/>
        </w:tabs>
        <w:spacing w:line="360" w:lineRule="auto"/>
        <w:ind w:left="0" w:firstLine="480" w:firstLineChars="0"/>
        <w:rPr>
          <w:rFonts w:ascii="宋体" w:hAnsi="宋体"/>
          <w:sz w:val="24"/>
        </w:rPr>
      </w:pPr>
      <w:r>
        <w:rPr>
          <w:rFonts w:hint="eastAsia" w:ascii="宋体" w:hAnsi="宋体"/>
          <w:sz w:val="24"/>
        </w:rPr>
        <w:t>采购内容：</w:t>
      </w:r>
      <w:r>
        <w:rPr>
          <w:rFonts w:hint="eastAsia" w:ascii="宋体" w:hAnsi="宋体" w:eastAsia="宋体" w:cs="宋体"/>
          <w:sz w:val="24"/>
        </w:rPr>
        <w:t>对指定的空调系统末端设备进行清洗</w:t>
      </w:r>
      <w:r>
        <w:rPr>
          <w:rFonts w:ascii="宋体" w:hAnsi="宋体"/>
          <w:sz w:val="24"/>
        </w:rPr>
        <w:t>。</w:t>
      </w:r>
      <w:r>
        <w:rPr>
          <w:rFonts w:hint="eastAsia" w:ascii="宋体" w:hAnsi="宋体"/>
          <w:sz w:val="24"/>
        </w:rPr>
        <w:t>具体详见本文“三、采购需求”。</w:t>
      </w:r>
    </w:p>
    <w:p>
      <w:pPr>
        <w:pStyle w:val="12"/>
        <w:numPr>
          <w:ilvl w:val="0"/>
          <w:numId w:val="2"/>
        </w:numPr>
        <w:tabs>
          <w:tab w:val="left" w:pos="420"/>
        </w:tabs>
        <w:spacing w:line="360" w:lineRule="auto"/>
        <w:ind w:left="0" w:firstLine="480" w:firstLineChars="0"/>
        <w:rPr>
          <w:rFonts w:ascii="宋体" w:hAnsi="宋体"/>
          <w:b/>
          <w:sz w:val="24"/>
        </w:rPr>
      </w:pPr>
      <w:r>
        <w:rPr>
          <w:rFonts w:hint="eastAsia" w:ascii="宋体" w:hAnsi="宋体" w:eastAsia="宋体" w:cs="宋体"/>
          <w:sz w:val="24"/>
        </w:rPr>
        <w:t>项目简介：采购人现拟外委完成广州大学城内各类空调系统的末端设备清洗工作。根据评标规则，确定5家清洗服务供应商，与采购人签订空调系统末端设备清洗工程年度协议，签订协议后各施工单位按要求做好工具、材料、人员准备，按采购人发出的清洗工作任务单要求完成空调系统末端设备清洗工作，施工单位根据协议确定的综合单价和完成情况据实结算。</w:t>
      </w:r>
    </w:p>
    <w:p>
      <w:pPr>
        <w:pStyle w:val="12"/>
        <w:numPr>
          <w:ilvl w:val="0"/>
          <w:numId w:val="2"/>
        </w:numPr>
        <w:tabs>
          <w:tab w:val="left" w:pos="420"/>
        </w:tabs>
        <w:spacing w:line="360" w:lineRule="auto"/>
        <w:ind w:left="0" w:firstLine="480" w:firstLineChars="0"/>
        <w:rPr>
          <w:rFonts w:ascii="宋体" w:hAnsi="宋体"/>
          <w:b/>
          <w:sz w:val="24"/>
        </w:rPr>
      </w:pPr>
      <w:r>
        <w:rPr>
          <w:rFonts w:hint="eastAsia" w:ascii="宋体" w:hAnsi="宋体" w:eastAsia="宋体" w:cs="宋体"/>
          <w:sz w:val="24"/>
          <w:lang w:val="en-US" w:eastAsia="zh-CN"/>
        </w:rPr>
        <w:t>采购限价：</w:t>
      </w:r>
    </w:p>
    <w:tbl>
      <w:tblPr>
        <w:tblStyle w:val="10"/>
        <w:tblW w:w="8941" w:type="dxa"/>
        <w:tblInd w:w="96" w:type="dxa"/>
        <w:tblLayout w:type="fixed"/>
        <w:tblCellMar>
          <w:top w:w="0" w:type="dxa"/>
          <w:left w:w="108" w:type="dxa"/>
          <w:bottom w:w="0" w:type="dxa"/>
          <w:right w:w="108" w:type="dxa"/>
        </w:tblCellMar>
      </w:tblPr>
      <w:tblGrid>
        <w:gridCol w:w="1430"/>
        <w:gridCol w:w="5033"/>
        <w:gridCol w:w="913"/>
        <w:gridCol w:w="1565"/>
      </w:tblGrid>
      <w:tr>
        <w:tblPrEx>
          <w:tblLayout w:type="fixed"/>
          <w:tblCellMar>
            <w:top w:w="0" w:type="dxa"/>
            <w:left w:w="108" w:type="dxa"/>
            <w:bottom w:w="0" w:type="dxa"/>
            <w:right w:w="108" w:type="dxa"/>
          </w:tblCellMar>
        </w:tblPrEx>
        <w:trPr>
          <w:trHeight w:val="660" w:hRule="atLeast"/>
        </w:trPr>
        <w:tc>
          <w:tcPr>
            <w:tcW w:w="14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设备类型</w:t>
            </w:r>
          </w:p>
        </w:tc>
        <w:tc>
          <w:tcPr>
            <w:tcW w:w="5033"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工作内容</w:t>
            </w:r>
          </w:p>
        </w:tc>
        <w:tc>
          <w:tcPr>
            <w:tcW w:w="913"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单位</w:t>
            </w:r>
          </w:p>
        </w:tc>
        <w:tc>
          <w:tcPr>
            <w:tcW w:w="156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360" w:lineRule="auto"/>
              <w:jc w:val="center"/>
              <w:rPr>
                <w:rFonts w:hint="eastAsia" w:ascii="宋体" w:hAnsi="宋体" w:cs="宋体" w:eastAsiaTheme="minorEastAsia"/>
                <w:b/>
                <w:bCs/>
                <w:kern w:val="0"/>
                <w:sz w:val="24"/>
                <w:lang w:eastAsia="zh-CN"/>
              </w:rPr>
            </w:pPr>
            <w:r>
              <w:rPr>
                <w:rFonts w:hint="eastAsia" w:ascii="宋体" w:hAnsi="宋体" w:cs="宋体"/>
                <w:b/>
                <w:bCs/>
                <w:kern w:val="0"/>
                <w:sz w:val="24"/>
                <w:lang w:val="en-US" w:eastAsia="zh-CN"/>
              </w:rPr>
              <w:t>含税单价</w:t>
            </w:r>
          </w:p>
        </w:tc>
      </w:tr>
      <w:tr>
        <w:tblPrEx>
          <w:tblLayout w:type="fixed"/>
          <w:tblCellMar>
            <w:top w:w="0" w:type="dxa"/>
            <w:left w:w="108" w:type="dxa"/>
            <w:bottom w:w="0" w:type="dxa"/>
            <w:right w:w="108" w:type="dxa"/>
          </w:tblCellMar>
        </w:tblPrEx>
        <w:trPr>
          <w:trHeight w:val="780" w:hRule="atLeast"/>
        </w:trPr>
        <w:tc>
          <w:tcPr>
            <w:tcW w:w="1430"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盘管风机</w:t>
            </w:r>
          </w:p>
        </w:tc>
        <w:tc>
          <w:tcPr>
            <w:tcW w:w="5033"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外壳、回风滤网、换热片、供回风口清洗消毒，供回风口、冷凝水集排水清洁疏通</w:t>
            </w:r>
          </w:p>
        </w:tc>
        <w:tc>
          <w:tcPr>
            <w:tcW w:w="913"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台</w:t>
            </w:r>
          </w:p>
        </w:tc>
        <w:tc>
          <w:tcPr>
            <w:tcW w:w="15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ascii="宋体" w:hAnsi="宋体"/>
                <w:kern w:val="0"/>
                <w:sz w:val="24"/>
              </w:rPr>
            </w:pPr>
            <w:r>
              <w:rPr>
                <w:rFonts w:hint="eastAsia" w:ascii="宋体" w:hAnsi="宋体" w:eastAsia="宋体" w:cs="宋体"/>
                <w:i w:val="0"/>
                <w:color w:val="000000"/>
                <w:kern w:val="0"/>
                <w:sz w:val="24"/>
                <w:szCs w:val="24"/>
                <w:u w:val="none"/>
                <w:lang w:val="en-US" w:eastAsia="zh-CN" w:bidi="ar"/>
              </w:rPr>
              <w:t>27.5</w:t>
            </w:r>
          </w:p>
        </w:tc>
      </w:tr>
      <w:tr>
        <w:tblPrEx>
          <w:tblLayout w:type="fixed"/>
          <w:tblCellMar>
            <w:top w:w="0" w:type="dxa"/>
            <w:left w:w="108" w:type="dxa"/>
            <w:bottom w:w="0" w:type="dxa"/>
            <w:right w:w="108" w:type="dxa"/>
          </w:tblCellMar>
        </w:tblPrEx>
        <w:trPr>
          <w:trHeight w:val="756" w:hRule="atLeast"/>
        </w:trPr>
        <w:tc>
          <w:tcPr>
            <w:tcW w:w="143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rPr>
                <w:rFonts w:ascii="宋体" w:hAnsi="宋体" w:cs="宋体"/>
                <w:kern w:val="0"/>
                <w:sz w:val="24"/>
              </w:rPr>
            </w:pPr>
            <w:r>
              <w:rPr>
                <w:rFonts w:hint="eastAsia" w:ascii="宋体" w:hAnsi="宋体" w:cs="宋体"/>
                <w:kern w:val="0"/>
                <w:sz w:val="24"/>
              </w:rPr>
              <w:t>吊顶风柜</w:t>
            </w:r>
          </w:p>
        </w:tc>
        <w:tc>
          <w:tcPr>
            <w:tcW w:w="5033"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外壳、回风滤网、供回风口清洗消毒，冷凝水集排水清洁疏通</w:t>
            </w:r>
          </w:p>
        </w:tc>
        <w:tc>
          <w:tcPr>
            <w:tcW w:w="913"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台</w:t>
            </w:r>
          </w:p>
        </w:tc>
        <w:tc>
          <w:tcPr>
            <w:tcW w:w="156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宋体" w:hAnsi="宋体"/>
                <w:sz w:val="24"/>
              </w:rPr>
            </w:pPr>
            <w:r>
              <w:rPr>
                <w:rFonts w:hint="eastAsia" w:ascii="宋体" w:hAnsi="宋体" w:eastAsia="宋体" w:cs="宋体"/>
                <w:i w:val="0"/>
                <w:color w:val="000000"/>
                <w:kern w:val="0"/>
                <w:sz w:val="24"/>
                <w:szCs w:val="24"/>
                <w:u w:val="none"/>
                <w:lang w:val="en-US" w:eastAsia="zh-CN" w:bidi="ar"/>
              </w:rPr>
              <w:t>78</w:t>
            </w:r>
          </w:p>
        </w:tc>
      </w:tr>
      <w:tr>
        <w:tblPrEx>
          <w:tblLayout w:type="fixed"/>
          <w:tblCellMar>
            <w:top w:w="0" w:type="dxa"/>
            <w:left w:w="108" w:type="dxa"/>
            <w:bottom w:w="0" w:type="dxa"/>
            <w:right w:w="108" w:type="dxa"/>
          </w:tblCellMar>
        </w:tblPrEx>
        <w:trPr>
          <w:trHeight w:val="468" w:hRule="atLeast"/>
        </w:trPr>
        <w:tc>
          <w:tcPr>
            <w:tcW w:w="143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p>
        </w:tc>
        <w:tc>
          <w:tcPr>
            <w:tcW w:w="5033"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回风口清洗消毒</w:t>
            </w:r>
          </w:p>
        </w:tc>
        <w:tc>
          <w:tcPr>
            <w:tcW w:w="913"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个</w:t>
            </w:r>
          </w:p>
        </w:tc>
        <w:tc>
          <w:tcPr>
            <w:tcW w:w="156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宋体" w:hAnsi="宋体"/>
                <w:sz w:val="24"/>
              </w:rPr>
            </w:pPr>
            <w:r>
              <w:rPr>
                <w:rFonts w:hint="eastAsia" w:ascii="宋体" w:hAnsi="宋体" w:eastAsia="宋体" w:cs="宋体"/>
                <w:i w:val="0"/>
                <w:color w:val="000000"/>
                <w:kern w:val="0"/>
                <w:sz w:val="24"/>
                <w:szCs w:val="24"/>
                <w:u w:val="none"/>
                <w:lang w:val="en-US" w:eastAsia="zh-CN" w:bidi="ar"/>
              </w:rPr>
              <w:t>9.5</w:t>
            </w:r>
          </w:p>
        </w:tc>
      </w:tr>
      <w:tr>
        <w:tblPrEx>
          <w:tblLayout w:type="fixed"/>
          <w:tblCellMar>
            <w:top w:w="0" w:type="dxa"/>
            <w:left w:w="108" w:type="dxa"/>
            <w:bottom w:w="0" w:type="dxa"/>
            <w:right w:w="108" w:type="dxa"/>
          </w:tblCellMar>
        </w:tblPrEx>
        <w:trPr>
          <w:trHeight w:val="408" w:hRule="atLeast"/>
        </w:trPr>
        <w:tc>
          <w:tcPr>
            <w:tcW w:w="143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p>
        </w:tc>
        <w:tc>
          <w:tcPr>
            <w:tcW w:w="5033"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供风口清洗消毒</w:t>
            </w:r>
          </w:p>
        </w:tc>
        <w:tc>
          <w:tcPr>
            <w:tcW w:w="913"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个</w:t>
            </w:r>
          </w:p>
        </w:tc>
        <w:tc>
          <w:tcPr>
            <w:tcW w:w="156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宋体" w:hAnsi="宋体"/>
                <w:sz w:val="24"/>
              </w:rPr>
            </w:pPr>
            <w:r>
              <w:rPr>
                <w:rFonts w:hint="eastAsia" w:ascii="宋体" w:hAnsi="宋体" w:eastAsia="宋体" w:cs="宋体"/>
                <w:i w:val="0"/>
                <w:color w:val="000000"/>
                <w:kern w:val="0"/>
                <w:sz w:val="24"/>
                <w:szCs w:val="24"/>
                <w:u w:val="none"/>
                <w:lang w:val="en-US" w:eastAsia="zh-CN" w:bidi="ar"/>
              </w:rPr>
              <w:t>9</w:t>
            </w:r>
          </w:p>
        </w:tc>
      </w:tr>
      <w:tr>
        <w:tblPrEx>
          <w:tblLayout w:type="fixed"/>
          <w:tblCellMar>
            <w:top w:w="0" w:type="dxa"/>
            <w:left w:w="108" w:type="dxa"/>
            <w:bottom w:w="0" w:type="dxa"/>
            <w:right w:w="108" w:type="dxa"/>
          </w:tblCellMar>
        </w:tblPrEx>
        <w:trPr>
          <w:trHeight w:val="624" w:hRule="atLeast"/>
        </w:trPr>
        <w:tc>
          <w:tcPr>
            <w:tcW w:w="143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rPr>
                <w:rFonts w:ascii="宋体" w:hAnsi="宋体" w:cs="宋体"/>
                <w:kern w:val="0"/>
                <w:sz w:val="24"/>
              </w:rPr>
            </w:pPr>
            <w:r>
              <w:rPr>
                <w:rFonts w:hint="eastAsia" w:ascii="宋体" w:hAnsi="宋体" w:cs="宋体"/>
                <w:kern w:val="0"/>
                <w:sz w:val="24"/>
              </w:rPr>
              <w:t>落地式水冷空调风柜</w:t>
            </w:r>
          </w:p>
        </w:tc>
        <w:tc>
          <w:tcPr>
            <w:tcW w:w="5033"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外壳、回风滤网、换热片、供回风口清洗消毒，冷凝水集排水清洁疏通</w:t>
            </w:r>
          </w:p>
        </w:tc>
        <w:tc>
          <w:tcPr>
            <w:tcW w:w="913"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台</w:t>
            </w:r>
          </w:p>
        </w:tc>
        <w:tc>
          <w:tcPr>
            <w:tcW w:w="156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宋体" w:hAnsi="宋体"/>
                <w:sz w:val="24"/>
              </w:rPr>
            </w:pPr>
            <w:r>
              <w:rPr>
                <w:rFonts w:hint="eastAsia" w:ascii="宋体" w:hAnsi="宋体" w:eastAsia="宋体" w:cs="宋体"/>
                <w:i w:val="0"/>
                <w:color w:val="000000"/>
                <w:kern w:val="0"/>
                <w:sz w:val="24"/>
                <w:szCs w:val="24"/>
                <w:u w:val="none"/>
                <w:lang w:val="en-US" w:eastAsia="zh-CN" w:bidi="ar"/>
              </w:rPr>
              <w:t>65</w:t>
            </w:r>
          </w:p>
        </w:tc>
      </w:tr>
      <w:tr>
        <w:tblPrEx>
          <w:tblLayout w:type="fixed"/>
          <w:tblCellMar>
            <w:top w:w="0" w:type="dxa"/>
            <w:left w:w="108" w:type="dxa"/>
            <w:bottom w:w="0" w:type="dxa"/>
            <w:right w:w="108" w:type="dxa"/>
          </w:tblCellMar>
        </w:tblPrEx>
        <w:trPr>
          <w:trHeight w:val="444" w:hRule="atLeast"/>
        </w:trPr>
        <w:tc>
          <w:tcPr>
            <w:tcW w:w="143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p>
        </w:tc>
        <w:tc>
          <w:tcPr>
            <w:tcW w:w="5033"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回风口清洗消毒</w:t>
            </w:r>
          </w:p>
        </w:tc>
        <w:tc>
          <w:tcPr>
            <w:tcW w:w="913"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个</w:t>
            </w:r>
          </w:p>
        </w:tc>
        <w:tc>
          <w:tcPr>
            <w:tcW w:w="156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宋体" w:hAnsi="宋体"/>
                <w:sz w:val="24"/>
              </w:rPr>
            </w:pPr>
            <w:r>
              <w:rPr>
                <w:rFonts w:hint="eastAsia" w:ascii="宋体" w:hAnsi="宋体" w:eastAsia="宋体" w:cs="宋体"/>
                <w:i w:val="0"/>
                <w:color w:val="000000"/>
                <w:kern w:val="0"/>
                <w:sz w:val="24"/>
                <w:szCs w:val="24"/>
                <w:u w:val="none"/>
                <w:lang w:val="en-US" w:eastAsia="zh-CN" w:bidi="ar"/>
              </w:rPr>
              <w:t>9.5</w:t>
            </w:r>
          </w:p>
        </w:tc>
      </w:tr>
      <w:tr>
        <w:tblPrEx>
          <w:tblLayout w:type="fixed"/>
          <w:tblCellMar>
            <w:top w:w="0" w:type="dxa"/>
            <w:left w:w="108" w:type="dxa"/>
            <w:bottom w:w="0" w:type="dxa"/>
            <w:right w:w="108" w:type="dxa"/>
          </w:tblCellMar>
        </w:tblPrEx>
        <w:trPr>
          <w:trHeight w:val="432" w:hRule="atLeast"/>
        </w:trPr>
        <w:tc>
          <w:tcPr>
            <w:tcW w:w="143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p>
        </w:tc>
        <w:tc>
          <w:tcPr>
            <w:tcW w:w="5033"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供风口清洗消毒</w:t>
            </w:r>
          </w:p>
        </w:tc>
        <w:tc>
          <w:tcPr>
            <w:tcW w:w="913"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个</w:t>
            </w:r>
          </w:p>
        </w:tc>
        <w:tc>
          <w:tcPr>
            <w:tcW w:w="156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宋体" w:hAnsi="宋体"/>
                <w:sz w:val="24"/>
              </w:rPr>
            </w:pPr>
            <w:r>
              <w:rPr>
                <w:rFonts w:hint="eastAsia" w:ascii="宋体" w:hAnsi="宋体" w:eastAsia="宋体" w:cs="宋体"/>
                <w:i w:val="0"/>
                <w:color w:val="000000"/>
                <w:kern w:val="0"/>
                <w:sz w:val="24"/>
                <w:szCs w:val="24"/>
                <w:u w:val="none"/>
                <w:lang w:val="en-US" w:eastAsia="zh-CN" w:bidi="ar"/>
              </w:rPr>
              <w:t>9</w:t>
            </w:r>
          </w:p>
        </w:tc>
      </w:tr>
      <w:tr>
        <w:tblPrEx>
          <w:tblLayout w:type="fixed"/>
          <w:tblCellMar>
            <w:top w:w="0" w:type="dxa"/>
            <w:left w:w="108" w:type="dxa"/>
            <w:bottom w:w="0" w:type="dxa"/>
            <w:right w:w="108" w:type="dxa"/>
          </w:tblCellMar>
        </w:tblPrEx>
        <w:trPr>
          <w:trHeight w:val="732" w:hRule="atLeast"/>
        </w:trPr>
        <w:tc>
          <w:tcPr>
            <w:tcW w:w="143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rPr>
                <w:rFonts w:hint="eastAsia" w:ascii="宋体" w:hAnsi="宋体" w:cs="宋体"/>
                <w:kern w:val="0"/>
                <w:sz w:val="24"/>
              </w:rPr>
            </w:pPr>
          </w:p>
          <w:p>
            <w:pPr>
              <w:widowControl/>
              <w:spacing w:line="360" w:lineRule="auto"/>
              <w:rPr>
                <w:rFonts w:ascii="宋体" w:hAnsi="宋体" w:cs="宋体"/>
                <w:kern w:val="0"/>
                <w:sz w:val="24"/>
              </w:rPr>
            </w:pPr>
            <w:r>
              <w:rPr>
                <w:rFonts w:hint="eastAsia" w:ascii="宋体" w:hAnsi="宋体" w:cs="宋体"/>
                <w:kern w:val="0"/>
                <w:sz w:val="24"/>
              </w:rPr>
              <w:t>分体空调</w:t>
            </w:r>
          </w:p>
        </w:tc>
        <w:tc>
          <w:tcPr>
            <w:tcW w:w="5033"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室内机外壳、回风滤网、换热片、供回风口清洗消毒，冷凝水集排水清洁疏通</w:t>
            </w:r>
          </w:p>
        </w:tc>
        <w:tc>
          <w:tcPr>
            <w:tcW w:w="913"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台</w:t>
            </w:r>
          </w:p>
        </w:tc>
        <w:tc>
          <w:tcPr>
            <w:tcW w:w="156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宋体" w:hAnsi="宋体"/>
                <w:sz w:val="24"/>
              </w:rPr>
            </w:pPr>
            <w:r>
              <w:rPr>
                <w:rFonts w:hint="eastAsia" w:ascii="宋体" w:hAnsi="宋体" w:eastAsia="宋体" w:cs="宋体"/>
                <w:i w:val="0"/>
                <w:color w:val="000000"/>
                <w:kern w:val="0"/>
                <w:sz w:val="24"/>
                <w:szCs w:val="24"/>
                <w:u w:val="none"/>
                <w:lang w:val="en-US" w:eastAsia="zh-CN" w:bidi="ar"/>
              </w:rPr>
              <w:t>17.5</w:t>
            </w:r>
          </w:p>
        </w:tc>
      </w:tr>
      <w:tr>
        <w:tblPrEx>
          <w:tblLayout w:type="fixed"/>
          <w:tblCellMar>
            <w:top w:w="0" w:type="dxa"/>
            <w:left w:w="108" w:type="dxa"/>
            <w:bottom w:w="0" w:type="dxa"/>
            <w:right w:w="108" w:type="dxa"/>
          </w:tblCellMar>
        </w:tblPrEx>
        <w:trPr>
          <w:trHeight w:val="804" w:hRule="atLeast"/>
        </w:trPr>
        <w:tc>
          <w:tcPr>
            <w:tcW w:w="143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p>
        </w:tc>
        <w:tc>
          <w:tcPr>
            <w:tcW w:w="5033"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室外机表面除尘外壳、换热片清洗（注一般不用高空作业，大部分为平台作业）</w:t>
            </w:r>
          </w:p>
        </w:tc>
        <w:tc>
          <w:tcPr>
            <w:tcW w:w="913" w:type="dxa"/>
            <w:tcBorders>
              <w:top w:val="nil"/>
              <w:left w:val="nil"/>
              <w:bottom w:val="single" w:color="auto" w:sz="4" w:space="0"/>
              <w:right w:val="single" w:color="auto" w:sz="4" w:space="0"/>
            </w:tcBorders>
            <w:shd w:val="clear" w:color="auto" w:fill="auto"/>
            <w:noWrap w:val="0"/>
            <w:vAlign w:val="center"/>
          </w:tcPr>
          <w:p>
            <w:pPr>
              <w:widowControl/>
              <w:spacing w:line="360" w:lineRule="auto"/>
              <w:jc w:val="center"/>
              <w:rPr>
                <w:rFonts w:ascii="宋体" w:hAnsi="宋体" w:cs="宋体"/>
                <w:kern w:val="0"/>
                <w:sz w:val="24"/>
              </w:rPr>
            </w:pPr>
            <w:r>
              <w:rPr>
                <w:rFonts w:hint="eastAsia" w:ascii="宋体" w:hAnsi="宋体" w:cs="宋体"/>
                <w:kern w:val="0"/>
                <w:sz w:val="24"/>
              </w:rPr>
              <w:t>台</w:t>
            </w:r>
          </w:p>
        </w:tc>
        <w:tc>
          <w:tcPr>
            <w:tcW w:w="1565"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bottom"/>
              <w:rPr>
                <w:rFonts w:hint="eastAsia" w:ascii="宋体" w:hAnsi="宋体"/>
                <w:sz w:val="24"/>
              </w:rPr>
            </w:pPr>
            <w:r>
              <w:rPr>
                <w:rFonts w:hint="eastAsia" w:ascii="宋体" w:hAnsi="宋体" w:eastAsia="宋体" w:cs="宋体"/>
                <w:i w:val="0"/>
                <w:color w:val="000000"/>
                <w:kern w:val="0"/>
                <w:sz w:val="24"/>
                <w:szCs w:val="24"/>
                <w:u w:val="none"/>
                <w:lang w:val="en-US" w:eastAsia="zh-CN" w:bidi="ar"/>
              </w:rPr>
              <w:t>34</w:t>
            </w:r>
          </w:p>
        </w:tc>
      </w:tr>
    </w:tbl>
    <w:p>
      <w:pPr>
        <w:pStyle w:val="12"/>
        <w:numPr>
          <w:ilvl w:val="-1"/>
          <w:numId w:val="0"/>
        </w:numPr>
        <w:tabs>
          <w:tab w:val="left" w:pos="420"/>
        </w:tabs>
        <w:spacing w:line="360" w:lineRule="auto"/>
        <w:ind w:left="480" w:firstLine="0" w:firstLineChars="0"/>
        <w:rPr>
          <w:rFonts w:hint="default" w:ascii="宋体" w:hAnsi="宋体" w:eastAsiaTheme="minorEastAsia"/>
          <w:b/>
          <w:sz w:val="24"/>
          <w:lang w:val="en-US" w:eastAsia="zh-CN"/>
        </w:rPr>
      </w:pPr>
      <w:r>
        <w:rPr>
          <w:rFonts w:hint="eastAsia" w:ascii="宋体" w:hAnsi="宋体"/>
          <w:b/>
          <w:sz w:val="24"/>
          <w:lang w:val="en-US" w:eastAsia="zh-CN"/>
        </w:rPr>
        <w:t>备注：以上含税价为含不少于6%增值税专票税。</w:t>
      </w:r>
    </w:p>
    <w:p>
      <w:pPr>
        <w:pStyle w:val="12"/>
        <w:numPr>
          <w:ilvl w:val="0"/>
          <w:numId w:val="1"/>
        </w:numPr>
        <w:spacing w:line="360" w:lineRule="auto"/>
        <w:ind w:left="0" w:firstLine="482"/>
        <w:rPr>
          <w:rFonts w:ascii="宋体" w:hAnsi="宋体"/>
          <w:b/>
          <w:sz w:val="24"/>
        </w:rPr>
      </w:pPr>
      <w:r>
        <w:rPr>
          <w:rFonts w:hint="eastAsia" w:ascii="宋体" w:hAnsi="宋体"/>
          <w:b/>
          <w:sz w:val="24"/>
        </w:rPr>
        <w:t>合格供应商资格要求</w:t>
      </w:r>
    </w:p>
    <w:p>
      <w:pPr>
        <w:pStyle w:val="12"/>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pPr>
        <w:pStyle w:val="12"/>
        <w:numPr>
          <w:ilvl w:val="0"/>
          <w:numId w:val="3"/>
        </w:numPr>
        <w:tabs>
          <w:tab w:val="left" w:pos="420"/>
        </w:tabs>
        <w:spacing w:line="360" w:lineRule="auto"/>
        <w:ind w:firstLine="480"/>
        <w:rPr>
          <w:rFonts w:ascii="宋体" w:hAnsi="宋体"/>
          <w:sz w:val="24"/>
        </w:rPr>
      </w:pPr>
      <w:r>
        <w:rPr>
          <w:rFonts w:hint="eastAsia" w:ascii="宋体" w:hAnsi="宋体"/>
          <w:sz w:val="24"/>
        </w:rPr>
        <w:t>已办理合法税务登记，具有开具相应增值税专用发票资格；</w:t>
      </w:r>
    </w:p>
    <w:p>
      <w:pPr>
        <w:pStyle w:val="12"/>
        <w:numPr>
          <w:ilvl w:val="0"/>
          <w:numId w:val="3"/>
        </w:numPr>
        <w:tabs>
          <w:tab w:val="left" w:pos="420"/>
        </w:tabs>
        <w:spacing w:line="360" w:lineRule="auto"/>
        <w:ind w:firstLine="480"/>
        <w:rPr>
          <w:rFonts w:ascii="宋体" w:hAnsi="宋体"/>
          <w:sz w:val="24"/>
        </w:rPr>
      </w:pPr>
      <w:r>
        <w:rPr>
          <w:rFonts w:hint="eastAsia" w:ascii="宋体" w:hAnsi="宋体"/>
          <w:sz w:val="24"/>
        </w:rPr>
        <w:t>近3年内(201</w:t>
      </w:r>
      <w:r>
        <w:rPr>
          <w:rFonts w:hint="eastAsia" w:ascii="宋体" w:hAnsi="宋体"/>
          <w:sz w:val="24"/>
          <w:lang w:val="en-US" w:eastAsia="zh-CN"/>
        </w:rPr>
        <w:t>9</w:t>
      </w:r>
      <w:r>
        <w:rPr>
          <w:rFonts w:hint="eastAsia" w:ascii="宋体" w:hAnsi="宋体"/>
          <w:sz w:val="24"/>
        </w:rPr>
        <w:t>年1月1日至今)的类似项目空调系统末端设备清洗业绩（提供合同复印件）。</w:t>
      </w:r>
    </w:p>
    <w:p>
      <w:pPr>
        <w:pStyle w:val="12"/>
        <w:numPr>
          <w:ilvl w:val="0"/>
          <w:numId w:val="3"/>
        </w:numPr>
        <w:tabs>
          <w:tab w:val="left" w:pos="420"/>
        </w:tabs>
        <w:spacing w:line="360" w:lineRule="auto"/>
        <w:ind w:firstLine="480"/>
        <w:rPr>
          <w:rFonts w:ascii="宋体" w:hAnsi="宋体"/>
          <w:sz w:val="24"/>
        </w:rPr>
      </w:pPr>
      <w:r>
        <w:rPr>
          <w:rFonts w:hint="eastAsia" w:ascii="宋体" w:hAnsi="宋体"/>
          <w:sz w:val="24"/>
        </w:rPr>
        <w:t>项目负责人应持有相关安全管理资格证书</w:t>
      </w:r>
      <w:r>
        <w:rPr>
          <w:rFonts w:hint="eastAsia" w:ascii="宋体" w:hAnsi="宋体"/>
          <w:sz w:val="24"/>
          <w:lang w:eastAsia="zh-CN"/>
        </w:rPr>
        <w:t>。</w:t>
      </w:r>
    </w:p>
    <w:p>
      <w:pPr>
        <w:pStyle w:val="12"/>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pPr>
        <w:pStyle w:val="12"/>
        <w:numPr>
          <w:ilvl w:val="0"/>
          <w:numId w:val="1"/>
        </w:numPr>
        <w:spacing w:line="360" w:lineRule="auto"/>
        <w:ind w:left="0" w:firstLine="482"/>
        <w:rPr>
          <w:rFonts w:ascii="宋体" w:hAnsi="宋体"/>
          <w:b/>
          <w:sz w:val="24"/>
        </w:rPr>
      </w:pPr>
      <w:r>
        <w:rPr>
          <w:rFonts w:hint="eastAsia" w:ascii="宋体" w:hAnsi="宋体"/>
          <w:b/>
          <w:sz w:val="24"/>
        </w:rPr>
        <w:t>采购需求</w:t>
      </w:r>
    </w:p>
    <w:p>
      <w:pPr>
        <w:pStyle w:val="12"/>
        <w:numPr>
          <w:ilvl w:val="0"/>
          <w:numId w:val="4"/>
        </w:numPr>
        <w:tabs>
          <w:tab w:val="left" w:pos="420"/>
        </w:tabs>
        <w:spacing w:line="360" w:lineRule="auto"/>
        <w:ind w:firstLine="482"/>
        <w:rPr>
          <w:rFonts w:ascii="宋体" w:hAnsi="宋体"/>
          <w:b/>
          <w:sz w:val="24"/>
        </w:rPr>
      </w:pPr>
      <w:r>
        <w:rPr>
          <w:rFonts w:hint="eastAsia" w:ascii="宋体" w:hAnsi="宋体"/>
          <w:b/>
          <w:sz w:val="24"/>
        </w:rPr>
        <w:t>项目工作范围和内容</w:t>
      </w:r>
    </w:p>
    <w:p>
      <w:pPr>
        <w:pStyle w:val="22"/>
        <w:spacing w:line="460" w:lineRule="exact"/>
        <w:ind w:firstLine="240" w:firstLineChars="100"/>
        <w:rPr>
          <w:rFonts w:ascii="宋体" w:hAnsi="宋体"/>
          <w:sz w:val="24"/>
        </w:rPr>
      </w:pPr>
      <w:r>
        <w:rPr>
          <w:rFonts w:hint="eastAsia" w:ascii="宋体" w:hAnsi="宋体"/>
          <w:sz w:val="24"/>
        </w:rPr>
        <w:t xml:space="preserve">  1、工作范围</w:t>
      </w:r>
    </w:p>
    <w:p>
      <w:pPr>
        <w:pStyle w:val="22"/>
        <w:spacing w:line="460" w:lineRule="exact"/>
        <w:ind w:firstLine="240" w:firstLineChars="100"/>
        <w:rPr>
          <w:rFonts w:ascii="宋体" w:hAnsi="宋体"/>
          <w:bCs/>
          <w:sz w:val="24"/>
        </w:rPr>
      </w:pPr>
      <w:r>
        <w:rPr>
          <w:rFonts w:hint="eastAsia" w:ascii="宋体" w:hAnsi="宋体"/>
          <w:bCs/>
          <w:sz w:val="24"/>
        </w:rPr>
        <w:t>（1）广州大学城内，我司承接维护保运的各类空调系统。</w:t>
      </w:r>
    </w:p>
    <w:p>
      <w:pPr>
        <w:pStyle w:val="22"/>
        <w:spacing w:line="460" w:lineRule="exact"/>
        <w:ind w:firstLine="240" w:firstLineChars="100"/>
        <w:rPr>
          <w:rFonts w:ascii="宋体" w:hAnsi="宋体"/>
          <w:bCs/>
          <w:sz w:val="24"/>
        </w:rPr>
      </w:pPr>
      <w:r>
        <w:rPr>
          <w:rFonts w:hint="eastAsia" w:ascii="宋体" w:hAnsi="宋体"/>
          <w:bCs/>
          <w:sz w:val="24"/>
        </w:rPr>
        <w:t>（2）设备类型括：以大学城区域供冷系统作为冷源的盘管风机、吊顶风柜、卧式水冷机组等空调系统末端（高度为5米以下）；少量独立分体空调。</w:t>
      </w:r>
    </w:p>
    <w:p>
      <w:pPr>
        <w:pStyle w:val="22"/>
        <w:spacing w:line="460" w:lineRule="exact"/>
        <w:ind w:firstLine="240" w:firstLineChars="100"/>
        <w:rPr>
          <w:rFonts w:ascii="宋体" w:hAnsi="宋体"/>
          <w:sz w:val="24"/>
        </w:rPr>
      </w:pPr>
      <w:r>
        <w:rPr>
          <w:rFonts w:hint="eastAsia" w:ascii="宋体" w:hAnsi="宋体"/>
          <w:sz w:val="24"/>
        </w:rPr>
        <w:t xml:space="preserve">  2、工作内容</w:t>
      </w:r>
    </w:p>
    <w:p>
      <w:pPr>
        <w:pStyle w:val="22"/>
        <w:spacing w:line="460" w:lineRule="exact"/>
        <w:ind w:firstLine="480" w:firstLineChars="200"/>
        <w:rPr>
          <w:rFonts w:ascii="宋体" w:hAnsi="宋体"/>
          <w:bCs/>
          <w:sz w:val="24"/>
        </w:rPr>
      </w:pPr>
      <w:r>
        <w:rPr>
          <w:rFonts w:hint="eastAsia" w:ascii="宋体" w:hAnsi="宋体"/>
          <w:bCs/>
          <w:sz w:val="24"/>
        </w:rPr>
        <w:t xml:space="preserve">空调风回路的清洁消毒：通过对空调风回路上的所有供回风口、空气滤网、换热器表面、冷凝水集排水系统等重点部位以及直接相关的空调机房环境的清洗、清洁、消毒，使空调风系统满足卫生防疫要求。    </w:t>
      </w:r>
    </w:p>
    <w:p>
      <w:pPr>
        <w:pStyle w:val="12"/>
        <w:numPr>
          <w:ilvl w:val="0"/>
          <w:numId w:val="4"/>
        </w:numPr>
        <w:tabs>
          <w:tab w:val="left" w:pos="420"/>
        </w:tabs>
        <w:spacing w:line="360" w:lineRule="auto"/>
        <w:ind w:firstLine="482"/>
        <w:rPr>
          <w:rFonts w:ascii="宋体" w:hAnsi="宋体"/>
          <w:b/>
          <w:sz w:val="24"/>
        </w:rPr>
      </w:pPr>
      <w:r>
        <w:rPr>
          <w:rFonts w:hint="eastAsia" w:ascii="宋体" w:hAnsi="宋体"/>
          <w:b/>
          <w:sz w:val="24"/>
        </w:rPr>
        <w:t>项目施工要求</w:t>
      </w:r>
    </w:p>
    <w:p>
      <w:pPr>
        <w:pStyle w:val="22"/>
        <w:spacing w:line="460" w:lineRule="exact"/>
        <w:ind w:firstLine="480" w:firstLineChars="200"/>
        <w:rPr>
          <w:rFonts w:ascii="宋体" w:hAnsi="宋体"/>
          <w:sz w:val="24"/>
        </w:rPr>
      </w:pPr>
      <w:r>
        <w:rPr>
          <w:rFonts w:hint="eastAsia" w:ascii="宋体" w:hAnsi="宋体"/>
          <w:sz w:val="24"/>
        </w:rPr>
        <w:t>1、按要求指派具有空调清洗经验的工人和技术管理人员，特殊要求的应持证上岗。并根据项目需要及现场情况加强施工人员培训，提高施工人员素质，提高施工质量，满足项目要求。</w:t>
      </w:r>
    </w:p>
    <w:p>
      <w:pPr>
        <w:pStyle w:val="22"/>
        <w:spacing w:line="460" w:lineRule="exact"/>
        <w:ind w:firstLine="480" w:firstLineChars="200"/>
        <w:rPr>
          <w:rFonts w:ascii="宋体" w:hAnsi="宋体"/>
          <w:sz w:val="24"/>
        </w:rPr>
      </w:pPr>
      <w:r>
        <w:rPr>
          <w:rFonts w:hint="eastAsia" w:ascii="宋体" w:hAnsi="宋体"/>
          <w:sz w:val="24"/>
        </w:rPr>
        <w:t>2、采用合理、先进的清洗设备，如清洗机、吸尘器等，提高清洗质量。</w:t>
      </w:r>
    </w:p>
    <w:p>
      <w:pPr>
        <w:pStyle w:val="22"/>
        <w:spacing w:line="460" w:lineRule="exact"/>
        <w:ind w:firstLine="480" w:firstLineChars="200"/>
        <w:rPr>
          <w:rFonts w:ascii="宋体" w:hAnsi="宋体"/>
          <w:sz w:val="24"/>
        </w:rPr>
      </w:pPr>
      <w:r>
        <w:rPr>
          <w:rFonts w:hint="eastAsia" w:ascii="宋体" w:hAnsi="宋体"/>
          <w:sz w:val="24"/>
        </w:rPr>
        <w:t>3、采用合格环保的清洗材料，避免或减少清洗消毒剂对设备及环境的损害。</w:t>
      </w:r>
    </w:p>
    <w:p>
      <w:pPr>
        <w:pStyle w:val="22"/>
        <w:spacing w:line="460" w:lineRule="exact"/>
        <w:ind w:firstLine="480" w:firstLineChars="200"/>
        <w:rPr>
          <w:rFonts w:ascii="宋体" w:hAnsi="宋体"/>
          <w:sz w:val="24"/>
        </w:rPr>
      </w:pPr>
      <w:r>
        <w:rPr>
          <w:rFonts w:hint="eastAsia" w:ascii="宋体" w:hAnsi="宋体"/>
          <w:sz w:val="24"/>
        </w:rPr>
        <w:t>4、编制清洗作业指导书，标准化作业流程，并记录每个工序结果，便于质量检查和责任追溯。</w:t>
      </w:r>
    </w:p>
    <w:p>
      <w:pPr>
        <w:pStyle w:val="12"/>
        <w:numPr>
          <w:ilvl w:val="0"/>
          <w:numId w:val="4"/>
        </w:numPr>
        <w:tabs>
          <w:tab w:val="left" w:pos="420"/>
        </w:tabs>
        <w:spacing w:line="360" w:lineRule="auto"/>
        <w:ind w:firstLine="482"/>
        <w:rPr>
          <w:rFonts w:ascii="宋体" w:hAnsi="宋体"/>
          <w:b/>
          <w:sz w:val="24"/>
        </w:rPr>
      </w:pPr>
      <w:r>
        <w:rPr>
          <w:rFonts w:hint="eastAsia" w:ascii="宋体" w:hAnsi="宋体"/>
          <w:b/>
          <w:sz w:val="24"/>
        </w:rPr>
        <w:t>工程量说明</w:t>
      </w:r>
    </w:p>
    <w:p>
      <w:pPr>
        <w:spacing w:line="460" w:lineRule="exact"/>
        <w:ind w:firstLine="480" w:firstLineChars="200"/>
        <w:rPr>
          <w:rFonts w:ascii="宋体" w:hAnsi="宋体"/>
          <w:bCs/>
          <w:sz w:val="24"/>
        </w:rPr>
      </w:pPr>
      <w:r>
        <w:rPr>
          <w:rFonts w:hint="eastAsia" w:ascii="宋体" w:hAnsi="宋体"/>
          <w:bCs/>
          <w:sz w:val="24"/>
        </w:rPr>
        <w:t>1、甲方根据现场情况分派清洗工作任务单，</w:t>
      </w:r>
      <w:r>
        <w:rPr>
          <w:rFonts w:hint="eastAsia" w:ascii="宋体" w:hAnsi="宋体"/>
          <w:sz w:val="24"/>
        </w:rPr>
        <w:t>施工</w:t>
      </w:r>
      <w:r>
        <w:rPr>
          <w:rFonts w:hint="eastAsia" w:ascii="宋体" w:hAnsi="宋体"/>
          <w:bCs/>
          <w:sz w:val="24"/>
        </w:rPr>
        <w:t>单位根据完成情况据实结算。</w:t>
      </w:r>
    </w:p>
    <w:p>
      <w:pPr>
        <w:numPr>
          <w:ilvl w:val="0"/>
          <w:numId w:val="5"/>
        </w:numPr>
        <w:spacing w:line="460" w:lineRule="exact"/>
        <w:ind w:firstLine="480" w:firstLineChars="200"/>
        <w:rPr>
          <w:rFonts w:ascii="宋体" w:hAnsi="宋体"/>
          <w:bCs/>
          <w:sz w:val="24"/>
        </w:rPr>
      </w:pPr>
      <w:r>
        <w:rPr>
          <w:rFonts w:hint="eastAsia" w:ascii="宋体" w:hAnsi="宋体"/>
          <w:bCs/>
          <w:sz w:val="24"/>
          <w:lang w:val="en-US" w:eastAsia="zh-CN"/>
        </w:rPr>
        <w:t>清洗</w:t>
      </w:r>
      <w:r>
        <w:rPr>
          <w:rFonts w:hint="eastAsia" w:ascii="宋体" w:hAnsi="宋体"/>
          <w:bCs/>
          <w:sz w:val="24"/>
        </w:rPr>
        <w:t>单位成立项目组，并指定专人管理，储备有充足的人力，根据委托方的工作任务单，在规定期限内对空调系统的进行清洗。</w:t>
      </w:r>
    </w:p>
    <w:p>
      <w:pPr>
        <w:numPr>
          <w:ilvl w:val="0"/>
          <w:numId w:val="5"/>
        </w:numPr>
        <w:spacing w:line="460" w:lineRule="exact"/>
        <w:ind w:firstLine="480" w:firstLineChars="200"/>
        <w:rPr>
          <w:rFonts w:ascii="宋体" w:hAnsi="宋体"/>
          <w:bCs/>
          <w:sz w:val="24"/>
        </w:rPr>
      </w:pPr>
      <w:r>
        <w:rPr>
          <w:rFonts w:hint="eastAsia" w:ascii="宋体" w:hAnsi="宋体"/>
          <w:bCs/>
          <w:sz w:val="24"/>
        </w:rPr>
        <w:t>确保项目范围内每台空调终端设备每年清洗消毒一次。</w:t>
      </w:r>
    </w:p>
    <w:p>
      <w:pPr>
        <w:widowControl/>
        <w:tabs>
          <w:tab w:val="left" w:pos="142"/>
          <w:tab w:val="left" w:pos="426"/>
          <w:tab w:val="left" w:pos="576"/>
        </w:tabs>
        <w:spacing w:line="460" w:lineRule="exact"/>
        <w:ind w:firstLine="480" w:firstLineChars="200"/>
        <w:jc w:val="left"/>
        <w:rPr>
          <w:rFonts w:ascii="宋体" w:hAnsi="宋体"/>
          <w:bCs/>
          <w:sz w:val="24"/>
        </w:rPr>
      </w:pPr>
      <w:r>
        <w:rPr>
          <w:rFonts w:hint="eastAsia" w:ascii="宋体" w:hAnsi="宋体"/>
          <w:bCs/>
          <w:sz w:val="24"/>
        </w:rPr>
        <w:t>4、每台空调设备的清洗应有记录，至少应包括清洗记录表、清洗过程照片等。记录的有效性应经空调用户及我司管理人员签字确认。</w:t>
      </w:r>
    </w:p>
    <w:p>
      <w:pPr>
        <w:adjustRightInd w:val="0"/>
        <w:snapToGrid w:val="0"/>
        <w:spacing w:line="460" w:lineRule="exact"/>
        <w:ind w:firstLine="480" w:firstLineChars="200"/>
        <w:textAlignment w:val="baseline"/>
        <w:rPr>
          <w:rFonts w:ascii="宋体" w:hAnsi="宋体"/>
          <w:sz w:val="24"/>
        </w:rPr>
      </w:pPr>
      <w:r>
        <w:rPr>
          <w:rFonts w:hint="eastAsia" w:ascii="宋体" w:hAnsi="宋体"/>
          <w:bCs/>
          <w:sz w:val="24"/>
        </w:rPr>
        <w:t>5、清洗单位应</w:t>
      </w:r>
      <w:r>
        <w:rPr>
          <w:rFonts w:hint="eastAsia" w:ascii="宋体" w:hAnsi="宋体"/>
          <w:sz w:val="24"/>
        </w:rPr>
        <w:t>配合校方做好防疫站等第三方卫生管理机构对于本项目范围内的空调系统卫生防疫情况进行检测，并及时对存在问题进行整改，确保检测结果达标。</w:t>
      </w:r>
    </w:p>
    <w:p>
      <w:pPr>
        <w:pStyle w:val="12"/>
        <w:numPr>
          <w:ilvl w:val="0"/>
          <w:numId w:val="4"/>
        </w:numPr>
        <w:tabs>
          <w:tab w:val="left" w:pos="420"/>
        </w:tabs>
        <w:spacing w:line="360" w:lineRule="auto"/>
        <w:ind w:firstLine="482"/>
        <w:rPr>
          <w:rFonts w:ascii="宋体" w:hAnsi="宋体"/>
          <w:b/>
          <w:sz w:val="24"/>
        </w:rPr>
      </w:pPr>
      <w:r>
        <w:rPr>
          <w:rFonts w:hint="eastAsia" w:ascii="宋体" w:hAnsi="宋体"/>
          <w:b/>
          <w:sz w:val="24"/>
        </w:rPr>
        <w:t>项目工期要求</w:t>
      </w:r>
    </w:p>
    <w:p>
      <w:pPr>
        <w:widowControl/>
        <w:tabs>
          <w:tab w:val="left" w:pos="142"/>
          <w:tab w:val="left" w:pos="426"/>
          <w:tab w:val="left" w:pos="576"/>
        </w:tabs>
        <w:spacing w:line="460" w:lineRule="exact"/>
        <w:ind w:firstLine="480" w:firstLineChars="200"/>
        <w:jc w:val="left"/>
        <w:rPr>
          <w:rFonts w:ascii="宋体" w:hAnsi="宋体"/>
          <w:sz w:val="24"/>
        </w:rPr>
      </w:pPr>
      <w:r>
        <w:rPr>
          <w:rFonts w:hint="eastAsia" w:ascii="宋体" w:hAnsi="宋体"/>
          <w:sz w:val="24"/>
        </w:rPr>
        <w:t>1、合同期限：暂定为202</w:t>
      </w:r>
      <w:r>
        <w:rPr>
          <w:rFonts w:hint="eastAsia" w:ascii="宋体" w:hAnsi="宋体"/>
          <w:sz w:val="24"/>
          <w:lang w:val="en-US" w:eastAsia="zh-CN"/>
        </w:rPr>
        <w:t>3</w:t>
      </w:r>
      <w:r>
        <w:rPr>
          <w:rFonts w:hint="eastAsia" w:ascii="宋体" w:hAnsi="宋体"/>
          <w:sz w:val="24"/>
        </w:rPr>
        <w:t>年 1月1日 至202</w:t>
      </w:r>
      <w:r>
        <w:rPr>
          <w:rFonts w:hint="eastAsia" w:ascii="宋体" w:hAnsi="宋体"/>
          <w:sz w:val="24"/>
          <w:lang w:val="en-US" w:eastAsia="zh-CN"/>
        </w:rPr>
        <w:t>4</w:t>
      </w:r>
      <w:r>
        <w:rPr>
          <w:rFonts w:hint="eastAsia" w:ascii="宋体" w:hAnsi="宋体"/>
          <w:sz w:val="24"/>
        </w:rPr>
        <w:t>年12月31日止（具体以实际签订合同为准），共2年。</w:t>
      </w:r>
    </w:p>
    <w:p>
      <w:pPr>
        <w:spacing w:line="460" w:lineRule="exact"/>
        <w:rPr>
          <w:rFonts w:ascii="宋体" w:hAnsi="宋体"/>
          <w:sz w:val="24"/>
        </w:rPr>
      </w:pPr>
      <w:r>
        <w:rPr>
          <w:rFonts w:hint="eastAsia" w:ascii="宋体" w:hAnsi="宋体"/>
          <w:sz w:val="24"/>
        </w:rPr>
        <w:t xml:space="preserve">    2、清洗工期安排：空调清洗作业一般安排于每年的非供冷季节（暑期及寒假或其它间歇期），原则上应在供冷开始前完成清洗任务，具体以甲方指令为准。</w:t>
      </w:r>
    </w:p>
    <w:p>
      <w:pPr>
        <w:pStyle w:val="12"/>
        <w:numPr>
          <w:ilvl w:val="0"/>
          <w:numId w:val="4"/>
        </w:numPr>
        <w:tabs>
          <w:tab w:val="left" w:pos="420"/>
        </w:tabs>
        <w:spacing w:line="360" w:lineRule="auto"/>
        <w:ind w:firstLine="482"/>
        <w:rPr>
          <w:rFonts w:ascii="宋体" w:hAnsi="宋体"/>
          <w:b/>
          <w:sz w:val="24"/>
        </w:rPr>
      </w:pPr>
      <w:r>
        <w:rPr>
          <w:rFonts w:hint="eastAsia" w:ascii="宋体" w:hAnsi="宋体"/>
          <w:b/>
          <w:sz w:val="24"/>
        </w:rPr>
        <w:t>人员要求</w:t>
      </w:r>
    </w:p>
    <w:p>
      <w:pPr>
        <w:widowControl/>
        <w:tabs>
          <w:tab w:val="left" w:pos="0"/>
          <w:tab w:val="left" w:pos="142"/>
          <w:tab w:val="left" w:pos="576"/>
        </w:tabs>
        <w:spacing w:line="460" w:lineRule="exact"/>
        <w:ind w:firstLine="566" w:firstLineChars="236"/>
        <w:jc w:val="left"/>
        <w:rPr>
          <w:rFonts w:ascii="宋体" w:hAnsi="宋体"/>
          <w:bCs/>
          <w:sz w:val="24"/>
        </w:rPr>
      </w:pPr>
      <w:r>
        <w:rPr>
          <w:rFonts w:hint="eastAsia" w:ascii="宋体" w:hAnsi="宋体"/>
          <w:bCs/>
          <w:sz w:val="24"/>
        </w:rPr>
        <w:t>1、</w:t>
      </w:r>
      <w:r>
        <w:rPr>
          <w:rFonts w:hint="eastAsia" w:ascii="宋体" w:hAnsi="宋体"/>
          <w:sz w:val="24"/>
        </w:rPr>
        <w:t>施工</w:t>
      </w:r>
      <w:r>
        <w:rPr>
          <w:rFonts w:hint="eastAsia" w:ascii="宋体" w:hAnsi="宋体"/>
          <w:bCs/>
          <w:sz w:val="24"/>
        </w:rPr>
        <w:t>单位必须提供完整的服务组织架构，主要技术与安全管理人员必须配置到位。</w:t>
      </w:r>
    </w:p>
    <w:p>
      <w:pPr>
        <w:widowControl/>
        <w:tabs>
          <w:tab w:val="left" w:pos="142"/>
          <w:tab w:val="left" w:pos="426"/>
          <w:tab w:val="left" w:pos="576"/>
        </w:tabs>
        <w:spacing w:line="460" w:lineRule="exact"/>
        <w:ind w:firstLine="480" w:firstLineChars="200"/>
        <w:jc w:val="left"/>
        <w:rPr>
          <w:rFonts w:ascii="宋体" w:hAnsi="宋体"/>
          <w:bCs/>
          <w:sz w:val="24"/>
        </w:rPr>
      </w:pPr>
      <w:r>
        <w:rPr>
          <w:rFonts w:hint="eastAsia" w:ascii="宋体" w:hAnsi="宋体"/>
          <w:bCs/>
          <w:sz w:val="24"/>
        </w:rPr>
        <w:t>2、现场工作负责人应持有有相关安全管理资格证书。作业工人应具有空调清洗经验、高空作业经验，且进场前全部人员应进行技术安全培训教育。</w:t>
      </w:r>
    </w:p>
    <w:p>
      <w:pPr>
        <w:widowControl/>
        <w:tabs>
          <w:tab w:val="left" w:pos="142"/>
          <w:tab w:val="left" w:pos="426"/>
          <w:tab w:val="left" w:pos="576"/>
        </w:tabs>
        <w:spacing w:line="460" w:lineRule="exact"/>
        <w:ind w:firstLine="482" w:firstLineChars="200"/>
        <w:jc w:val="left"/>
        <w:rPr>
          <w:rFonts w:ascii="宋体" w:hAnsi="宋体"/>
          <w:b/>
          <w:bCs/>
          <w:color w:val="FF0000"/>
          <w:sz w:val="24"/>
        </w:rPr>
      </w:pPr>
      <w:r>
        <w:rPr>
          <w:rFonts w:hint="eastAsia" w:ascii="宋体" w:hAnsi="宋体"/>
          <w:b/>
          <w:bCs/>
          <w:color w:val="FF0000"/>
          <w:sz w:val="24"/>
        </w:rPr>
        <w:t>3、必须于投标文件中明确管理组织架构方案及提供主要技术与安全管理人员资格证书，实施过程中人员如有改变，应及时通知发包方管理人员。</w:t>
      </w:r>
    </w:p>
    <w:p>
      <w:pPr>
        <w:pStyle w:val="12"/>
        <w:numPr>
          <w:ilvl w:val="0"/>
          <w:numId w:val="4"/>
        </w:numPr>
        <w:tabs>
          <w:tab w:val="left" w:pos="420"/>
        </w:tabs>
        <w:spacing w:line="360" w:lineRule="auto"/>
        <w:ind w:firstLine="482"/>
        <w:rPr>
          <w:rFonts w:ascii="宋体" w:hAnsi="宋体"/>
          <w:b/>
          <w:sz w:val="24"/>
        </w:rPr>
      </w:pPr>
      <w:r>
        <w:rPr>
          <w:rFonts w:hint="eastAsia" w:ascii="宋体" w:hAnsi="宋体"/>
          <w:b/>
          <w:sz w:val="24"/>
        </w:rPr>
        <w:t>场地及工具配备</w:t>
      </w:r>
    </w:p>
    <w:p>
      <w:pPr>
        <w:spacing w:before="156" w:line="460" w:lineRule="exact"/>
        <w:ind w:firstLine="480" w:firstLineChars="200"/>
        <w:rPr>
          <w:sz w:val="24"/>
        </w:rPr>
      </w:pPr>
      <w:r>
        <w:rPr>
          <w:rFonts w:hint="eastAsia" w:ascii="宋体" w:hAnsi="宋体"/>
          <w:bCs/>
          <w:sz w:val="24"/>
          <w:szCs w:val="21"/>
        </w:rPr>
        <w:t>1</w:t>
      </w:r>
      <w:r>
        <w:rPr>
          <w:rFonts w:hint="eastAsia"/>
          <w:sz w:val="24"/>
        </w:rPr>
        <w:t>、校方提供工具放置场地。</w:t>
      </w:r>
    </w:p>
    <w:p>
      <w:pPr>
        <w:widowControl/>
        <w:tabs>
          <w:tab w:val="left" w:pos="142"/>
          <w:tab w:val="left" w:pos="426"/>
          <w:tab w:val="left" w:pos="576"/>
        </w:tabs>
        <w:spacing w:line="460" w:lineRule="exact"/>
        <w:jc w:val="left"/>
        <w:rPr>
          <w:sz w:val="24"/>
        </w:rPr>
      </w:pPr>
      <w:r>
        <w:rPr>
          <w:rFonts w:hint="eastAsia"/>
          <w:sz w:val="24"/>
        </w:rPr>
        <w:t xml:space="preserve">    2、</w:t>
      </w:r>
      <w:r>
        <w:rPr>
          <w:rFonts w:hint="eastAsia" w:ascii="宋体" w:hAnsi="宋体"/>
          <w:sz w:val="24"/>
          <w:lang w:val="en-US" w:eastAsia="zh-CN"/>
        </w:rPr>
        <w:t>服务</w:t>
      </w:r>
      <w:r>
        <w:rPr>
          <w:rFonts w:hint="eastAsia"/>
          <w:sz w:val="24"/>
        </w:rPr>
        <w:t>单位需自行配置清洗作业所需所有专业工具、劳保用品、清洗消毒药剂、耗材等。</w:t>
      </w:r>
    </w:p>
    <w:p>
      <w:pPr>
        <w:widowControl/>
        <w:tabs>
          <w:tab w:val="left" w:pos="142"/>
          <w:tab w:val="left" w:pos="426"/>
          <w:tab w:val="left" w:pos="576"/>
        </w:tabs>
        <w:spacing w:line="460" w:lineRule="exact"/>
        <w:jc w:val="left"/>
        <w:rPr>
          <w:sz w:val="24"/>
        </w:rPr>
      </w:pPr>
      <w:r>
        <w:rPr>
          <w:rFonts w:hint="eastAsia"/>
          <w:sz w:val="24"/>
        </w:rPr>
        <w:t xml:space="preserve">    3、</w:t>
      </w:r>
      <w:r>
        <w:rPr>
          <w:rFonts w:hint="eastAsia" w:ascii="宋体" w:hAnsi="宋体"/>
          <w:sz w:val="24"/>
          <w:lang w:val="en-US" w:eastAsia="zh-CN"/>
        </w:rPr>
        <w:t>服务</w:t>
      </w:r>
      <w:r>
        <w:rPr>
          <w:rFonts w:hint="eastAsia"/>
          <w:sz w:val="24"/>
        </w:rPr>
        <w:t>单位提供服务所需的其他一切条件由</w:t>
      </w:r>
      <w:r>
        <w:rPr>
          <w:rFonts w:hint="eastAsia"/>
          <w:sz w:val="24"/>
          <w:lang w:val="en-US" w:eastAsia="zh-CN"/>
        </w:rPr>
        <w:t>服务单位</w:t>
      </w:r>
      <w:r>
        <w:rPr>
          <w:rFonts w:hint="eastAsia"/>
          <w:sz w:val="24"/>
        </w:rPr>
        <w:t>自行负责。</w:t>
      </w:r>
      <w:bookmarkStart w:id="0" w:name="_Toc419879551"/>
    </w:p>
    <w:p>
      <w:pPr>
        <w:pStyle w:val="12"/>
        <w:numPr>
          <w:ilvl w:val="0"/>
          <w:numId w:val="4"/>
        </w:numPr>
        <w:tabs>
          <w:tab w:val="left" w:pos="420"/>
        </w:tabs>
        <w:spacing w:line="360" w:lineRule="auto"/>
        <w:ind w:firstLine="482"/>
        <w:rPr>
          <w:rFonts w:ascii="宋体" w:hAnsi="宋体"/>
          <w:b/>
          <w:sz w:val="24"/>
        </w:rPr>
      </w:pPr>
      <w:r>
        <w:rPr>
          <w:rFonts w:hint="eastAsia" w:ascii="宋体" w:hAnsi="宋体"/>
          <w:b/>
          <w:sz w:val="24"/>
        </w:rPr>
        <w:t>作业安全</w:t>
      </w:r>
      <w:bookmarkEnd w:id="0"/>
      <w:r>
        <w:rPr>
          <w:rFonts w:hint="eastAsia" w:ascii="宋体" w:hAnsi="宋体"/>
          <w:b/>
          <w:sz w:val="24"/>
        </w:rPr>
        <w:t>要求</w:t>
      </w:r>
    </w:p>
    <w:p>
      <w:pPr>
        <w:adjustRightInd w:val="0"/>
        <w:snapToGrid w:val="0"/>
        <w:spacing w:line="460" w:lineRule="exact"/>
        <w:ind w:firstLine="480" w:firstLineChars="200"/>
        <w:textAlignment w:val="baseline"/>
        <w:rPr>
          <w:rFonts w:ascii="宋体" w:hAnsi="宋体"/>
          <w:sz w:val="24"/>
        </w:rPr>
      </w:pPr>
      <w:r>
        <w:rPr>
          <w:rFonts w:hint="eastAsia" w:ascii="宋体" w:hAnsi="宋体"/>
          <w:sz w:val="24"/>
        </w:rPr>
        <w:t>1、指定专人为项目安全责任人，全面负责本项目安全生产管理工作，逐级落实安全生产责任制。</w:t>
      </w:r>
    </w:p>
    <w:p>
      <w:pPr>
        <w:adjustRightInd w:val="0"/>
        <w:snapToGrid w:val="0"/>
        <w:spacing w:line="460" w:lineRule="exact"/>
        <w:ind w:firstLine="480" w:firstLineChars="200"/>
        <w:textAlignment w:val="baseline"/>
        <w:rPr>
          <w:rFonts w:ascii="宋体" w:hAnsi="宋体"/>
          <w:sz w:val="24"/>
        </w:rPr>
      </w:pPr>
      <w:r>
        <w:rPr>
          <w:rFonts w:hint="eastAsia" w:ascii="宋体" w:hAnsi="宋体"/>
          <w:sz w:val="24"/>
        </w:rPr>
        <w:t>2、为生产安全管理配备充足的资源，包括费用、劳保用品、采购合格安全的工器具等，如可靠的梯子、安全带等。并采取措施确保所有劳保用品、安全用具处于良好状态。</w:t>
      </w:r>
    </w:p>
    <w:p>
      <w:pPr>
        <w:adjustRightInd w:val="0"/>
        <w:snapToGrid w:val="0"/>
        <w:spacing w:line="460" w:lineRule="exact"/>
        <w:ind w:firstLine="480" w:firstLineChars="200"/>
        <w:textAlignment w:val="baseline"/>
        <w:rPr>
          <w:rFonts w:ascii="宋体" w:hAnsi="宋体"/>
          <w:sz w:val="24"/>
        </w:rPr>
      </w:pPr>
      <w:r>
        <w:rPr>
          <w:rFonts w:hint="eastAsia" w:ascii="宋体" w:hAnsi="宋体"/>
          <w:sz w:val="24"/>
        </w:rPr>
        <w:t>3、制定并严格执行高空作业规程，正确使用安全带等劳保用品，确保作业过程安全。</w:t>
      </w:r>
    </w:p>
    <w:p>
      <w:pPr>
        <w:adjustRightInd w:val="0"/>
        <w:snapToGrid w:val="0"/>
        <w:spacing w:line="460" w:lineRule="exact"/>
        <w:ind w:firstLine="480" w:firstLineChars="200"/>
        <w:textAlignment w:val="baseline"/>
        <w:rPr>
          <w:rFonts w:ascii="宋体" w:hAnsi="宋体"/>
          <w:sz w:val="24"/>
        </w:rPr>
      </w:pPr>
      <w:r>
        <w:rPr>
          <w:rFonts w:hint="eastAsia" w:ascii="宋体" w:hAnsi="宋体"/>
          <w:sz w:val="24"/>
        </w:rPr>
        <w:t>4、加强人员特别是特殊工种工作人员的资质管理，确保所有服务人员持证上岗，根据岗位情况开展培训考核，确保胜任本职岗位，并采取适当措施保证操作人员的精神状况。</w:t>
      </w:r>
    </w:p>
    <w:p>
      <w:pPr>
        <w:adjustRightInd w:val="0"/>
        <w:snapToGrid w:val="0"/>
        <w:spacing w:line="460" w:lineRule="exact"/>
        <w:ind w:firstLine="480" w:firstLineChars="200"/>
        <w:textAlignment w:val="baseline"/>
        <w:rPr>
          <w:rFonts w:ascii="宋体" w:hAnsi="宋体"/>
          <w:sz w:val="24"/>
        </w:rPr>
      </w:pPr>
      <w:r>
        <w:rPr>
          <w:rFonts w:hint="eastAsia" w:ascii="宋体" w:hAnsi="宋体"/>
          <w:sz w:val="24"/>
        </w:rPr>
        <w:t>5、针对现场情况特点定期或者不定期开展各种形式的安全培训教育，普及安全知识，强化安全知识。</w:t>
      </w:r>
    </w:p>
    <w:p>
      <w:pPr>
        <w:adjustRightInd w:val="0"/>
        <w:snapToGrid w:val="0"/>
        <w:spacing w:line="460" w:lineRule="exact"/>
        <w:ind w:firstLine="480" w:firstLineChars="200"/>
        <w:textAlignment w:val="baseline"/>
        <w:rPr>
          <w:rFonts w:ascii="宋体" w:hAnsi="宋体"/>
          <w:sz w:val="24"/>
        </w:rPr>
      </w:pPr>
      <w:r>
        <w:rPr>
          <w:rFonts w:hint="eastAsia" w:ascii="宋体" w:hAnsi="宋体"/>
          <w:sz w:val="24"/>
        </w:rPr>
        <w:t>6、针对现场可能发生的应急情况，制定的相关应急预案，主要预案应包括：触电事故应急处理预案、火灾事故应急处理预案、外伤急救措施等。</w:t>
      </w:r>
    </w:p>
    <w:p>
      <w:pPr>
        <w:pStyle w:val="12"/>
        <w:numPr>
          <w:ilvl w:val="0"/>
          <w:numId w:val="1"/>
        </w:numPr>
        <w:spacing w:line="360" w:lineRule="auto"/>
        <w:ind w:left="0" w:firstLine="482"/>
        <w:rPr>
          <w:rFonts w:ascii="宋体" w:hAnsi="宋体"/>
          <w:b/>
          <w:sz w:val="24"/>
        </w:rPr>
      </w:pPr>
      <w:r>
        <w:rPr>
          <w:rFonts w:hint="eastAsia" w:ascii="宋体" w:hAnsi="宋体"/>
          <w:b/>
          <w:sz w:val="24"/>
        </w:rPr>
        <w:t>费用、支付方式</w:t>
      </w:r>
    </w:p>
    <w:p>
      <w:pPr>
        <w:pStyle w:val="12"/>
        <w:numPr>
          <w:ilvl w:val="0"/>
          <w:numId w:val="6"/>
        </w:numPr>
        <w:tabs>
          <w:tab w:val="left" w:pos="420"/>
        </w:tabs>
        <w:spacing w:line="360" w:lineRule="auto"/>
        <w:ind w:firstLine="480"/>
        <w:rPr>
          <w:rFonts w:ascii="宋体" w:hAnsi="宋体"/>
          <w:sz w:val="24"/>
        </w:rPr>
      </w:pPr>
      <w:r>
        <w:rPr>
          <w:rFonts w:hint="eastAsia" w:ascii="宋体" w:hAnsi="宋体"/>
          <w:sz w:val="24"/>
        </w:rPr>
        <w:t>本工程综合单价</w:t>
      </w:r>
      <w:r>
        <w:rPr>
          <w:rFonts w:ascii="宋体" w:hAnsi="宋体"/>
          <w:sz w:val="24"/>
        </w:rPr>
        <w:t>包干，</w:t>
      </w:r>
      <w:r>
        <w:rPr>
          <w:rFonts w:hint="eastAsia" w:ascii="宋体" w:hAnsi="宋体"/>
          <w:sz w:val="24"/>
        </w:rPr>
        <w:t>包工、包料、包工期、包质量、包安全、包安全文明施工、包措施和</w:t>
      </w:r>
      <w:r>
        <w:rPr>
          <w:rFonts w:hint="default" w:ascii="宋体" w:hAnsi="宋体"/>
          <w:sz w:val="24"/>
          <w:lang w:val="en-US"/>
        </w:rPr>
        <w:t>税费</w:t>
      </w:r>
      <w:r>
        <w:rPr>
          <w:rFonts w:hint="eastAsia" w:ascii="宋体" w:hAnsi="宋体"/>
          <w:sz w:val="24"/>
        </w:rPr>
        <w:t>等完成本项目的全部费用。按竞选文件、图纸及询价过程中所发文件固定综合单价包干</w:t>
      </w:r>
      <w:r>
        <w:rPr>
          <w:rFonts w:ascii="宋体" w:hAnsi="宋体"/>
          <w:sz w:val="24"/>
        </w:rPr>
        <w:t>。</w:t>
      </w:r>
    </w:p>
    <w:p>
      <w:pPr>
        <w:pStyle w:val="12"/>
        <w:numPr>
          <w:ilvl w:val="0"/>
          <w:numId w:val="6"/>
        </w:numPr>
        <w:tabs>
          <w:tab w:val="left" w:pos="420"/>
        </w:tabs>
        <w:spacing w:line="360" w:lineRule="auto"/>
        <w:ind w:firstLine="480"/>
        <w:rPr>
          <w:rFonts w:ascii="宋体" w:hAnsi="宋体"/>
          <w:sz w:val="24"/>
        </w:rPr>
      </w:pPr>
      <w:r>
        <w:rPr>
          <w:rFonts w:hint="eastAsia" w:ascii="宋体" w:hAnsi="宋体"/>
          <w:sz w:val="24"/>
        </w:rPr>
        <w:t>付款方式</w:t>
      </w:r>
    </w:p>
    <w:p>
      <w:pPr>
        <w:spacing w:line="360" w:lineRule="auto"/>
        <w:ind w:firstLine="480" w:firstLineChars="200"/>
        <w:rPr>
          <w:rFonts w:ascii="宋体" w:hAnsi="宋体" w:cs="Arial"/>
          <w:color w:val="000000"/>
          <w:sz w:val="28"/>
          <w:szCs w:val="28"/>
        </w:rPr>
      </w:pPr>
      <w:r>
        <w:rPr>
          <w:rFonts w:hint="eastAsia" w:ascii="宋体" w:hAnsi="宋体" w:cstheme="minorBidi"/>
          <w:sz w:val="24"/>
          <w:szCs w:val="24"/>
        </w:rPr>
        <w:t>清洗费用按季度结算，乙方在次季度的第一个月内凭经甲方验收合格的验收单、经甲方确认的实际完成工程量办理结算，按甲方规定申请上一季度的结算费用，费用经甲方审核确认后15日内支付。</w:t>
      </w:r>
      <w:r>
        <w:rPr>
          <w:rFonts w:hint="eastAsia" w:ascii="宋体" w:hAnsi="宋体"/>
          <w:sz w:val="24"/>
        </w:rPr>
        <w:t>支付方式为凭增值税专用发票通过银行转帐或支票支付。</w:t>
      </w:r>
    </w:p>
    <w:p>
      <w:pPr>
        <w:pStyle w:val="12"/>
        <w:numPr>
          <w:ilvl w:val="0"/>
          <w:numId w:val="1"/>
        </w:numPr>
        <w:spacing w:line="360" w:lineRule="auto"/>
        <w:ind w:left="0" w:firstLine="482"/>
        <w:rPr>
          <w:rFonts w:ascii="宋体" w:hAnsi="宋体"/>
          <w:b/>
          <w:sz w:val="24"/>
        </w:rPr>
      </w:pPr>
      <w:r>
        <w:rPr>
          <w:rFonts w:hint="eastAsia" w:ascii="宋体" w:hAnsi="宋体"/>
          <w:b/>
          <w:sz w:val="24"/>
        </w:rPr>
        <w:t>投标文件</w:t>
      </w:r>
    </w:p>
    <w:p>
      <w:pPr>
        <w:pStyle w:val="12"/>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pPr>
        <w:pStyle w:val="12"/>
        <w:numPr>
          <w:ilvl w:val="0"/>
          <w:numId w:val="7"/>
        </w:numPr>
        <w:spacing w:line="360" w:lineRule="auto"/>
        <w:ind w:firstLine="480"/>
        <w:rPr>
          <w:rFonts w:ascii="宋体" w:hAnsi="宋体"/>
          <w:sz w:val="24"/>
        </w:rPr>
      </w:pPr>
      <w:r>
        <w:rPr>
          <w:rFonts w:hint="eastAsia" w:ascii="宋体" w:hAnsi="宋体"/>
          <w:sz w:val="24"/>
        </w:rPr>
        <w:t>价格文件（格式见附件1，加盖公章）</w:t>
      </w:r>
    </w:p>
    <w:p>
      <w:pPr>
        <w:numPr>
          <w:ilvl w:val="0"/>
          <w:numId w:val="8"/>
        </w:numPr>
        <w:spacing w:line="360" w:lineRule="auto"/>
        <w:ind w:firstLine="480"/>
        <w:rPr>
          <w:rFonts w:ascii="宋体" w:hAnsi="宋体"/>
          <w:sz w:val="24"/>
        </w:rPr>
      </w:pPr>
      <w:r>
        <w:rPr>
          <w:rFonts w:hint="eastAsia" w:ascii="宋体" w:hAnsi="宋体"/>
          <w:sz w:val="24"/>
        </w:rPr>
        <w:t>报价明细表</w:t>
      </w:r>
    </w:p>
    <w:p>
      <w:pPr>
        <w:pStyle w:val="12"/>
        <w:numPr>
          <w:ilvl w:val="0"/>
          <w:numId w:val="7"/>
        </w:numPr>
        <w:spacing w:line="360" w:lineRule="auto"/>
        <w:ind w:firstLine="480"/>
        <w:rPr>
          <w:rFonts w:ascii="宋体" w:hAnsi="宋体"/>
          <w:sz w:val="24"/>
        </w:rPr>
      </w:pPr>
      <w:r>
        <w:rPr>
          <w:rFonts w:hint="eastAsia" w:ascii="宋体" w:hAnsi="宋体"/>
          <w:sz w:val="24"/>
        </w:rPr>
        <w:t>商务部分</w:t>
      </w:r>
    </w:p>
    <w:p>
      <w:pPr>
        <w:numPr>
          <w:ilvl w:val="0"/>
          <w:numId w:val="9"/>
        </w:numPr>
        <w:spacing w:line="360" w:lineRule="auto"/>
        <w:ind w:firstLine="480"/>
        <w:rPr>
          <w:rFonts w:ascii="宋体" w:hAnsi="宋体"/>
          <w:sz w:val="24"/>
        </w:rPr>
      </w:pPr>
      <w:r>
        <w:rPr>
          <w:rFonts w:hint="eastAsia" w:ascii="宋体" w:hAnsi="宋体"/>
          <w:sz w:val="24"/>
        </w:rPr>
        <w:t>有效的企业工商营业执照、企业法人组织机构代码证书、税务登记证书（或三证合一）；</w:t>
      </w:r>
    </w:p>
    <w:p>
      <w:pPr>
        <w:numPr>
          <w:ilvl w:val="0"/>
          <w:numId w:val="9"/>
        </w:numPr>
        <w:spacing w:line="360" w:lineRule="auto"/>
        <w:ind w:firstLine="480"/>
        <w:rPr>
          <w:rFonts w:ascii="宋体" w:hAnsi="宋体"/>
          <w:sz w:val="24"/>
        </w:rPr>
      </w:pPr>
      <w:r>
        <w:rPr>
          <w:rFonts w:hint="eastAsia" w:ascii="宋体" w:hAnsi="宋体"/>
          <w:sz w:val="24"/>
        </w:rPr>
        <w:t>供应商调查表（格式见附件2）</w:t>
      </w:r>
    </w:p>
    <w:p>
      <w:pPr>
        <w:numPr>
          <w:ilvl w:val="0"/>
          <w:numId w:val="9"/>
        </w:numPr>
        <w:spacing w:line="360" w:lineRule="auto"/>
        <w:ind w:firstLine="480"/>
        <w:rPr>
          <w:rFonts w:ascii="宋体" w:hAnsi="宋体"/>
          <w:sz w:val="24"/>
        </w:rPr>
      </w:pPr>
      <w:r>
        <w:rPr>
          <w:rFonts w:hint="eastAsia" w:ascii="宋体" w:hAnsi="宋体"/>
          <w:sz w:val="24"/>
        </w:rPr>
        <w:t>法定代表人证明书、法定代表人授权委托书原件（格式见附件3和附件4）；</w:t>
      </w:r>
    </w:p>
    <w:p>
      <w:pPr>
        <w:numPr>
          <w:ilvl w:val="0"/>
          <w:numId w:val="9"/>
        </w:numPr>
        <w:spacing w:line="360" w:lineRule="auto"/>
        <w:ind w:firstLine="480"/>
        <w:rPr>
          <w:rFonts w:ascii="宋体" w:hAnsi="宋体"/>
          <w:sz w:val="24"/>
        </w:rPr>
      </w:pPr>
      <w:r>
        <w:rPr>
          <w:rFonts w:hint="eastAsia" w:ascii="宋体" w:hAnsi="宋体"/>
          <w:sz w:val="24"/>
        </w:rPr>
        <w:t>本项目拟派项目负责人简历表</w:t>
      </w:r>
      <w:r>
        <w:rPr>
          <w:rFonts w:ascii="宋体" w:hAnsi="宋体"/>
          <w:sz w:val="24"/>
        </w:rPr>
        <w:t>（包括姓名、部门和职务、</w:t>
      </w:r>
      <w:r>
        <w:rPr>
          <w:rFonts w:hint="eastAsia" w:ascii="宋体" w:hAnsi="宋体"/>
          <w:sz w:val="24"/>
        </w:rPr>
        <w:t>所学专业和</w:t>
      </w:r>
      <w:r>
        <w:rPr>
          <w:rFonts w:ascii="宋体" w:hAnsi="宋体"/>
          <w:sz w:val="24"/>
        </w:rPr>
        <w:t>毕业</w:t>
      </w:r>
      <w:r>
        <w:rPr>
          <w:rFonts w:hint="eastAsia" w:ascii="宋体" w:hAnsi="宋体"/>
          <w:sz w:val="24"/>
        </w:rPr>
        <w:t>院校名称及毕业</w:t>
      </w:r>
      <w:r>
        <w:rPr>
          <w:rFonts w:ascii="宋体" w:hAnsi="宋体"/>
          <w:sz w:val="24"/>
        </w:rPr>
        <w:t>时间、主要资历、经验及承担过的</w:t>
      </w:r>
      <w:r>
        <w:rPr>
          <w:rFonts w:hint="eastAsia" w:ascii="宋体" w:hAnsi="宋体"/>
          <w:sz w:val="24"/>
        </w:rPr>
        <w:t>类似</w:t>
      </w:r>
      <w:r>
        <w:rPr>
          <w:rFonts w:ascii="宋体" w:hAnsi="宋体"/>
          <w:sz w:val="24"/>
        </w:rPr>
        <w:t>项目</w:t>
      </w:r>
      <w:r>
        <w:rPr>
          <w:rFonts w:hint="eastAsia" w:ascii="宋体" w:hAnsi="宋体"/>
          <w:sz w:val="24"/>
        </w:rPr>
        <w:t>，</w:t>
      </w:r>
      <w:r>
        <w:rPr>
          <w:rFonts w:ascii="宋体" w:hAnsi="宋体"/>
          <w:sz w:val="24"/>
        </w:rPr>
        <w:t>获得认证资质证书</w:t>
      </w:r>
      <w:r>
        <w:rPr>
          <w:rFonts w:hint="eastAsia" w:ascii="宋体" w:hAnsi="宋体"/>
          <w:sz w:val="24"/>
        </w:rPr>
        <w:t>及复印件</w:t>
      </w:r>
      <w:r>
        <w:rPr>
          <w:rFonts w:ascii="宋体" w:hAnsi="宋体"/>
          <w:sz w:val="24"/>
        </w:rPr>
        <w:t>）</w:t>
      </w:r>
      <w:r>
        <w:rPr>
          <w:rFonts w:hint="eastAsia" w:ascii="宋体" w:hAnsi="宋体"/>
          <w:sz w:val="24"/>
        </w:rPr>
        <w:t>；</w:t>
      </w:r>
    </w:p>
    <w:p>
      <w:pPr>
        <w:numPr>
          <w:ilvl w:val="0"/>
          <w:numId w:val="9"/>
        </w:numPr>
        <w:spacing w:line="360" w:lineRule="auto"/>
        <w:ind w:firstLine="480"/>
        <w:rPr>
          <w:rFonts w:ascii="宋体" w:hAnsi="宋体"/>
          <w:sz w:val="24"/>
        </w:rPr>
      </w:pPr>
      <w:r>
        <w:rPr>
          <w:rFonts w:hint="eastAsia" w:ascii="宋体" w:hAnsi="宋体"/>
          <w:sz w:val="24"/>
        </w:rPr>
        <w:t>近</w:t>
      </w:r>
      <w:r>
        <w:rPr>
          <w:rFonts w:ascii="宋体" w:hAnsi="宋体"/>
          <w:sz w:val="24"/>
        </w:rPr>
        <w:t>3年内(201</w:t>
      </w:r>
      <w:r>
        <w:rPr>
          <w:rFonts w:hint="eastAsia" w:ascii="宋体" w:hAnsi="宋体"/>
          <w:sz w:val="24"/>
          <w:lang w:val="en-US" w:eastAsia="zh-CN"/>
        </w:rPr>
        <w:t>9</w:t>
      </w:r>
      <w:r>
        <w:rPr>
          <w:rFonts w:hint="eastAsia" w:ascii="宋体" w:hAnsi="宋体"/>
          <w:sz w:val="24"/>
        </w:rPr>
        <w:t>年1月1日至今)</w:t>
      </w:r>
      <w:r>
        <w:rPr>
          <w:rFonts w:ascii="宋体" w:hAnsi="宋体"/>
          <w:sz w:val="24"/>
        </w:rPr>
        <w:t xml:space="preserve"> </w:t>
      </w:r>
      <w:r>
        <w:rPr>
          <w:rFonts w:hint="eastAsia" w:ascii="宋体" w:hAnsi="宋体"/>
          <w:sz w:val="24"/>
        </w:rPr>
        <w:t>完成过质量合格的类似项目业绩（需提供合同和验收报告等相关证明材料复印件）；</w:t>
      </w:r>
    </w:p>
    <w:p>
      <w:pPr>
        <w:pStyle w:val="12"/>
        <w:numPr>
          <w:ilvl w:val="0"/>
          <w:numId w:val="7"/>
        </w:numPr>
        <w:spacing w:line="360" w:lineRule="auto"/>
        <w:ind w:firstLine="480"/>
        <w:rPr>
          <w:rFonts w:ascii="宋体" w:hAnsi="宋体"/>
          <w:sz w:val="24"/>
        </w:rPr>
      </w:pPr>
      <w:r>
        <w:rPr>
          <w:rFonts w:hint="eastAsia" w:ascii="宋体" w:hAnsi="宋体"/>
          <w:sz w:val="24"/>
        </w:rPr>
        <w:t>技术部分（如有，格式自定，加盖公章）</w:t>
      </w:r>
    </w:p>
    <w:p>
      <w:pPr>
        <w:pStyle w:val="12"/>
        <w:numPr>
          <w:ilvl w:val="255"/>
          <w:numId w:val="0"/>
        </w:numPr>
        <w:spacing w:line="360" w:lineRule="auto"/>
        <w:ind w:left="420" w:leftChars="200"/>
        <w:rPr>
          <w:rFonts w:ascii="宋体" w:hAnsi="宋体"/>
          <w:sz w:val="24"/>
        </w:rPr>
      </w:pPr>
      <w:r>
        <w:rPr>
          <w:rFonts w:hint="eastAsia" w:ascii="宋体" w:hAnsi="宋体"/>
          <w:sz w:val="24"/>
        </w:rPr>
        <w:t>服务方案：供应商应针对本项目制定切实可行的服务方案，包括但不限于：</w:t>
      </w:r>
    </w:p>
    <w:p>
      <w:pPr>
        <w:pStyle w:val="12"/>
        <w:numPr>
          <w:ilvl w:val="1"/>
          <w:numId w:val="10"/>
        </w:numPr>
        <w:spacing w:line="360" w:lineRule="auto"/>
        <w:ind w:left="851" w:hanging="425" w:firstLineChars="0"/>
        <w:rPr>
          <w:rFonts w:ascii="宋体" w:hAnsi="宋体"/>
          <w:sz w:val="24"/>
        </w:rPr>
      </w:pPr>
      <w:r>
        <w:rPr>
          <w:rFonts w:hint="eastAsia" w:ascii="宋体" w:hAnsi="宋体"/>
          <w:sz w:val="24"/>
        </w:rPr>
        <w:t>总体实施方案；</w:t>
      </w:r>
    </w:p>
    <w:p>
      <w:pPr>
        <w:pStyle w:val="12"/>
        <w:numPr>
          <w:ilvl w:val="1"/>
          <w:numId w:val="10"/>
        </w:numPr>
        <w:spacing w:line="360" w:lineRule="auto"/>
        <w:ind w:left="851" w:hanging="425" w:firstLineChars="0"/>
        <w:rPr>
          <w:rFonts w:ascii="宋体" w:hAnsi="宋体"/>
          <w:sz w:val="24"/>
        </w:rPr>
      </w:pPr>
      <w:r>
        <w:rPr>
          <w:rFonts w:hint="eastAsia" w:ascii="宋体" w:hAnsi="宋体"/>
          <w:sz w:val="24"/>
        </w:rPr>
        <w:t>实施进度计划和工期承诺书；</w:t>
      </w:r>
    </w:p>
    <w:p>
      <w:pPr>
        <w:pStyle w:val="12"/>
        <w:numPr>
          <w:ilvl w:val="1"/>
          <w:numId w:val="10"/>
        </w:numPr>
        <w:spacing w:line="360" w:lineRule="auto"/>
        <w:ind w:left="851" w:hanging="425" w:firstLineChars="0"/>
        <w:rPr>
          <w:rFonts w:ascii="宋体" w:hAnsi="宋体"/>
          <w:sz w:val="24"/>
        </w:rPr>
      </w:pPr>
      <w:r>
        <w:rPr>
          <w:rFonts w:hint="eastAsia" w:ascii="宋体" w:hAnsi="宋体"/>
          <w:sz w:val="24"/>
        </w:rPr>
        <w:t>确保实施进度的技术和组织措施；</w:t>
      </w:r>
    </w:p>
    <w:p>
      <w:pPr>
        <w:pStyle w:val="12"/>
        <w:numPr>
          <w:ilvl w:val="1"/>
          <w:numId w:val="10"/>
        </w:numPr>
        <w:spacing w:line="360" w:lineRule="auto"/>
        <w:ind w:left="851" w:hanging="425" w:firstLineChars="0"/>
        <w:rPr>
          <w:rFonts w:ascii="宋体" w:hAnsi="宋体"/>
          <w:sz w:val="24"/>
        </w:rPr>
      </w:pPr>
      <w:r>
        <w:rPr>
          <w:rFonts w:hint="eastAsia" w:ascii="宋体" w:hAnsi="宋体"/>
          <w:sz w:val="24"/>
        </w:rPr>
        <w:t>投入的人员配置情况；</w:t>
      </w:r>
    </w:p>
    <w:p>
      <w:pPr>
        <w:pStyle w:val="12"/>
        <w:numPr>
          <w:ilvl w:val="1"/>
          <w:numId w:val="10"/>
        </w:numPr>
        <w:spacing w:line="360" w:lineRule="auto"/>
        <w:ind w:left="851" w:hanging="425" w:firstLineChars="0"/>
        <w:rPr>
          <w:rFonts w:ascii="宋体" w:hAnsi="宋体"/>
          <w:color w:val="FF0000"/>
          <w:sz w:val="24"/>
        </w:rPr>
      </w:pPr>
      <w:r>
        <w:rPr>
          <w:rFonts w:hint="eastAsia" w:ascii="宋体" w:hAnsi="宋体" w:eastAsia="宋体" w:cs="Times New Roman"/>
          <w:color w:val="FF0000"/>
          <w:sz w:val="24"/>
        </w:rPr>
        <w:t>必须于投标文件中明确管理组织架构方案及提供主要技术与安全管理人员资格证书</w:t>
      </w:r>
      <w:r>
        <w:rPr>
          <w:rFonts w:hint="eastAsia" w:ascii="宋体" w:hAnsi="宋体"/>
          <w:color w:val="FF0000"/>
          <w:sz w:val="24"/>
        </w:rPr>
        <w:t>。</w:t>
      </w:r>
    </w:p>
    <w:p>
      <w:pPr>
        <w:pStyle w:val="12"/>
        <w:numPr>
          <w:ilvl w:val="1"/>
          <w:numId w:val="10"/>
        </w:numPr>
        <w:spacing w:line="360" w:lineRule="auto"/>
        <w:ind w:left="851" w:hanging="425" w:firstLineChars="0"/>
        <w:rPr>
          <w:rFonts w:ascii="宋体" w:hAnsi="宋体"/>
          <w:sz w:val="24"/>
        </w:rPr>
      </w:pPr>
      <w:r>
        <w:rPr>
          <w:rFonts w:hint="eastAsia" w:ascii="宋体" w:hAnsi="宋体"/>
          <w:sz w:val="24"/>
        </w:rPr>
        <w:t>供应商认为其它需要说明的文字。</w:t>
      </w:r>
    </w:p>
    <w:p>
      <w:pPr>
        <w:pStyle w:val="12"/>
        <w:numPr>
          <w:ilvl w:val="0"/>
          <w:numId w:val="1"/>
        </w:numPr>
        <w:spacing w:line="360" w:lineRule="auto"/>
        <w:ind w:left="0" w:firstLine="482"/>
        <w:rPr>
          <w:rFonts w:ascii="宋体" w:hAnsi="宋体"/>
          <w:b/>
          <w:sz w:val="24"/>
        </w:rPr>
      </w:pPr>
      <w:r>
        <w:rPr>
          <w:rFonts w:hint="eastAsia" w:ascii="宋体" w:hAnsi="宋体"/>
          <w:b/>
          <w:sz w:val="24"/>
        </w:rPr>
        <w:t>评标方法：</w:t>
      </w:r>
    </w:p>
    <w:p>
      <w:pPr>
        <w:pStyle w:val="12"/>
        <w:numPr>
          <w:ilvl w:val="0"/>
          <w:numId w:val="11"/>
        </w:numPr>
        <w:spacing w:line="360" w:lineRule="auto"/>
        <w:ind w:firstLineChars="0"/>
        <w:rPr>
          <w:rFonts w:ascii="宋体" w:hAnsi="宋体"/>
          <w:b/>
          <w:sz w:val="24"/>
        </w:rPr>
      </w:pPr>
      <w:r>
        <w:rPr>
          <w:rFonts w:hint="eastAsia" w:ascii="宋体" w:hAnsi="宋体"/>
          <w:b/>
          <w:sz w:val="24"/>
        </w:rPr>
        <w:t>磋商价格评审</w:t>
      </w:r>
    </w:p>
    <w:p>
      <w:pPr>
        <w:pStyle w:val="12"/>
        <w:numPr>
          <w:ilvl w:val="0"/>
          <w:numId w:val="12"/>
        </w:numPr>
        <w:spacing w:line="360" w:lineRule="auto"/>
        <w:ind w:left="0" w:firstLine="480" w:firstLineChars="200"/>
        <w:rPr>
          <w:rFonts w:hint="eastAsia" w:ascii="宋体" w:hAnsi="宋体"/>
          <w:b/>
          <w:color w:val="auto"/>
          <w:sz w:val="24"/>
        </w:rPr>
      </w:pPr>
      <w:r>
        <w:rPr>
          <w:rFonts w:hint="eastAsia" w:ascii="宋体" w:hAnsi="宋体"/>
          <w:sz w:val="24"/>
        </w:rPr>
        <w:t>供应商同时通过投标人资格和有效性审查表（见附件5）后，磋商小组所有成员应当集中与单一供应商分别进行磋商，磋商小组将按竞选公告中规定的时间内递交响应文件的顺序与供应商进行磋商，并给予所有参加磋商的供应商平等的磋商机会。</w:t>
      </w:r>
      <w:r>
        <w:rPr>
          <w:rFonts w:hint="eastAsia" w:ascii="宋体" w:hAnsi="宋体"/>
          <w:b/>
          <w:color w:val="auto"/>
          <w:sz w:val="24"/>
        </w:rPr>
        <w:t>供应商法定代表人或其委托授权代表须携带其本人的身份证原件出席磋商会以便核验身份，否则，磋商小组将有权拒绝其参加磋商。</w:t>
      </w:r>
    </w:p>
    <w:p>
      <w:pPr>
        <w:pStyle w:val="12"/>
        <w:numPr>
          <w:ilvl w:val="-1"/>
          <w:numId w:val="0"/>
        </w:numPr>
        <w:spacing w:line="360" w:lineRule="auto"/>
        <w:ind w:left="0" w:firstLine="482" w:firstLineChars="200"/>
        <w:rPr>
          <w:rFonts w:ascii="宋体" w:hAnsi="宋体"/>
          <w:b/>
          <w:color w:val="auto"/>
          <w:sz w:val="24"/>
        </w:rPr>
      </w:pPr>
      <w:r>
        <w:rPr>
          <w:rFonts w:hint="eastAsia" w:ascii="宋体" w:hAnsi="宋体"/>
          <w:b/>
          <w:color w:val="auto"/>
          <w:sz w:val="24"/>
          <w:lang w:val="en-US" w:eastAsia="zh-CN"/>
        </w:rPr>
        <w:t>2、</w:t>
      </w:r>
      <w:r>
        <w:rPr>
          <w:rFonts w:hint="eastAsia" w:ascii="宋体" w:hAnsi="宋体"/>
          <w:b/>
          <w:color w:val="auto"/>
          <w:sz w:val="24"/>
        </w:rPr>
        <w:t>磋商小组根据本次投标情况、投标人报价情况</w:t>
      </w:r>
      <w:r>
        <w:rPr>
          <w:rFonts w:hint="eastAsia" w:ascii="宋体" w:hAnsi="宋体"/>
          <w:b/>
          <w:color w:val="auto"/>
          <w:sz w:val="24"/>
          <w:lang w:val="en-US" w:eastAsia="zh-CN"/>
        </w:rPr>
        <w:t>以及</w:t>
      </w:r>
      <w:r>
        <w:rPr>
          <w:rFonts w:hint="eastAsia" w:ascii="宋体" w:hAnsi="宋体"/>
          <w:b/>
          <w:color w:val="auto"/>
          <w:sz w:val="24"/>
        </w:rPr>
        <w:t>采购人往年采购成本等因素提出项目磋商价，该磋商价可视为项目</w:t>
      </w:r>
      <w:r>
        <w:rPr>
          <w:rFonts w:hint="eastAsia" w:ascii="宋体" w:hAnsi="宋体"/>
          <w:b/>
          <w:color w:val="auto"/>
          <w:sz w:val="24"/>
          <w:lang w:val="en-US" w:eastAsia="zh-CN"/>
        </w:rPr>
        <w:t>采购合同价</w:t>
      </w:r>
      <w:r>
        <w:rPr>
          <w:rFonts w:hint="eastAsia" w:ascii="宋体" w:hAnsi="宋体"/>
          <w:b/>
          <w:color w:val="auto"/>
          <w:sz w:val="24"/>
        </w:rPr>
        <w:t>。磋商小组按磋商价分别与供应商进行价格磋商。</w:t>
      </w:r>
    </w:p>
    <w:p>
      <w:pPr>
        <w:pStyle w:val="12"/>
        <w:numPr>
          <w:ilvl w:val="-1"/>
          <w:numId w:val="0"/>
        </w:numPr>
        <w:spacing w:line="360" w:lineRule="auto"/>
        <w:ind w:left="0" w:firstLine="480" w:firstLineChars="200"/>
        <w:rPr>
          <w:rFonts w:ascii="宋体" w:hAnsi="宋体"/>
          <w:sz w:val="24"/>
        </w:rPr>
      </w:pPr>
      <w:r>
        <w:rPr>
          <w:rFonts w:hint="eastAsia" w:ascii="宋体" w:hAnsi="宋体"/>
          <w:sz w:val="24"/>
          <w:lang w:val="en-US" w:eastAsia="zh-CN"/>
        </w:rPr>
        <w:t>3、</w:t>
      </w:r>
      <w:r>
        <w:rPr>
          <w:rFonts w:hint="eastAsia" w:ascii="宋体" w:hAnsi="宋体"/>
          <w:b/>
          <w:bCs/>
          <w:sz w:val="24"/>
          <w:lang w:val="en-US" w:eastAsia="zh-CN"/>
        </w:rPr>
        <w:t>如同意磋商价的投标人≤5家，则同意磋商价的投标人均为中标候选人。</w:t>
      </w:r>
      <w:r>
        <w:rPr>
          <w:rFonts w:hint="eastAsia" w:ascii="宋体" w:hAnsi="宋体"/>
          <w:sz w:val="24"/>
          <w:lang w:val="en-US" w:eastAsia="zh-CN"/>
        </w:rPr>
        <w:t>无须进行下一轮商务及技术评审，</w:t>
      </w:r>
      <w:r>
        <w:rPr>
          <w:rFonts w:hint="eastAsia" w:ascii="宋体" w:hAnsi="宋体"/>
          <w:sz w:val="24"/>
        </w:rPr>
        <w:t>供应商应在规定的时间内提交最终</w:t>
      </w:r>
      <w:r>
        <w:rPr>
          <w:rFonts w:hint="eastAsia" w:ascii="宋体" w:hAnsi="宋体"/>
          <w:sz w:val="24"/>
          <w:lang w:val="en-US" w:eastAsia="zh-CN"/>
        </w:rPr>
        <w:t>书面</w:t>
      </w:r>
      <w:r>
        <w:rPr>
          <w:rFonts w:hint="eastAsia" w:ascii="宋体" w:hAnsi="宋体"/>
          <w:sz w:val="24"/>
        </w:rPr>
        <w:t>报价。</w:t>
      </w:r>
    </w:p>
    <w:p>
      <w:pPr>
        <w:pStyle w:val="12"/>
        <w:numPr>
          <w:ilvl w:val="-1"/>
          <w:numId w:val="0"/>
        </w:numPr>
        <w:spacing w:line="360" w:lineRule="auto"/>
        <w:ind w:left="0" w:firstLine="480" w:firstLineChars="200"/>
        <w:rPr>
          <w:rFonts w:ascii="宋体" w:hAnsi="宋体"/>
          <w:sz w:val="24"/>
        </w:rPr>
      </w:pPr>
      <w:r>
        <w:rPr>
          <w:rFonts w:hint="eastAsia" w:ascii="宋体" w:hAnsi="宋体"/>
          <w:sz w:val="24"/>
          <w:lang w:val="en-US" w:eastAsia="zh-CN"/>
        </w:rPr>
        <w:t>4、</w:t>
      </w:r>
      <w:r>
        <w:rPr>
          <w:rFonts w:hint="eastAsia" w:ascii="宋体" w:hAnsi="宋体"/>
          <w:sz w:val="24"/>
        </w:rPr>
        <w:t>最</w:t>
      </w:r>
      <w:r>
        <w:rPr>
          <w:rFonts w:hint="eastAsia" w:ascii="宋体" w:hAnsi="宋体"/>
          <w:sz w:val="24"/>
          <w:lang w:val="en-US" w:eastAsia="zh-CN"/>
        </w:rPr>
        <w:t>终</w:t>
      </w:r>
      <w:r>
        <w:rPr>
          <w:rFonts w:hint="eastAsia" w:ascii="宋体" w:hAnsi="宋体"/>
          <w:sz w:val="24"/>
        </w:rPr>
        <w:t>报价是供应商响应文件的有效组成部分。</w:t>
      </w:r>
    </w:p>
    <w:p>
      <w:pPr>
        <w:pStyle w:val="12"/>
        <w:numPr>
          <w:ilvl w:val="0"/>
          <w:numId w:val="11"/>
        </w:numPr>
        <w:spacing w:line="360" w:lineRule="auto"/>
        <w:ind w:firstLineChars="0"/>
        <w:rPr>
          <w:rFonts w:ascii="宋体" w:hAnsi="宋体"/>
          <w:b/>
          <w:sz w:val="24"/>
        </w:rPr>
      </w:pPr>
      <w:r>
        <w:rPr>
          <w:rFonts w:hint="eastAsia" w:ascii="宋体" w:hAnsi="宋体"/>
          <w:b/>
          <w:sz w:val="24"/>
        </w:rPr>
        <w:t>商务及技术评审</w:t>
      </w:r>
    </w:p>
    <w:p>
      <w:pPr>
        <w:spacing w:line="360" w:lineRule="auto"/>
        <w:ind w:firstLine="482" w:firstLineChars="200"/>
        <w:rPr>
          <w:rFonts w:ascii="宋体" w:hAnsi="宋体"/>
          <w:sz w:val="24"/>
        </w:rPr>
      </w:pPr>
      <w:r>
        <w:rPr>
          <w:rFonts w:hint="eastAsia" w:ascii="宋体" w:hAnsi="宋体"/>
          <w:b/>
          <w:bCs/>
          <w:sz w:val="24"/>
          <w:lang w:val="en-US" w:eastAsia="zh-CN"/>
        </w:rPr>
        <w:t>如同意磋商价的投标人＞5家</w:t>
      </w:r>
      <w:r>
        <w:rPr>
          <w:rFonts w:hint="eastAsia" w:ascii="宋体" w:hAnsi="宋体"/>
          <w:b/>
          <w:bCs/>
          <w:sz w:val="24"/>
        </w:rPr>
        <w:t>，</w:t>
      </w:r>
      <w:r>
        <w:rPr>
          <w:rFonts w:hint="eastAsia" w:ascii="宋体" w:hAnsi="宋体"/>
          <w:b/>
          <w:bCs/>
          <w:sz w:val="24"/>
          <w:lang w:val="en-US" w:eastAsia="zh-CN"/>
        </w:rPr>
        <w:t>采用综合评分法</w:t>
      </w:r>
      <w:r>
        <w:rPr>
          <w:rFonts w:hint="eastAsia" w:ascii="宋体" w:hAnsi="宋体"/>
          <w:b/>
          <w:bCs/>
          <w:sz w:val="24"/>
        </w:rPr>
        <w:t>（具体评分细则见附件</w:t>
      </w:r>
      <w:r>
        <w:rPr>
          <w:rFonts w:hint="eastAsia" w:ascii="宋体" w:hAnsi="宋体"/>
          <w:b/>
          <w:bCs/>
          <w:sz w:val="24"/>
          <w:lang w:val="en-US" w:eastAsia="zh-CN"/>
        </w:rPr>
        <w:t>6</w:t>
      </w:r>
      <w:r>
        <w:rPr>
          <w:rFonts w:hint="eastAsia" w:ascii="宋体" w:hAnsi="宋体"/>
          <w:b/>
          <w:bCs/>
          <w:sz w:val="24"/>
        </w:rPr>
        <w:t>）确定中标候选人</w:t>
      </w:r>
      <w:r>
        <w:rPr>
          <w:rFonts w:hint="eastAsia" w:ascii="宋体" w:hAnsi="宋体"/>
          <w:sz w:val="24"/>
          <w:lang w:eastAsia="zh-CN"/>
        </w:rPr>
        <w:t>，</w:t>
      </w:r>
      <w:r>
        <w:rPr>
          <w:rFonts w:hint="eastAsia" w:ascii="宋体" w:hAnsi="宋体"/>
          <w:sz w:val="24"/>
        </w:rPr>
        <w:t>项目进入</w:t>
      </w:r>
      <w:r>
        <w:rPr>
          <w:rFonts w:hint="eastAsia" w:ascii="宋体" w:hAnsi="宋体"/>
          <w:b/>
          <w:sz w:val="24"/>
        </w:rPr>
        <w:t>商务及技术评审</w:t>
      </w:r>
      <w:r>
        <w:rPr>
          <w:rFonts w:hint="eastAsia" w:ascii="宋体" w:hAnsi="宋体"/>
          <w:sz w:val="24"/>
        </w:rPr>
        <w:t>。各投标人按评标总得分由高至低的顺序依次排列，排名第一为第一中标候选人。</w:t>
      </w:r>
    </w:p>
    <w:p>
      <w:pPr>
        <w:pStyle w:val="12"/>
        <w:numPr>
          <w:ilvl w:val="0"/>
          <w:numId w:val="1"/>
        </w:numPr>
        <w:spacing w:line="360" w:lineRule="auto"/>
        <w:ind w:left="0" w:firstLine="482"/>
        <w:rPr>
          <w:rFonts w:ascii="宋体" w:hAnsi="宋体"/>
          <w:b/>
          <w:sz w:val="24"/>
        </w:rPr>
      </w:pPr>
      <w:r>
        <w:rPr>
          <w:rFonts w:hint="eastAsia" w:ascii="宋体" w:hAnsi="宋体"/>
          <w:b/>
          <w:sz w:val="24"/>
        </w:rPr>
        <w:t>递交投标文件</w:t>
      </w:r>
    </w:p>
    <w:p>
      <w:pPr>
        <w:pStyle w:val="15"/>
        <w:numPr>
          <w:ilvl w:val="2"/>
          <w:numId w:val="13"/>
        </w:numPr>
        <w:spacing w:line="360" w:lineRule="auto"/>
        <w:ind w:left="0" w:firstLine="480" w:firstLineChars="0"/>
        <w:rPr>
          <w:rFonts w:ascii="宋体" w:hAnsi="宋体" w:eastAsia="宋体" w:cs="宋体"/>
          <w:sz w:val="24"/>
        </w:rPr>
      </w:pPr>
      <w:r>
        <w:rPr>
          <w:rFonts w:hint="eastAsia" w:ascii="宋体" w:hAnsi="宋体" w:eastAsia="宋体" w:cs="宋体"/>
          <w:sz w:val="24"/>
        </w:rPr>
        <w:t>投标文件纸质文件一式一份，盖章扫描件电子版一份。纸质文件递交截止时间：</w:t>
      </w:r>
      <w:r>
        <w:rPr>
          <w:rFonts w:hint="eastAsia" w:ascii="宋体" w:hAnsi="宋体" w:eastAsia="宋体" w:cs="宋体"/>
          <w:color w:val="FF0000"/>
          <w:sz w:val="24"/>
        </w:rPr>
        <w:t>202</w:t>
      </w:r>
      <w:r>
        <w:rPr>
          <w:rFonts w:hint="eastAsia" w:ascii="宋体" w:hAnsi="宋体" w:eastAsia="宋体" w:cs="宋体"/>
          <w:color w:val="FF0000"/>
          <w:sz w:val="24"/>
          <w:lang w:val="en-US" w:eastAsia="zh-CN"/>
        </w:rPr>
        <w:t>2</w:t>
      </w:r>
      <w:r>
        <w:rPr>
          <w:rFonts w:hint="eastAsia" w:ascii="宋体" w:hAnsi="宋体" w:eastAsia="宋体" w:cs="宋体"/>
          <w:color w:val="FF0000"/>
          <w:sz w:val="24"/>
        </w:rPr>
        <w:t>年</w:t>
      </w:r>
      <w:r>
        <w:rPr>
          <w:rFonts w:hint="eastAsia" w:ascii="宋体" w:hAnsi="宋体" w:eastAsia="宋体" w:cs="宋体"/>
          <w:color w:val="FF0000"/>
          <w:sz w:val="24"/>
          <w:lang w:val="en-US" w:eastAsia="zh-CN"/>
        </w:rPr>
        <w:t>12</w:t>
      </w:r>
      <w:r>
        <w:rPr>
          <w:rFonts w:hint="eastAsia" w:ascii="宋体" w:hAnsi="宋体" w:eastAsia="宋体" w:cs="宋体"/>
          <w:color w:val="FF0000"/>
          <w:sz w:val="24"/>
        </w:rPr>
        <w:t>月</w:t>
      </w:r>
      <w:r>
        <w:rPr>
          <w:rFonts w:hint="eastAsia" w:ascii="宋体" w:hAnsi="宋体" w:eastAsia="宋体" w:cs="宋体"/>
          <w:color w:val="FF0000"/>
          <w:sz w:val="24"/>
          <w:lang w:val="en-US" w:eastAsia="zh-CN"/>
        </w:rPr>
        <w:t>19</w:t>
      </w:r>
      <w:r>
        <w:rPr>
          <w:rFonts w:hint="eastAsia" w:ascii="宋体" w:hAnsi="宋体" w:eastAsia="宋体" w:cs="宋体"/>
          <w:color w:val="FF0000"/>
          <w:sz w:val="24"/>
        </w:rPr>
        <w:t>日</w:t>
      </w:r>
      <w:r>
        <w:rPr>
          <w:rFonts w:hint="eastAsia" w:ascii="宋体" w:hAnsi="宋体" w:eastAsia="宋体" w:cs="宋体"/>
          <w:sz w:val="24"/>
          <w:lang w:val="en-US" w:eastAsia="zh-CN"/>
        </w:rPr>
        <w:t>15</w:t>
      </w:r>
      <w:r>
        <w:rPr>
          <w:rFonts w:hint="eastAsia" w:ascii="宋体" w:hAnsi="宋体" w:eastAsia="宋体" w:cs="宋体"/>
          <w:sz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sz w:val="24"/>
        </w:rPr>
        <w:t>空调系统末端设备清洗工程项目</w:t>
      </w:r>
      <w:r>
        <w:rPr>
          <w:rFonts w:hint="eastAsia" w:ascii="宋体" w:hAnsi="宋体" w:eastAsia="宋体" w:cs="宋体"/>
          <w:sz w:val="24"/>
        </w:rPr>
        <w:t>”字样。电子版可随纸质文件一同投递，或在截标后24小时内以电子邮件方式投递到邮箱：</w:t>
      </w:r>
      <w:r>
        <w:rPr>
          <w:rFonts w:hint="eastAsia" w:ascii="宋体" w:hAnsi="宋体" w:eastAsia="宋体" w:cs="宋体"/>
          <w:sz w:val="24"/>
          <w:lang w:val="en-US" w:eastAsia="zh-CN"/>
        </w:rPr>
        <w:t>328062345</w:t>
      </w:r>
      <w:r>
        <w:rPr>
          <w:rFonts w:hint="eastAsia" w:ascii="宋体" w:hAnsi="宋体" w:eastAsia="宋体" w:cs="宋体"/>
          <w:sz w:val="24"/>
        </w:rPr>
        <w:t>@qq.com。投标供应商递交投标文件后，请联系采购人确认。</w:t>
      </w:r>
    </w:p>
    <w:p>
      <w:pPr>
        <w:pStyle w:val="15"/>
        <w:numPr>
          <w:ilvl w:val="2"/>
          <w:numId w:val="13"/>
        </w:numPr>
        <w:spacing w:line="360" w:lineRule="auto"/>
        <w:ind w:left="0" w:firstLine="480" w:firstLineChars="0"/>
        <w:rPr>
          <w:rFonts w:ascii="宋体" w:hAnsi="宋体"/>
          <w:sz w:val="24"/>
        </w:rPr>
      </w:pPr>
      <w:r>
        <w:rPr>
          <w:rFonts w:hint="eastAsia" w:ascii="宋体" w:hAnsi="宋体"/>
          <w:sz w:val="24"/>
        </w:rPr>
        <w:t>投标文件逾期递交、未送达指定地点的、或未按要求密封的，采购人有权不予受理。</w:t>
      </w:r>
    </w:p>
    <w:p>
      <w:pPr>
        <w:pStyle w:val="12"/>
        <w:numPr>
          <w:ilvl w:val="0"/>
          <w:numId w:val="1"/>
        </w:numPr>
        <w:spacing w:line="360" w:lineRule="auto"/>
        <w:ind w:left="0" w:firstLine="482"/>
        <w:rPr>
          <w:rFonts w:ascii="宋体" w:hAnsi="宋体"/>
          <w:b/>
          <w:sz w:val="24"/>
        </w:rPr>
      </w:pPr>
      <w:r>
        <w:rPr>
          <w:rFonts w:hint="eastAsia" w:ascii="宋体" w:hAnsi="宋体"/>
          <w:b/>
          <w:sz w:val="24"/>
        </w:rPr>
        <w:t>采购人地址和联系方式</w:t>
      </w:r>
    </w:p>
    <w:p>
      <w:pPr>
        <w:pStyle w:val="15"/>
        <w:numPr>
          <w:ilvl w:val="0"/>
          <w:numId w:val="14"/>
        </w:numPr>
        <w:spacing w:line="360" w:lineRule="auto"/>
        <w:ind w:firstLineChars="0"/>
        <w:rPr>
          <w:rFonts w:ascii="宋体" w:hAnsi="宋体"/>
          <w:sz w:val="24"/>
        </w:rPr>
      </w:pPr>
      <w:r>
        <w:rPr>
          <w:rFonts w:hint="eastAsia" w:ascii="宋体" w:hAnsi="宋体"/>
          <w:sz w:val="24"/>
        </w:rPr>
        <w:t>采购单位：广州大学城能源发展有限公司</w:t>
      </w:r>
    </w:p>
    <w:p>
      <w:pPr>
        <w:pStyle w:val="15"/>
        <w:numPr>
          <w:ilvl w:val="0"/>
          <w:numId w:val="14"/>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pPr>
        <w:pStyle w:val="12"/>
        <w:numPr>
          <w:ilvl w:val="0"/>
          <w:numId w:val="14"/>
        </w:numPr>
        <w:spacing w:line="360" w:lineRule="auto"/>
        <w:ind w:left="0" w:firstLine="480" w:firstLineChars="0"/>
        <w:rPr>
          <w:rFonts w:ascii="宋体" w:hAnsi="宋体"/>
          <w:sz w:val="24"/>
        </w:rPr>
      </w:pPr>
      <w:r>
        <w:rPr>
          <w:rFonts w:hint="eastAsia" w:ascii="宋体" w:hAnsi="宋体"/>
          <w:sz w:val="24"/>
        </w:rPr>
        <w:t>联系人：</w:t>
      </w:r>
      <w:r>
        <w:rPr>
          <w:rFonts w:hint="eastAsia" w:ascii="宋体" w:hAnsi="宋体"/>
          <w:sz w:val="24"/>
          <w:lang w:val="en-US" w:eastAsia="zh-CN"/>
        </w:rPr>
        <w:t>詹</w:t>
      </w:r>
      <w:r>
        <w:rPr>
          <w:rFonts w:hint="eastAsia" w:ascii="宋体" w:hAnsi="宋体"/>
          <w:sz w:val="24"/>
        </w:rPr>
        <w:t>工 ，联系电话：020-3930207</w:t>
      </w:r>
      <w:r>
        <w:rPr>
          <w:rFonts w:hint="eastAsia" w:ascii="宋体" w:hAnsi="宋体"/>
          <w:sz w:val="24"/>
          <w:lang w:val="en-US" w:eastAsia="zh-CN"/>
        </w:rPr>
        <w:t>8</w:t>
      </w:r>
      <w:r>
        <w:rPr>
          <w:rFonts w:hint="eastAsia" w:ascii="宋体" w:hAnsi="宋体"/>
          <w:sz w:val="24"/>
        </w:rPr>
        <w:t>，电子邮件：</w:t>
      </w:r>
      <w:r>
        <w:rPr>
          <w:rFonts w:hint="eastAsia" w:ascii="宋体" w:hAnsi="宋体"/>
          <w:sz w:val="24"/>
          <w:lang w:val="en-US" w:eastAsia="zh-CN"/>
        </w:rPr>
        <w:t>328062345</w:t>
      </w:r>
      <w:r>
        <w:rPr>
          <w:rFonts w:hint="eastAsia" w:ascii="宋体" w:hAnsi="宋体"/>
          <w:sz w:val="24"/>
        </w:rPr>
        <w:t>@qq.com</w:t>
      </w:r>
    </w:p>
    <w:p>
      <w:pPr>
        <w:pStyle w:val="12"/>
        <w:spacing w:line="360" w:lineRule="auto"/>
        <w:ind w:firstLine="480"/>
        <w:rPr>
          <w:rFonts w:ascii="宋体" w:hAnsi="宋体"/>
          <w:sz w:val="24"/>
        </w:rPr>
      </w:pPr>
      <w:r>
        <w:rPr>
          <w:rFonts w:hint="eastAsia" w:ascii="宋体" w:hAnsi="宋体"/>
          <w:sz w:val="24"/>
        </w:rPr>
        <w:t>附件1、价格文件</w:t>
      </w:r>
    </w:p>
    <w:p>
      <w:pPr>
        <w:pStyle w:val="12"/>
        <w:spacing w:line="360" w:lineRule="auto"/>
        <w:ind w:firstLine="480"/>
        <w:rPr>
          <w:rFonts w:ascii="宋体" w:hAnsi="宋体"/>
          <w:sz w:val="24"/>
        </w:rPr>
      </w:pPr>
      <w:r>
        <w:rPr>
          <w:rFonts w:hint="eastAsia" w:ascii="宋体" w:hAnsi="宋体"/>
          <w:sz w:val="24"/>
        </w:rPr>
        <w:t>附件2</w:t>
      </w:r>
      <w:r>
        <w:rPr>
          <w:rFonts w:ascii="宋体" w:hAnsi="宋体"/>
          <w:sz w:val="24"/>
        </w:rPr>
        <w:t>、供应商调查表</w:t>
      </w:r>
    </w:p>
    <w:p>
      <w:pPr>
        <w:pStyle w:val="12"/>
        <w:spacing w:line="360" w:lineRule="auto"/>
        <w:ind w:firstLine="480"/>
        <w:rPr>
          <w:rFonts w:ascii="宋体" w:hAnsi="宋体"/>
          <w:sz w:val="24"/>
        </w:rPr>
      </w:pPr>
      <w:r>
        <w:rPr>
          <w:rFonts w:hint="eastAsia" w:ascii="宋体" w:hAnsi="宋体"/>
          <w:sz w:val="24"/>
        </w:rPr>
        <w:t>附件3、法定代表人证明书</w:t>
      </w:r>
    </w:p>
    <w:p>
      <w:pPr>
        <w:pStyle w:val="12"/>
        <w:spacing w:line="360" w:lineRule="auto"/>
        <w:ind w:firstLine="480"/>
        <w:rPr>
          <w:rFonts w:ascii="宋体" w:hAnsi="宋体"/>
          <w:sz w:val="24"/>
        </w:rPr>
      </w:pPr>
      <w:r>
        <w:rPr>
          <w:rFonts w:hint="eastAsia" w:ascii="宋体" w:hAnsi="宋体"/>
          <w:sz w:val="24"/>
        </w:rPr>
        <w:t>附件4、法定代表人授权委托证明书</w:t>
      </w:r>
    </w:p>
    <w:p>
      <w:pPr>
        <w:pStyle w:val="12"/>
        <w:spacing w:line="360" w:lineRule="auto"/>
        <w:ind w:firstLine="480"/>
        <w:rPr>
          <w:rFonts w:ascii="宋体" w:hAnsi="宋体"/>
          <w:sz w:val="24"/>
        </w:rPr>
      </w:pPr>
      <w:r>
        <w:rPr>
          <w:rFonts w:hint="eastAsia" w:ascii="宋体" w:hAnsi="宋体"/>
          <w:sz w:val="24"/>
        </w:rPr>
        <w:t>附件5</w:t>
      </w:r>
      <w:r>
        <w:rPr>
          <w:rFonts w:ascii="宋体" w:hAnsi="宋体"/>
          <w:sz w:val="24"/>
        </w:rPr>
        <w:t>、资格性和有效性审查表</w:t>
      </w:r>
    </w:p>
    <w:p>
      <w:pPr>
        <w:pStyle w:val="12"/>
        <w:spacing w:line="360" w:lineRule="auto"/>
        <w:ind w:firstLine="480"/>
        <w:rPr>
          <w:rFonts w:ascii="宋体" w:hAnsi="宋体"/>
          <w:sz w:val="24"/>
        </w:rPr>
      </w:pPr>
      <w:r>
        <w:rPr>
          <w:rFonts w:hint="eastAsia" w:ascii="宋体" w:hAnsi="宋体"/>
          <w:sz w:val="24"/>
        </w:rPr>
        <w:t>附件6</w:t>
      </w:r>
      <w:r>
        <w:rPr>
          <w:rFonts w:ascii="宋体" w:hAnsi="宋体"/>
          <w:sz w:val="24"/>
        </w:rPr>
        <w:t>、</w:t>
      </w:r>
      <w:r>
        <w:rPr>
          <w:rFonts w:hint="eastAsia" w:ascii="宋体" w:hAnsi="宋体"/>
          <w:sz w:val="24"/>
        </w:rPr>
        <w:t>评分细则</w:t>
      </w:r>
    </w:p>
    <w:p>
      <w:pPr>
        <w:pStyle w:val="12"/>
        <w:spacing w:line="360" w:lineRule="auto"/>
        <w:ind w:firstLine="480"/>
        <w:jc w:val="center"/>
        <w:rPr>
          <w:rFonts w:ascii="宋体" w:hAnsi="宋体"/>
          <w:sz w:val="24"/>
        </w:rPr>
      </w:pPr>
    </w:p>
    <w:p>
      <w:pPr>
        <w:pStyle w:val="12"/>
        <w:spacing w:line="360" w:lineRule="auto"/>
        <w:ind w:firstLine="480"/>
        <w:jc w:val="center"/>
        <w:rPr>
          <w:rFonts w:ascii="宋体" w:hAnsi="宋体"/>
          <w:sz w:val="24"/>
        </w:rPr>
      </w:pPr>
    </w:p>
    <w:p>
      <w:pPr>
        <w:pStyle w:val="12"/>
        <w:spacing w:line="360" w:lineRule="auto"/>
        <w:ind w:firstLine="480"/>
        <w:jc w:val="center"/>
        <w:rPr>
          <w:rFonts w:ascii="宋体" w:hAnsi="宋体"/>
          <w:sz w:val="24"/>
        </w:rPr>
      </w:pPr>
    </w:p>
    <w:p>
      <w:pPr>
        <w:pStyle w:val="12"/>
        <w:spacing w:line="360" w:lineRule="auto"/>
        <w:ind w:firstLine="480"/>
        <w:jc w:val="center"/>
        <w:rPr>
          <w:rFonts w:ascii="宋体" w:hAnsi="宋体"/>
          <w:sz w:val="24"/>
        </w:rPr>
      </w:pPr>
    </w:p>
    <w:p>
      <w:pPr>
        <w:pStyle w:val="12"/>
        <w:spacing w:line="360" w:lineRule="auto"/>
        <w:ind w:firstLine="480"/>
        <w:jc w:val="center"/>
        <w:rPr>
          <w:rFonts w:ascii="宋体" w:hAnsi="宋体"/>
          <w:sz w:val="24"/>
        </w:rPr>
      </w:pPr>
      <w:r>
        <w:rPr>
          <w:rFonts w:hint="eastAsia" w:ascii="宋体" w:hAnsi="宋体"/>
          <w:sz w:val="24"/>
        </w:rPr>
        <w:t>采购人：广州大学城能源发展有限公司</w:t>
      </w:r>
    </w:p>
    <w:p>
      <w:pPr>
        <w:pStyle w:val="12"/>
        <w:spacing w:line="360" w:lineRule="auto"/>
        <w:ind w:right="960" w:firstLine="4260" w:firstLineChars="1775"/>
        <w:rPr>
          <w:rFonts w:ascii="宋体" w:hAnsi="宋体"/>
          <w:sz w:val="24"/>
        </w:rPr>
      </w:pPr>
      <w:r>
        <w:rPr>
          <w:rFonts w:hint="eastAsia"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12</w:t>
      </w:r>
      <w:r>
        <w:rPr>
          <w:rFonts w:hint="eastAsia" w:ascii="宋体" w:hAnsi="宋体"/>
          <w:sz w:val="24"/>
        </w:rPr>
        <w:t xml:space="preserve">月 </w:t>
      </w:r>
      <w:r>
        <w:rPr>
          <w:rFonts w:hint="eastAsia" w:ascii="宋体" w:hAnsi="宋体"/>
          <w:sz w:val="24"/>
          <w:lang w:val="en-US" w:eastAsia="zh-CN"/>
        </w:rPr>
        <w:t>7</w:t>
      </w:r>
      <w:r>
        <w:rPr>
          <w:rFonts w:hint="eastAsia" w:ascii="宋体" w:hAnsi="宋体"/>
          <w:sz w:val="24"/>
        </w:rPr>
        <w:t xml:space="preserve"> 日</w:t>
      </w:r>
    </w:p>
    <w:p>
      <w:pPr>
        <w:widowControl/>
        <w:jc w:val="left"/>
      </w:pPr>
    </w:p>
    <w:p>
      <w:pPr>
        <w:widowControl/>
        <w:jc w:val="left"/>
        <w:rPr>
          <w:rFonts w:ascii="宋体" w:hAnsi="宋体"/>
          <w:sz w:val="32"/>
        </w:rPr>
      </w:pPr>
      <w:r>
        <w:rPr>
          <w:rFonts w:ascii="宋体" w:hAnsi="宋体"/>
          <w:sz w:val="32"/>
        </w:rPr>
        <w:br w:type="page"/>
      </w:r>
      <w:r>
        <w:rPr>
          <w:rFonts w:hint="eastAsia" w:ascii="宋体" w:hAnsi="宋体"/>
          <w:sz w:val="32"/>
        </w:rPr>
        <w:t>附件1：</w:t>
      </w:r>
    </w:p>
    <w:p>
      <w:pPr>
        <w:pStyle w:val="3"/>
        <w:ind w:firstLine="3654" w:firstLineChars="1300"/>
        <w:rPr>
          <w:rFonts w:hint="default" w:hAnsi="宋体"/>
          <w:b/>
          <w:sz w:val="28"/>
          <w:szCs w:val="28"/>
        </w:rPr>
      </w:pPr>
      <w:r>
        <w:rPr>
          <w:rFonts w:hAnsi="宋体"/>
          <w:b/>
          <w:sz w:val="28"/>
          <w:szCs w:val="28"/>
        </w:rPr>
        <w:t>报价明细表</w:t>
      </w:r>
    </w:p>
    <w:p>
      <w:pPr>
        <w:spacing w:line="360" w:lineRule="auto"/>
        <w:ind w:firstLine="284"/>
        <w:rPr>
          <w:rFonts w:hint="eastAsia" w:hAnsi="宋体" w:eastAsiaTheme="minorEastAsia"/>
          <w:szCs w:val="21"/>
          <w:lang w:val="en-US" w:eastAsia="zh-CN"/>
        </w:rPr>
      </w:pPr>
      <w:r>
        <w:rPr>
          <w:rFonts w:hint="eastAsia" w:hAnsi="宋体"/>
          <w:szCs w:val="21"/>
        </w:rPr>
        <w:t>项目名称：空调系统末端设备清洗项目</w:t>
      </w:r>
      <w:r>
        <w:rPr>
          <w:rFonts w:hint="eastAsia" w:hAnsi="宋体"/>
          <w:szCs w:val="21"/>
          <w:lang w:val="en-US" w:eastAsia="zh-CN"/>
        </w:rPr>
        <w:t>采购</w:t>
      </w:r>
    </w:p>
    <w:tbl>
      <w:tblPr>
        <w:tblStyle w:val="10"/>
        <w:tblW w:w="9081" w:type="dxa"/>
        <w:tblInd w:w="-191" w:type="dxa"/>
        <w:tblLayout w:type="fixed"/>
        <w:tblCellMar>
          <w:top w:w="0" w:type="dxa"/>
          <w:left w:w="108" w:type="dxa"/>
          <w:bottom w:w="0" w:type="dxa"/>
          <w:right w:w="108" w:type="dxa"/>
        </w:tblCellMar>
      </w:tblPr>
      <w:tblGrid>
        <w:gridCol w:w="929"/>
        <w:gridCol w:w="4614"/>
        <w:gridCol w:w="946"/>
        <w:gridCol w:w="1418"/>
        <w:gridCol w:w="1174"/>
      </w:tblGrid>
      <w:tr>
        <w:tblPrEx>
          <w:tblLayout w:type="fixed"/>
          <w:tblCellMar>
            <w:top w:w="0" w:type="dxa"/>
            <w:left w:w="108" w:type="dxa"/>
            <w:bottom w:w="0" w:type="dxa"/>
            <w:right w:w="108" w:type="dxa"/>
          </w:tblCellMar>
        </w:tblPrEx>
        <w:trPr>
          <w:trHeight w:val="694"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Tahoma" w:eastAsiaTheme="minorEastAsia"/>
                <w:color w:val="000000"/>
                <w:kern w:val="0"/>
                <w:sz w:val="22"/>
                <w:szCs w:val="22"/>
                <w:lang w:val="en-US" w:eastAsia="zh-CN"/>
              </w:rPr>
            </w:pPr>
            <w:r>
              <w:rPr>
                <w:rFonts w:hint="eastAsia" w:ascii="宋体" w:hAnsi="宋体" w:cs="Tahoma"/>
                <w:color w:val="000000"/>
                <w:kern w:val="0"/>
                <w:sz w:val="22"/>
                <w:szCs w:val="22"/>
                <w:lang w:val="en-US" w:eastAsia="zh-CN"/>
              </w:rPr>
              <w:t>设备类型</w:t>
            </w:r>
          </w:p>
        </w:tc>
        <w:tc>
          <w:tcPr>
            <w:tcW w:w="46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Tahoma" w:eastAsiaTheme="minorEastAsia"/>
                <w:color w:val="000000"/>
                <w:kern w:val="0"/>
                <w:sz w:val="22"/>
                <w:szCs w:val="22"/>
                <w:lang w:val="en-US" w:eastAsia="zh-CN"/>
              </w:rPr>
            </w:pPr>
            <w:r>
              <w:rPr>
                <w:rFonts w:hint="eastAsia" w:ascii="宋体" w:hAnsi="宋体" w:cs="Tahoma"/>
                <w:color w:val="000000"/>
                <w:kern w:val="0"/>
                <w:sz w:val="22"/>
                <w:szCs w:val="22"/>
                <w:lang w:val="en-US" w:eastAsia="zh-CN"/>
              </w:rPr>
              <w:t>工作内容</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ahoma" w:hAnsi="Tahoma" w:cs="Tahoma" w:eastAsiaTheme="minorEastAsia"/>
                <w:color w:val="000000"/>
                <w:kern w:val="0"/>
                <w:sz w:val="22"/>
                <w:szCs w:val="22"/>
                <w:lang w:val="en-US" w:eastAsia="zh-CN"/>
              </w:rPr>
            </w:pPr>
            <w:r>
              <w:rPr>
                <w:rFonts w:hint="eastAsia" w:ascii="Tahoma" w:hAnsi="Tahoma" w:cs="Tahoma"/>
                <w:color w:val="000000"/>
                <w:kern w:val="0"/>
                <w:sz w:val="22"/>
                <w:szCs w:val="22"/>
                <w:lang w:val="en-US" w:eastAsia="zh-CN"/>
              </w:rPr>
              <w:t>单位</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ahoma" w:hAnsi="Tahoma" w:cs="Tahoma" w:eastAsiaTheme="minorEastAsia"/>
                <w:color w:val="000000"/>
                <w:kern w:val="0"/>
                <w:sz w:val="22"/>
                <w:szCs w:val="22"/>
                <w:lang w:val="en-US" w:eastAsia="zh-CN"/>
              </w:rPr>
            </w:pPr>
            <w:r>
              <w:rPr>
                <w:rFonts w:hint="eastAsia" w:ascii="Tahoma" w:hAnsi="Tahoma" w:cs="Tahoma"/>
                <w:color w:val="000000"/>
                <w:kern w:val="0"/>
                <w:sz w:val="22"/>
                <w:szCs w:val="22"/>
                <w:lang w:val="en-US" w:eastAsia="zh-CN"/>
              </w:rPr>
              <w:t>含税单价</w:t>
            </w:r>
          </w:p>
        </w:tc>
        <w:tc>
          <w:tcPr>
            <w:tcW w:w="11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ahoma" w:hAnsi="Tahoma" w:cs="Tahoma"/>
                <w:color w:val="000000"/>
                <w:kern w:val="0"/>
                <w:sz w:val="22"/>
                <w:szCs w:val="22"/>
                <w:lang w:val="en-US" w:eastAsia="zh-CN"/>
              </w:rPr>
            </w:pPr>
            <w:r>
              <w:rPr>
                <w:rFonts w:hint="eastAsia" w:ascii="Tahoma" w:hAnsi="Tahoma" w:cs="Tahoma"/>
                <w:color w:val="000000"/>
                <w:kern w:val="0"/>
                <w:sz w:val="22"/>
                <w:szCs w:val="22"/>
                <w:lang w:val="en-US" w:eastAsia="zh-CN"/>
              </w:rPr>
              <w:t>备注</w:t>
            </w:r>
          </w:p>
        </w:tc>
      </w:tr>
      <w:tr>
        <w:tblPrEx>
          <w:tblLayout w:type="fixed"/>
          <w:tblCellMar>
            <w:top w:w="0" w:type="dxa"/>
            <w:left w:w="108" w:type="dxa"/>
            <w:bottom w:w="0" w:type="dxa"/>
            <w:right w:w="108" w:type="dxa"/>
          </w:tblCellMar>
        </w:tblPrEx>
        <w:trPr>
          <w:trHeight w:val="694" w:hRule="atLeast"/>
        </w:trPr>
        <w:tc>
          <w:tcPr>
            <w:tcW w:w="9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盘管风机</w:t>
            </w:r>
          </w:p>
        </w:tc>
        <w:tc>
          <w:tcPr>
            <w:tcW w:w="461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外壳、回风滤网、换热片、供回风口清洗消毒，供回风口、冷凝水集排水清洁疏通</w:t>
            </w:r>
          </w:p>
        </w:tc>
        <w:tc>
          <w:tcPr>
            <w:tcW w:w="94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2"/>
                <w:szCs w:val="22"/>
              </w:rPr>
            </w:pPr>
            <w:r>
              <w:rPr>
                <w:rFonts w:hint="eastAsia" w:ascii="Tahoma" w:hAnsi="Tahoma" w:cs="Tahoma"/>
                <w:color w:val="000000"/>
                <w:kern w:val="0"/>
                <w:sz w:val="22"/>
                <w:szCs w:val="22"/>
              </w:rPr>
              <w:t>　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2"/>
                <w:szCs w:val="22"/>
              </w:rPr>
            </w:pP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2"/>
                <w:szCs w:val="22"/>
              </w:rPr>
            </w:pPr>
          </w:p>
        </w:tc>
      </w:tr>
      <w:tr>
        <w:tblPrEx>
          <w:tblLayout w:type="fixed"/>
          <w:tblCellMar>
            <w:top w:w="0" w:type="dxa"/>
            <w:left w:w="108" w:type="dxa"/>
            <w:bottom w:w="0" w:type="dxa"/>
            <w:right w:w="108" w:type="dxa"/>
          </w:tblCellMar>
        </w:tblPrEx>
        <w:trPr>
          <w:trHeight w:val="799" w:hRule="atLeast"/>
        </w:trPr>
        <w:tc>
          <w:tcPr>
            <w:tcW w:w="92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吊顶风柜</w:t>
            </w:r>
          </w:p>
        </w:tc>
        <w:tc>
          <w:tcPr>
            <w:tcW w:w="46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外壳、回风滤网、供回风口清洗消毒，冷凝水集排水清洁疏通</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2"/>
                <w:szCs w:val="22"/>
              </w:rPr>
            </w:pPr>
            <w:r>
              <w:rPr>
                <w:rFonts w:hint="eastAsia" w:ascii="Tahoma" w:hAnsi="Tahoma" w:cs="Tahoma"/>
                <w:color w:val="000000"/>
                <w:kern w:val="0"/>
                <w:sz w:val="22"/>
                <w:szCs w:val="22"/>
              </w:rPr>
              <w:t>　台</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2"/>
                <w:szCs w:val="22"/>
              </w:rPr>
            </w:pPr>
          </w:p>
        </w:tc>
        <w:tc>
          <w:tcPr>
            <w:tcW w:w="1174"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2"/>
                <w:szCs w:val="22"/>
              </w:rPr>
            </w:pPr>
          </w:p>
        </w:tc>
      </w:tr>
      <w:tr>
        <w:tblPrEx>
          <w:tblLayout w:type="fixed"/>
          <w:tblCellMar>
            <w:top w:w="0" w:type="dxa"/>
            <w:left w:w="108" w:type="dxa"/>
            <w:bottom w:w="0" w:type="dxa"/>
            <w:right w:w="108" w:type="dxa"/>
          </w:tblCellMar>
        </w:tblPrEx>
        <w:trPr>
          <w:trHeight w:val="499" w:hRule="atLeast"/>
        </w:trPr>
        <w:tc>
          <w:tcPr>
            <w:tcW w:w="929" w:type="dxa"/>
            <w:vMerge w:val="continue"/>
            <w:tcBorders>
              <w:top w:val="nil"/>
              <w:left w:val="single" w:color="auto" w:sz="4" w:space="0"/>
              <w:bottom w:val="single" w:color="auto" w:sz="4" w:space="0"/>
              <w:right w:val="single" w:color="auto" w:sz="4" w:space="0"/>
            </w:tcBorders>
            <w:vAlign w:val="center"/>
          </w:tcPr>
          <w:p>
            <w:pPr>
              <w:spacing w:line="360" w:lineRule="auto"/>
              <w:ind w:firstLine="284"/>
              <w:rPr>
                <w:rFonts w:hAnsi="宋体"/>
                <w:szCs w:val="21"/>
              </w:rPr>
            </w:pPr>
          </w:p>
        </w:tc>
        <w:tc>
          <w:tcPr>
            <w:tcW w:w="4614" w:type="dxa"/>
            <w:tcBorders>
              <w:top w:val="nil"/>
              <w:left w:val="nil"/>
              <w:bottom w:val="single" w:color="auto" w:sz="4" w:space="0"/>
              <w:right w:val="single" w:color="auto" w:sz="4" w:space="0"/>
            </w:tcBorders>
            <w:shd w:val="clear" w:color="auto" w:fill="auto"/>
            <w:vAlign w:val="center"/>
          </w:tcPr>
          <w:p>
            <w:pPr>
              <w:spacing w:line="360" w:lineRule="auto"/>
              <w:rPr>
                <w:rFonts w:hAnsi="宋体"/>
                <w:szCs w:val="21"/>
              </w:rPr>
            </w:pPr>
            <w:r>
              <w:rPr>
                <w:rFonts w:hint="eastAsia" w:ascii="宋体" w:hAnsi="宋体" w:cs="Tahoma"/>
                <w:color w:val="000000"/>
                <w:kern w:val="0"/>
                <w:sz w:val="22"/>
                <w:szCs w:val="22"/>
              </w:rPr>
              <w:t>回风口清洗消毒</w:t>
            </w:r>
          </w:p>
        </w:tc>
        <w:tc>
          <w:tcPr>
            <w:tcW w:w="946" w:type="dxa"/>
            <w:tcBorders>
              <w:top w:val="nil"/>
              <w:left w:val="nil"/>
              <w:bottom w:val="single" w:color="auto" w:sz="4" w:space="0"/>
              <w:right w:val="single" w:color="auto" w:sz="4" w:space="0"/>
            </w:tcBorders>
            <w:shd w:val="clear" w:color="auto" w:fill="auto"/>
            <w:vAlign w:val="center"/>
          </w:tcPr>
          <w:p>
            <w:pPr>
              <w:spacing w:line="360" w:lineRule="auto"/>
              <w:rPr>
                <w:rFonts w:hAnsi="宋体"/>
                <w:szCs w:val="21"/>
              </w:rPr>
            </w:pPr>
            <w:r>
              <w:rPr>
                <w:rFonts w:hint="eastAsia" w:ascii="Tahoma" w:hAnsi="Tahoma" w:cs="Tahoma"/>
                <w:color w:val="000000"/>
                <w:kern w:val="0"/>
                <w:sz w:val="22"/>
                <w:szCs w:val="22"/>
              </w:rPr>
              <w:t>　个</w:t>
            </w:r>
          </w:p>
        </w:tc>
        <w:tc>
          <w:tcPr>
            <w:tcW w:w="1418" w:type="dxa"/>
            <w:tcBorders>
              <w:top w:val="nil"/>
              <w:left w:val="nil"/>
              <w:bottom w:val="single" w:color="auto" w:sz="4" w:space="0"/>
              <w:right w:val="single" w:color="auto" w:sz="4" w:space="0"/>
            </w:tcBorders>
            <w:shd w:val="clear" w:color="auto" w:fill="auto"/>
            <w:vAlign w:val="center"/>
          </w:tcPr>
          <w:p>
            <w:pPr>
              <w:spacing w:line="360" w:lineRule="auto"/>
              <w:ind w:firstLine="284"/>
              <w:jc w:val="center"/>
              <w:rPr>
                <w:rFonts w:hAnsi="宋体"/>
                <w:szCs w:val="21"/>
              </w:rPr>
            </w:pPr>
          </w:p>
        </w:tc>
        <w:tc>
          <w:tcPr>
            <w:tcW w:w="1174" w:type="dxa"/>
            <w:tcBorders>
              <w:top w:val="nil"/>
              <w:left w:val="nil"/>
              <w:bottom w:val="single" w:color="auto" w:sz="4" w:space="0"/>
              <w:right w:val="single" w:color="auto" w:sz="4" w:space="0"/>
            </w:tcBorders>
            <w:shd w:val="clear" w:color="auto" w:fill="auto"/>
            <w:vAlign w:val="center"/>
          </w:tcPr>
          <w:p>
            <w:pPr>
              <w:spacing w:line="360" w:lineRule="auto"/>
              <w:ind w:firstLine="284"/>
              <w:jc w:val="center"/>
              <w:rPr>
                <w:rFonts w:hAnsi="宋体"/>
                <w:szCs w:val="21"/>
              </w:rPr>
            </w:pPr>
          </w:p>
        </w:tc>
      </w:tr>
      <w:tr>
        <w:tblPrEx>
          <w:tblLayout w:type="fixed"/>
          <w:tblCellMar>
            <w:top w:w="0" w:type="dxa"/>
            <w:left w:w="108" w:type="dxa"/>
            <w:bottom w:w="0" w:type="dxa"/>
            <w:right w:w="108" w:type="dxa"/>
          </w:tblCellMar>
        </w:tblPrEx>
        <w:trPr>
          <w:trHeight w:val="499" w:hRule="atLeast"/>
        </w:trPr>
        <w:tc>
          <w:tcPr>
            <w:tcW w:w="929" w:type="dxa"/>
            <w:vMerge w:val="continue"/>
            <w:tcBorders>
              <w:top w:val="nil"/>
              <w:left w:val="single" w:color="auto" w:sz="4" w:space="0"/>
              <w:bottom w:val="single" w:color="auto" w:sz="4" w:space="0"/>
              <w:right w:val="single" w:color="auto" w:sz="4" w:space="0"/>
            </w:tcBorders>
            <w:vAlign w:val="center"/>
          </w:tcPr>
          <w:p>
            <w:pPr>
              <w:spacing w:line="360" w:lineRule="auto"/>
              <w:ind w:firstLine="284"/>
              <w:rPr>
                <w:rFonts w:hAnsi="宋体"/>
                <w:szCs w:val="21"/>
              </w:rPr>
            </w:pPr>
          </w:p>
        </w:tc>
        <w:tc>
          <w:tcPr>
            <w:tcW w:w="4614" w:type="dxa"/>
            <w:tcBorders>
              <w:top w:val="nil"/>
              <w:left w:val="nil"/>
              <w:bottom w:val="single" w:color="auto" w:sz="4" w:space="0"/>
              <w:right w:val="single" w:color="auto" w:sz="4" w:space="0"/>
            </w:tcBorders>
            <w:shd w:val="clear" w:color="auto" w:fill="auto"/>
            <w:vAlign w:val="center"/>
          </w:tcPr>
          <w:p>
            <w:pPr>
              <w:spacing w:line="360" w:lineRule="auto"/>
              <w:rPr>
                <w:rFonts w:hAnsi="宋体"/>
                <w:szCs w:val="21"/>
              </w:rPr>
            </w:pPr>
            <w:r>
              <w:rPr>
                <w:rFonts w:hint="eastAsia" w:ascii="宋体" w:hAnsi="宋体" w:cs="Tahoma"/>
                <w:color w:val="000000"/>
                <w:kern w:val="0"/>
                <w:sz w:val="22"/>
                <w:szCs w:val="22"/>
              </w:rPr>
              <w:t>供风口清洗消毒</w:t>
            </w:r>
          </w:p>
        </w:tc>
        <w:tc>
          <w:tcPr>
            <w:tcW w:w="946" w:type="dxa"/>
            <w:tcBorders>
              <w:top w:val="nil"/>
              <w:left w:val="nil"/>
              <w:bottom w:val="single" w:color="auto" w:sz="4" w:space="0"/>
              <w:right w:val="single" w:color="auto" w:sz="4" w:space="0"/>
            </w:tcBorders>
            <w:shd w:val="clear" w:color="auto" w:fill="auto"/>
            <w:vAlign w:val="center"/>
          </w:tcPr>
          <w:p>
            <w:pPr>
              <w:spacing w:line="360" w:lineRule="auto"/>
              <w:rPr>
                <w:rFonts w:hAnsi="宋体"/>
                <w:szCs w:val="21"/>
              </w:rPr>
            </w:pPr>
            <w:r>
              <w:rPr>
                <w:rFonts w:hint="eastAsia" w:ascii="Tahoma" w:hAnsi="Tahoma" w:cs="Tahoma"/>
                <w:color w:val="000000"/>
                <w:kern w:val="0"/>
                <w:sz w:val="22"/>
                <w:szCs w:val="22"/>
              </w:rPr>
              <w:t>　个</w:t>
            </w:r>
          </w:p>
        </w:tc>
        <w:tc>
          <w:tcPr>
            <w:tcW w:w="1418" w:type="dxa"/>
            <w:tcBorders>
              <w:top w:val="nil"/>
              <w:left w:val="nil"/>
              <w:bottom w:val="single" w:color="auto" w:sz="4" w:space="0"/>
              <w:right w:val="single" w:color="auto" w:sz="4" w:space="0"/>
            </w:tcBorders>
            <w:shd w:val="clear" w:color="auto" w:fill="auto"/>
            <w:vAlign w:val="center"/>
          </w:tcPr>
          <w:p>
            <w:pPr>
              <w:spacing w:line="360" w:lineRule="auto"/>
              <w:ind w:firstLine="284"/>
              <w:jc w:val="center"/>
              <w:rPr>
                <w:rFonts w:hAnsi="宋体"/>
                <w:szCs w:val="21"/>
              </w:rPr>
            </w:pPr>
          </w:p>
        </w:tc>
        <w:tc>
          <w:tcPr>
            <w:tcW w:w="1174" w:type="dxa"/>
            <w:tcBorders>
              <w:top w:val="nil"/>
              <w:left w:val="nil"/>
              <w:bottom w:val="single" w:color="auto" w:sz="4" w:space="0"/>
              <w:right w:val="single" w:color="auto" w:sz="4" w:space="0"/>
            </w:tcBorders>
            <w:shd w:val="clear" w:color="auto" w:fill="auto"/>
            <w:vAlign w:val="center"/>
          </w:tcPr>
          <w:p>
            <w:pPr>
              <w:spacing w:line="360" w:lineRule="auto"/>
              <w:ind w:firstLine="284"/>
              <w:jc w:val="center"/>
              <w:rPr>
                <w:rFonts w:hAnsi="宋体"/>
                <w:szCs w:val="21"/>
              </w:rPr>
            </w:pPr>
          </w:p>
        </w:tc>
      </w:tr>
      <w:tr>
        <w:tblPrEx>
          <w:tblLayout w:type="fixed"/>
          <w:tblCellMar>
            <w:top w:w="0" w:type="dxa"/>
            <w:left w:w="108" w:type="dxa"/>
            <w:bottom w:w="0" w:type="dxa"/>
            <w:right w:w="108" w:type="dxa"/>
          </w:tblCellMar>
        </w:tblPrEx>
        <w:trPr>
          <w:trHeight w:val="799" w:hRule="atLeast"/>
        </w:trPr>
        <w:tc>
          <w:tcPr>
            <w:tcW w:w="92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落地式水冷空调风柜</w:t>
            </w:r>
          </w:p>
        </w:tc>
        <w:tc>
          <w:tcPr>
            <w:tcW w:w="46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外壳、回风滤网、换热片、供回风口清洗消毒，冷凝水集排水清洁疏通</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2"/>
                <w:szCs w:val="22"/>
              </w:rPr>
            </w:pPr>
            <w:r>
              <w:rPr>
                <w:rFonts w:hint="eastAsia" w:ascii="Tahoma" w:hAnsi="Tahoma" w:cs="Tahoma"/>
                <w:color w:val="000000"/>
                <w:kern w:val="0"/>
                <w:sz w:val="22"/>
                <w:szCs w:val="22"/>
              </w:rPr>
              <w:t>　台</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2"/>
                <w:szCs w:val="22"/>
              </w:rPr>
            </w:pPr>
          </w:p>
        </w:tc>
        <w:tc>
          <w:tcPr>
            <w:tcW w:w="1174"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2"/>
                <w:szCs w:val="22"/>
              </w:rPr>
            </w:pPr>
          </w:p>
        </w:tc>
      </w:tr>
      <w:tr>
        <w:tblPrEx>
          <w:tblLayout w:type="fixed"/>
          <w:tblCellMar>
            <w:top w:w="0" w:type="dxa"/>
            <w:left w:w="108" w:type="dxa"/>
            <w:bottom w:w="0" w:type="dxa"/>
            <w:right w:w="108" w:type="dxa"/>
          </w:tblCellMar>
        </w:tblPrEx>
        <w:trPr>
          <w:trHeight w:val="499" w:hRule="atLeast"/>
        </w:trPr>
        <w:tc>
          <w:tcPr>
            <w:tcW w:w="929" w:type="dxa"/>
            <w:vMerge w:val="continue"/>
            <w:tcBorders>
              <w:top w:val="nil"/>
              <w:left w:val="single" w:color="auto" w:sz="4" w:space="0"/>
              <w:bottom w:val="single" w:color="auto" w:sz="4" w:space="0"/>
              <w:right w:val="single" w:color="auto" w:sz="4" w:space="0"/>
            </w:tcBorders>
            <w:vAlign w:val="center"/>
          </w:tcPr>
          <w:p>
            <w:pPr>
              <w:spacing w:line="360" w:lineRule="auto"/>
              <w:ind w:firstLine="284"/>
              <w:rPr>
                <w:rFonts w:hAnsi="宋体"/>
                <w:szCs w:val="21"/>
              </w:rPr>
            </w:pPr>
          </w:p>
        </w:tc>
        <w:tc>
          <w:tcPr>
            <w:tcW w:w="4614" w:type="dxa"/>
            <w:tcBorders>
              <w:top w:val="nil"/>
              <w:left w:val="nil"/>
              <w:bottom w:val="single" w:color="auto" w:sz="4" w:space="0"/>
              <w:right w:val="single" w:color="auto" w:sz="4" w:space="0"/>
            </w:tcBorders>
            <w:shd w:val="clear" w:color="auto" w:fill="auto"/>
            <w:vAlign w:val="center"/>
          </w:tcPr>
          <w:p>
            <w:pPr>
              <w:spacing w:line="360" w:lineRule="auto"/>
              <w:rPr>
                <w:rFonts w:hAnsi="宋体"/>
                <w:szCs w:val="21"/>
              </w:rPr>
            </w:pPr>
            <w:r>
              <w:rPr>
                <w:rFonts w:hint="eastAsia" w:ascii="宋体" w:hAnsi="宋体" w:cs="Tahoma"/>
                <w:color w:val="000000"/>
                <w:kern w:val="0"/>
                <w:sz w:val="22"/>
                <w:szCs w:val="22"/>
              </w:rPr>
              <w:t>回风口清洗消毒</w:t>
            </w:r>
          </w:p>
        </w:tc>
        <w:tc>
          <w:tcPr>
            <w:tcW w:w="946" w:type="dxa"/>
            <w:tcBorders>
              <w:top w:val="nil"/>
              <w:left w:val="nil"/>
              <w:bottom w:val="single" w:color="auto" w:sz="4" w:space="0"/>
              <w:right w:val="single" w:color="auto" w:sz="4" w:space="0"/>
            </w:tcBorders>
            <w:shd w:val="clear" w:color="auto" w:fill="auto"/>
            <w:vAlign w:val="center"/>
          </w:tcPr>
          <w:p>
            <w:pPr>
              <w:spacing w:line="360" w:lineRule="auto"/>
              <w:rPr>
                <w:rFonts w:hAnsi="宋体"/>
                <w:szCs w:val="21"/>
              </w:rPr>
            </w:pPr>
            <w:r>
              <w:rPr>
                <w:rFonts w:hint="eastAsia" w:ascii="Tahoma" w:hAnsi="Tahoma" w:cs="Tahoma"/>
                <w:color w:val="000000"/>
                <w:kern w:val="0"/>
                <w:sz w:val="22"/>
                <w:szCs w:val="22"/>
              </w:rPr>
              <w:t>　个</w:t>
            </w:r>
          </w:p>
        </w:tc>
        <w:tc>
          <w:tcPr>
            <w:tcW w:w="1418" w:type="dxa"/>
            <w:tcBorders>
              <w:top w:val="nil"/>
              <w:left w:val="nil"/>
              <w:bottom w:val="single" w:color="auto" w:sz="4" w:space="0"/>
              <w:right w:val="single" w:color="auto" w:sz="4" w:space="0"/>
            </w:tcBorders>
            <w:shd w:val="clear" w:color="auto" w:fill="auto"/>
            <w:vAlign w:val="center"/>
          </w:tcPr>
          <w:p>
            <w:pPr>
              <w:spacing w:line="360" w:lineRule="auto"/>
              <w:ind w:firstLine="284"/>
              <w:jc w:val="center"/>
              <w:rPr>
                <w:rFonts w:hAnsi="宋体"/>
                <w:szCs w:val="21"/>
              </w:rPr>
            </w:pPr>
          </w:p>
        </w:tc>
        <w:tc>
          <w:tcPr>
            <w:tcW w:w="1174" w:type="dxa"/>
            <w:tcBorders>
              <w:top w:val="nil"/>
              <w:left w:val="nil"/>
              <w:bottom w:val="single" w:color="auto" w:sz="4" w:space="0"/>
              <w:right w:val="single" w:color="auto" w:sz="4" w:space="0"/>
            </w:tcBorders>
            <w:shd w:val="clear" w:color="auto" w:fill="auto"/>
            <w:vAlign w:val="center"/>
          </w:tcPr>
          <w:p>
            <w:pPr>
              <w:spacing w:line="360" w:lineRule="auto"/>
              <w:ind w:firstLine="284"/>
              <w:jc w:val="center"/>
              <w:rPr>
                <w:rFonts w:hAnsi="宋体"/>
                <w:szCs w:val="21"/>
              </w:rPr>
            </w:pPr>
          </w:p>
        </w:tc>
      </w:tr>
      <w:tr>
        <w:tblPrEx>
          <w:tblLayout w:type="fixed"/>
          <w:tblCellMar>
            <w:top w:w="0" w:type="dxa"/>
            <w:left w:w="108" w:type="dxa"/>
            <w:bottom w:w="0" w:type="dxa"/>
            <w:right w:w="108" w:type="dxa"/>
          </w:tblCellMar>
        </w:tblPrEx>
        <w:trPr>
          <w:trHeight w:val="499" w:hRule="atLeast"/>
        </w:trPr>
        <w:tc>
          <w:tcPr>
            <w:tcW w:w="929" w:type="dxa"/>
            <w:vMerge w:val="continue"/>
            <w:tcBorders>
              <w:top w:val="nil"/>
              <w:left w:val="single" w:color="auto" w:sz="4" w:space="0"/>
              <w:bottom w:val="single" w:color="auto" w:sz="4" w:space="0"/>
              <w:right w:val="single" w:color="auto" w:sz="4" w:space="0"/>
            </w:tcBorders>
            <w:vAlign w:val="center"/>
          </w:tcPr>
          <w:p>
            <w:pPr>
              <w:spacing w:line="360" w:lineRule="auto"/>
              <w:ind w:firstLine="284"/>
              <w:rPr>
                <w:rFonts w:hAnsi="宋体"/>
                <w:szCs w:val="21"/>
              </w:rPr>
            </w:pPr>
          </w:p>
        </w:tc>
        <w:tc>
          <w:tcPr>
            <w:tcW w:w="4614" w:type="dxa"/>
            <w:tcBorders>
              <w:top w:val="nil"/>
              <w:left w:val="nil"/>
              <w:bottom w:val="single" w:color="auto" w:sz="4" w:space="0"/>
              <w:right w:val="single" w:color="auto" w:sz="4" w:space="0"/>
            </w:tcBorders>
            <w:shd w:val="clear" w:color="auto" w:fill="auto"/>
            <w:vAlign w:val="center"/>
          </w:tcPr>
          <w:p>
            <w:pPr>
              <w:spacing w:line="360" w:lineRule="auto"/>
              <w:rPr>
                <w:rFonts w:hAnsi="宋体"/>
                <w:szCs w:val="21"/>
              </w:rPr>
            </w:pPr>
            <w:r>
              <w:rPr>
                <w:rFonts w:hint="eastAsia" w:ascii="宋体" w:hAnsi="宋体" w:cs="Tahoma"/>
                <w:color w:val="000000"/>
                <w:kern w:val="0"/>
                <w:sz w:val="22"/>
                <w:szCs w:val="22"/>
              </w:rPr>
              <w:t>供风口清洗消毒</w:t>
            </w:r>
          </w:p>
        </w:tc>
        <w:tc>
          <w:tcPr>
            <w:tcW w:w="946" w:type="dxa"/>
            <w:tcBorders>
              <w:top w:val="nil"/>
              <w:left w:val="nil"/>
              <w:bottom w:val="single" w:color="auto" w:sz="4" w:space="0"/>
              <w:right w:val="single" w:color="auto" w:sz="4" w:space="0"/>
            </w:tcBorders>
            <w:shd w:val="clear" w:color="auto" w:fill="auto"/>
            <w:vAlign w:val="center"/>
          </w:tcPr>
          <w:p>
            <w:pPr>
              <w:spacing w:line="360" w:lineRule="auto"/>
              <w:rPr>
                <w:rFonts w:hAnsi="宋体"/>
                <w:szCs w:val="21"/>
              </w:rPr>
            </w:pPr>
            <w:r>
              <w:rPr>
                <w:rFonts w:hint="eastAsia" w:ascii="Tahoma" w:hAnsi="Tahoma" w:cs="Tahoma"/>
                <w:color w:val="000000"/>
                <w:kern w:val="0"/>
                <w:sz w:val="22"/>
                <w:szCs w:val="22"/>
              </w:rPr>
              <w:t>　个</w:t>
            </w:r>
          </w:p>
        </w:tc>
        <w:tc>
          <w:tcPr>
            <w:tcW w:w="1418" w:type="dxa"/>
            <w:tcBorders>
              <w:top w:val="nil"/>
              <w:left w:val="nil"/>
              <w:bottom w:val="single" w:color="auto" w:sz="4" w:space="0"/>
              <w:right w:val="single" w:color="auto" w:sz="4" w:space="0"/>
            </w:tcBorders>
            <w:shd w:val="clear" w:color="auto" w:fill="auto"/>
            <w:vAlign w:val="center"/>
          </w:tcPr>
          <w:p>
            <w:pPr>
              <w:spacing w:line="360" w:lineRule="auto"/>
              <w:ind w:firstLine="284"/>
              <w:jc w:val="center"/>
              <w:rPr>
                <w:rFonts w:hAnsi="宋体"/>
                <w:szCs w:val="21"/>
              </w:rPr>
            </w:pPr>
          </w:p>
        </w:tc>
        <w:tc>
          <w:tcPr>
            <w:tcW w:w="1174" w:type="dxa"/>
            <w:tcBorders>
              <w:top w:val="nil"/>
              <w:left w:val="nil"/>
              <w:bottom w:val="single" w:color="auto" w:sz="4" w:space="0"/>
              <w:right w:val="single" w:color="auto" w:sz="4" w:space="0"/>
            </w:tcBorders>
            <w:shd w:val="clear" w:color="auto" w:fill="auto"/>
            <w:vAlign w:val="center"/>
          </w:tcPr>
          <w:p>
            <w:pPr>
              <w:spacing w:line="360" w:lineRule="auto"/>
              <w:ind w:firstLine="284"/>
              <w:jc w:val="center"/>
              <w:rPr>
                <w:rFonts w:hAnsi="宋体"/>
                <w:szCs w:val="21"/>
              </w:rPr>
            </w:pPr>
          </w:p>
        </w:tc>
      </w:tr>
      <w:tr>
        <w:tblPrEx>
          <w:tblLayout w:type="fixed"/>
          <w:tblCellMar>
            <w:top w:w="0" w:type="dxa"/>
            <w:left w:w="108" w:type="dxa"/>
            <w:bottom w:w="0" w:type="dxa"/>
            <w:right w:w="108" w:type="dxa"/>
          </w:tblCellMar>
        </w:tblPrEx>
        <w:trPr>
          <w:trHeight w:val="765" w:hRule="atLeast"/>
        </w:trPr>
        <w:tc>
          <w:tcPr>
            <w:tcW w:w="92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Tahoma"/>
                <w:color w:val="000000"/>
                <w:kern w:val="0"/>
                <w:sz w:val="22"/>
                <w:szCs w:val="22"/>
              </w:rPr>
            </w:pPr>
            <w:r>
              <w:rPr>
                <w:rFonts w:hint="eastAsia" w:ascii="宋体" w:hAnsi="宋体" w:cs="Tahoma"/>
                <w:color w:val="000000"/>
                <w:kern w:val="0"/>
                <w:sz w:val="22"/>
                <w:szCs w:val="22"/>
              </w:rPr>
              <w:t>分体空调</w:t>
            </w:r>
          </w:p>
        </w:tc>
        <w:tc>
          <w:tcPr>
            <w:tcW w:w="46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Tahoma"/>
                <w:color w:val="000000"/>
                <w:kern w:val="0"/>
                <w:sz w:val="22"/>
                <w:szCs w:val="22"/>
              </w:rPr>
            </w:pPr>
            <w:r>
              <w:rPr>
                <w:rFonts w:hint="eastAsia" w:ascii="宋体" w:hAnsi="宋体" w:cs="Tahoma"/>
                <w:color w:val="000000"/>
                <w:kern w:val="0"/>
                <w:sz w:val="22"/>
                <w:szCs w:val="22"/>
              </w:rPr>
              <w:t>室内机外壳、回风滤网、换热片、供回风口清洗消毒，冷凝水集排水清洁疏通</w:t>
            </w:r>
          </w:p>
        </w:tc>
        <w:tc>
          <w:tcPr>
            <w:tcW w:w="946" w:type="dxa"/>
            <w:tcBorders>
              <w:top w:val="nil"/>
              <w:left w:val="nil"/>
              <w:bottom w:val="single" w:color="auto" w:sz="4" w:space="0"/>
              <w:right w:val="single" w:color="auto" w:sz="4" w:space="0"/>
            </w:tcBorders>
            <w:shd w:val="clear" w:color="auto" w:fill="auto"/>
            <w:vAlign w:val="center"/>
          </w:tcPr>
          <w:p>
            <w:pPr>
              <w:widowControl/>
              <w:jc w:val="left"/>
              <w:rPr>
                <w:rFonts w:ascii="Tahoma" w:hAnsi="Tahoma" w:cs="Tahoma"/>
                <w:color w:val="000000"/>
                <w:kern w:val="0"/>
                <w:sz w:val="22"/>
                <w:szCs w:val="22"/>
              </w:rPr>
            </w:pPr>
            <w:r>
              <w:rPr>
                <w:rFonts w:hint="eastAsia" w:ascii="Tahoma" w:hAnsi="Tahoma" w:cs="Tahoma"/>
                <w:color w:val="000000"/>
                <w:kern w:val="0"/>
                <w:sz w:val="22"/>
                <w:szCs w:val="22"/>
              </w:rPr>
              <w:t>　台</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2"/>
                <w:szCs w:val="22"/>
              </w:rPr>
            </w:pPr>
          </w:p>
        </w:tc>
        <w:tc>
          <w:tcPr>
            <w:tcW w:w="1174" w:type="dxa"/>
            <w:tcBorders>
              <w:top w:val="nil"/>
              <w:left w:val="nil"/>
              <w:bottom w:val="single" w:color="auto" w:sz="4" w:space="0"/>
              <w:right w:val="single" w:color="auto" w:sz="4" w:space="0"/>
            </w:tcBorders>
            <w:shd w:val="clear" w:color="auto" w:fill="auto"/>
            <w:vAlign w:val="center"/>
          </w:tcPr>
          <w:p>
            <w:pPr>
              <w:widowControl/>
              <w:jc w:val="center"/>
              <w:rPr>
                <w:rFonts w:ascii="Tahoma" w:hAnsi="Tahoma" w:cs="Tahoma"/>
                <w:color w:val="000000"/>
                <w:kern w:val="0"/>
                <w:sz w:val="22"/>
                <w:szCs w:val="22"/>
              </w:rPr>
            </w:pPr>
          </w:p>
        </w:tc>
      </w:tr>
      <w:tr>
        <w:tblPrEx>
          <w:tblLayout w:type="fixed"/>
          <w:tblCellMar>
            <w:top w:w="0" w:type="dxa"/>
            <w:left w:w="108" w:type="dxa"/>
            <w:bottom w:w="0" w:type="dxa"/>
            <w:right w:w="108" w:type="dxa"/>
          </w:tblCellMar>
        </w:tblPrEx>
        <w:trPr>
          <w:trHeight w:val="630" w:hRule="atLeast"/>
        </w:trPr>
        <w:tc>
          <w:tcPr>
            <w:tcW w:w="929" w:type="dxa"/>
            <w:vMerge w:val="continue"/>
            <w:tcBorders>
              <w:top w:val="nil"/>
              <w:left w:val="single" w:color="auto" w:sz="4" w:space="0"/>
              <w:bottom w:val="single" w:color="auto" w:sz="4" w:space="0"/>
              <w:right w:val="single" w:color="auto" w:sz="4" w:space="0"/>
            </w:tcBorders>
            <w:vAlign w:val="center"/>
          </w:tcPr>
          <w:p>
            <w:pPr>
              <w:spacing w:line="360" w:lineRule="auto"/>
              <w:ind w:firstLine="284"/>
              <w:rPr>
                <w:rFonts w:hAnsi="宋体"/>
                <w:szCs w:val="21"/>
              </w:rPr>
            </w:pPr>
          </w:p>
        </w:tc>
        <w:tc>
          <w:tcPr>
            <w:tcW w:w="4614" w:type="dxa"/>
            <w:tcBorders>
              <w:top w:val="nil"/>
              <w:left w:val="nil"/>
              <w:bottom w:val="single" w:color="auto" w:sz="4" w:space="0"/>
              <w:right w:val="single" w:color="auto" w:sz="4" w:space="0"/>
            </w:tcBorders>
            <w:shd w:val="clear" w:color="auto" w:fill="auto"/>
            <w:vAlign w:val="center"/>
          </w:tcPr>
          <w:p>
            <w:pPr>
              <w:spacing w:line="360" w:lineRule="auto"/>
              <w:rPr>
                <w:rFonts w:hAnsi="宋体"/>
                <w:szCs w:val="21"/>
              </w:rPr>
            </w:pPr>
            <w:r>
              <w:rPr>
                <w:rFonts w:hint="eastAsia" w:ascii="宋体" w:hAnsi="宋体" w:cs="Tahoma"/>
                <w:color w:val="000000"/>
                <w:kern w:val="0"/>
                <w:sz w:val="22"/>
                <w:szCs w:val="22"/>
              </w:rPr>
              <w:t>室外机表面除尘外壳、换热片清洗（注</w:t>
            </w:r>
            <w:r>
              <w:rPr>
                <w:rFonts w:hint="eastAsia" w:ascii="宋体" w:hAnsi="宋体" w:cs="Tahoma"/>
                <w:color w:val="000000"/>
                <w:kern w:val="0"/>
                <w:sz w:val="22"/>
                <w:szCs w:val="22"/>
                <w:lang w:eastAsia="zh-CN"/>
              </w:rPr>
              <w:t>：</w:t>
            </w:r>
            <w:r>
              <w:rPr>
                <w:rFonts w:hint="eastAsia" w:ascii="宋体" w:hAnsi="宋体" w:cs="Tahoma"/>
                <w:color w:val="000000"/>
                <w:kern w:val="0"/>
                <w:sz w:val="22"/>
                <w:szCs w:val="22"/>
              </w:rPr>
              <w:t>一般不用高空作业，大部分为平台作业）</w:t>
            </w:r>
          </w:p>
        </w:tc>
        <w:tc>
          <w:tcPr>
            <w:tcW w:w="946" w:type="dxa"/>
            <w:tcBorders>
              <w:top w:val="nil"/>
              <w:left w:val="nil"/>
              <w:bottom w:val="single" w:color="auto" w:sz="4" w:space="0"/>
              <w:right w:val="single" w:color="auto" w:sz="4" w:space="0"/>
            </w:tcBorders>
            <w:shd w:val="clear" w:color="auto" w:fill="auto"/>
            <w:vAlign w:val="center"/>
          </w:tcPr>
          <w:p>
            <w:pPr>
              <w:spacing w:line="360" w:lineRule="auto"/>
              <w:rPr>
                <w:rFonts w:hAnsi="宋体"/>
                <w:szCs w:val="21"/>
              </w:rPr>
            </w:pPr>
            <w:r>
              <w:rPr>
                <w:rFonts w:hint="eastAsia" w:ascii="Tahoma" w:hAnsi="Tahoma" w:cs="Tahoma"/>
                <w:color w:val="000000"/>
                <w:kern w:val="0"/>
                <w:sz w:val="22"/>
                <w:szCs w:val="22"/>
              </w:rPr>
              <w:t>　台</w:t>
            </w:r>
          </w:p>
        </w:tc>
        <w:tc>
          <w:tcPr>
            <w:tcW w:w="1418" w:type="dxa"/>
            <w:tcBorders>
              <w:top w:val="nil"/>
              <w:left w:val="nil"/>
              <w:bottom w:val="single" w:color="auto" w:sz="4" w:space="0"/>
              <w:right w:val="single" w:color="auto" w:sz="4" w:space="0"/>
            </w:tcBorders>
            <w:shd w:val="clear" w:color="auto" w:fill="auto"/>
            <w:vAlign w:val="center"/>
          </w:tcPr>
          <w:p>
            <w:pPr>
              <w:spacing w:line="360" w:lineRule="auto"/>
              <w:ind w:firstLine="284"/>
              <w:jc w:val="center"/>
              <w:rPr>
                <w:rFonts w:hAnsi="宋体"/>
                <w:szCs w:val="21"/>
              </w:rPr>
            </w:pPr>
          </w:p>
        </w:tc>
        <w:tc>
          <w:tcPr>
            <w:tcW w:w="1174" w:type="dxa"/>
            <w:tcBorders>
              <w:top w:val="nil"/>
              <w:left w:val="nil"/>
              <w:bottom w:val="single" w:color="auto" w:sz="4" w:space="0"/>
              <w:right w:val="single" w:color="auto" w:sz="4" w:space="0"/>
            </w:tcBorders>
            <w:shd w:val="clear" w:color="auto" w:fill="auto"/>
            <w:vAlign w:val="center"/>
          </w:tcPr>
          <w:p>
            <w:pPr>
              <w:spacing w:line="360" w:lineRule="auto"/>
              <w:ind w:firstLine="284"/>
              <w:jc w:val="center"/>
              <w:rPr>
                <w:rFonts w:hAnsi="宋体"/>
                <w:szCs w:val="21"/>
              </w:rPr>
            </w:pPr>
          </w:p>
        </w:tc>
      </w:tr>
      <w:tr>
        <w:tblPrEx>
          <w:tblLayout w:type="fixed"/>
          <w:tblCellMar>
            <w:top w:w="0" w:type="dxa"/>
            <w:left w:w="108" w:type="dxa"/>
            <w:bottom w:w="0" w:type="dxa"/>
            <w:right w:w="108" w:type="dxa"/>
          </w:tblCellMar>
        </w:tblPrEx>
        <w:trPr>
          <w:trHeight w:val="630" w:hRule="atLeast"/>
        </w:trPr>
        <w:tc>
          <w:tcPr>
            <w:tcW w:w="554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2420" w:firstLineChars="1100"/>
              <w:rPr>
                <w:rFonts w:hint="default" w:ascii="宋体" w:hAnsi="宋体" w:cs="Tahoma" w:eastAsiaTheme="minorEastAsia"/>
                <w:color w:val="000000"/>
                <w:kern w:val="0"/>
                <w:sz w:val="22"/>
                <w:szCs w:val="22"/>
                <w:lang w:val="en-US" w:eastAsia="zh-CN"/>
              </w:rPr>
            </w:pPr>
            <w:r>
              <w:rPr>
                <w:rFonts w:hint="eastAsia" w:ascii="宋体" w:hAnsi="宋体" w:cs="Tahoma"/>
                <w:color w:val="000000"/>
                <w:kern w:val="0"/>
                <w:sz w:val="22"/>
                <w:szCs w:val="22"/>
                <w:lang w:val="en-US" w:eastAsia="zh-CN"/>
              </w:rPr>
              <w:t>报价税率</w:t>
            </w:r>
          </w:p>
        </w:tc>
        <w:tc>
          <w:tcPr>
            <w:tcW w:w="353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firstLine="284"/>
              <w:jc w:val="center"/>
              <w:rPr>
                <w:rFonts w:hAnsi="宋体"/>
                <w:szCs w:val="21"/>
              </w:rPr>
            </w:pPr>
          </w:p>
        </w:tc>
      </w:tr>
    </w:tbl>
    <w:p>
      <w:pPr>
        <w:spacing w:line="360" w:lineRule="auto"/>
        <w:ind w:firstLine="284"/>
        <w:rPr>
          <w:rFonts w:hAnsi="宋体"/>
          <w:szCs w:val="21"/>
        </w:rPr>
      </w:pPr>
    </w:p>
    <w:p>
      <w:pPr>
        <w:spacing w:line="360" w:lineRule="auto"/>
        <w:rPr>
          <w:rFonts w:hAnsi="宋体"/>
        </w:rPr>
      </w:pPr>
      <w:r>
        <w:rPr>
          <w:rFonts w:hint="eastAsia" w:hAnsi="宋体"/>
        </w:rPr>
        <w:t>注：（1）投标价格为人民币报价。</w:t>
      </w:r>
    </w:p>
    <w:p>
      <w:pPr>
        <w:tabs>
          <w:tab w:val="left" w:pos="8364"/>
        </w:tabs>
        <w:spacing w:line="360" w:lineRule="auto"/>
        <w:ind w:firstLine="283" w:firstLineChars="135"/>
        <w:rPr>
          <w:rFonts w:hAnsi="宋体"/>
        </w:rPr>
      </w:pPr>
      <w:r>
        <w:rPr>
          <w:rFonts w:hint="eastAsia" w:hAnsi="宋体"/>
        </w:rPr>
        <w:t>（2）投标单价应包括投标人完成本项目（如果中标）所必须的</w:t>
      </w:r>
      <w:r>
        <w:rPr>
          <w:rFonts w:hint="eastAsia" w:hAnsi="宋体"/>
          <w:bCs/>
        </w:rPr>
        <w:t>所有成本费用和投标人应承担的一切税费</w:t>
      </w:r>
      <w:r>
        <w:rPr>
          <w:rFonts w:hint="eastAsia" w:hAnsi="宋体"/>
        </w:rPr>
        <w:t>，包括但不限于全部人工费、材料、工具、机具、税费及相关措施费用等等。</w:t>
      </w:r>
    </w:p>
    <w:p>
      <w:pPr>
        <w:tabs>
          <w:tab w:val="left" w:pos="8364"/>
        </w:tabs>
        <w:spacing w:line="360" w:lineRule="auto"/>
        <w:ind w:firstLine="283" w:firstLineChars="135"/>
        <w:rPr>
          <w:rFonts w:hAnsi="宋体"/>
          <w:bCs/>
        </w:rPr>
      </w:pPr>
      <w:r>
        <w:rPr>
          <w:rFonts w:hint="eastAsia" w:hAnsi="宋体"/>
        </w:rPr>
        <w:t>（3）若用小写表示的金额和用大写表示的金额不一致，以大写表示的金额为准。</w:t>
      </w:r>
    </w:p>
    <w:p>
      <w:pPr>
        <w:spacing w:beforeLines="30" w:line="400" w:lineRule="exact"/>
        <w:rPr>
          <w:rFonts w:hAnsi="宋体"/>
          <w:szCs w:val="21"/>
        </w:rPr>
      </w:pPr>
    </w:p>
    <w:p>
      <w:pPr>
        <w:spacing w:beforeLines="30" w:line="400" w:lineRule="exact"/>
        <w:rPr>
          <w:rFonts w:hAnsi="宋体"/>
          <w:szCs w:val="21"/>
        </w:rPr>
      </w:pPr>
      <w:r>
        <w:rPr>
          <w:rFonts w:hint="eastAsia" w:hAnsi="宋体"/>
          <w:szCs w:val="21"/>
        </w:rPr>
        <w:t>投标人名称（盖章）：</w:t>
      </w:r>
    </w:p>
    <w:p>
      <w:pPr>
        <w:rPr>
          <w:rFonts w:hAnsi="宋体"/>
          <w:szCs w:val="21"/>
        </w:rPr>
      </w:pPr>
    </w:p>
    <w:p>
      <w:pPr>
        <w:rPr>
          <w:rFonts w:hAnsi="宋体"/>
          <w:szCs w:val="21"/>
        </w:rPr>
      </w:pPr>
      <w:r>
        <w:rPr>
          <w:rFonts w:hint="eastAsia" w:hAnsi="宋体"/>
          <w:szCs w:val="21"/>
        </w:rPr>
        <w:t>日期：     年    月   日</w:t>
      </w:r>
    </w:p>
    <w:p>
      <w:pPr>
        <w:widowControl/>
        <w:jc w:val="left"/>
        <w:rPr>
          <w:sz w:val="24"/>
        </w:rPr>
      </w:pPr>
    </w:p>
    <w:p>
      <w:pPr>
        <w:widowControl/>
        <w:jc w:val="left"/>
        <w:rPr>
          <w:sz w:val="24"/>
        </w:rPr>
      </w:pPr>
      <w:r>
        <w:rPr>
          <w:sz w:val="24"/>
        </w:rPr>
        <w:br w:type="page"/>
      </w:r>
    </w:p>
    <w:p>
      <w:pPr>
        <w:widowControl/>
        <w:jc w:val="left"/>
        <w:rPr>
          <w:rFonts w:ascii="宋体" w:hAnsi="宋体"/>
          <w:sz w:val="32"/>
        </w:rPr>
      </w:pPr>
      <w:r>
        <w:rPr>
          <w:rFonts w:hint="eastAsia" w:ascii="宋体" w:hAnsi="宋体"/>
          <w:sz w:val="32"/>
        </w:rPr>
        <w:t>附件2</w:t>
      </w:r>
    </w:p>
    <w:p>
      <w:pPr>
        <w:widowControl/>
        <w:jc w:val="right"/>
        <w:rPr>
          <w:rFonts w:ascii="宋体" w:hAnsi="宋体" w:eastAsia="宋体" w:cs="宋体"/>
          <w:kern w:val="0"/>
          <w:szCs w:val="21"/>
        </w:rPr>
      </w:pPr>
      <w:r>
        <w:rPr>
          <w:rFonts w:hint="eastAsia" w:ascii="宋体" w:hAnsi="宋体" w:eastAsia="宋体" w:cs="宋体"/>
          <w:kern w:val="0"/>
          <w:szCs w:val="21"/>
        </w:rPr>
        <w:t>编号：TZ4-23</w:t>
      </w:r>
    </w:p>
    <w:tbl>
      <w:tblPr>
        <w:tblStyle w:val="10"/>
        <w:tblW w:w="9356" w:type="dxa"/>
        <w:tblInd w:w="-34" w:type="dxa"/>
        <w:tblLayout w:type="fixed"/>
        <w:tblCellMar>
          <w:top w:w="0" w:type="dxa"/>
          <w:left w:w="108" w:type="dxa"/>
          <w:bottom w:w="0" w:type="dxa"/>
          <w:right w:w="108" w:type="dxa"/>
        </w:tblCellMar>
      </w:tblPr>
      <w:tblGrid>
        <w:gridCol w:w="981"/>
        <w:gridCol w:w="91"/>
        <w:gridCol w:w="535"/>
        <w:gridCol w:w="95"/>
        <w:gridCol w:w="1417"/>
        <w:gridCol w:w="73"/>
        <w:gridCol w:w="1060"/>
        <w:gridCol w:w="568"/>
        <w:gridCol w:w="172"/>
        <w:gridCol w:w="1180"/>
        <w:gridCol w:w="207"/>
        <w:gridCol w:w="233"/>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5"/>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rPr>
            </w:pPr>
            <w:r>
              <w:rPr>
                <w:rFonts w:hint="eastAsia" w:ascii="宋体" w:hAnsi="宋体" w:cs="宋体"/>
                <w:kern w:val="0"/>
                <w:sz w:val="28"/>
                <w:szCs w:val="28"/>
              </w:rPr>
              <w:t>项目名称：</w:t>
            </w:r>
            <w:r>
              <w:rPr>
                <w:rFonts w:ascii="宋体" w:hAnsi="宋体" w:cs="宋体"/>
                <w:kern w:val="0"/>
                <w:sz w:val="28"/>
                <w:szCs w:val="28"/>
              </w:rPr>
              <w:t xml:space="preserve"> </w:t>
            </w: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677"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47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417"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701"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2"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118"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654"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398" w:type="dxa"/>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702"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550"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12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8"/>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gridSpan w:val="3"/>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5"/>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供应商单位（盖章）：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rFonts w:hint="eastAsia"/>
          <w:sz w:val="28"/>
          <w:szCs w:val="28"/>
          <w:lang w:val="en-US" w:eastAsia="zh-CN"/>
        </w:rPr>
        <w:t>2</w:t>
      </w:r>
      <w:r>
        <w:rPr>
          <w:rFonts w:hint="eastAsia"/>
          <w:sz w:val="28"/>
          <w:szCs w:val="28"/>
        </w:rPr>
        <w:t>年  月   日</w:t>
      </w:r>
    </w:p>
    <w:p>
      <w:pPr>
        <w:widowControl/>
        <w:jc w:val="left"/>
        <w:rPr>
          <w:rFonts w:ascii="宋体" w:hAnsi="宋体"/>
          <w:sz w:val="32"/>
        </w:rPr>
      </w:pPr>
      <w:r>
        <w:rPr>
          <w:sz w:val="28"/>
          <w:szCs w:val="28"/>
        </w:rPr>
        <w:br w:type="page"/>
      </w:r>
      <w:r>
        <w:rPr>
          <w:rFonts w:hint="eastAsia" w:ascii="宋体" w:hAnsi="宋体"/>
          <w:sz w:val="32"/>
        </w:rPr>
        <w:t>附件3</w:t>
      </w:r>
    </w:p>
    <w:p>
      <w:pPr>
        <w:spacing w:line="500" w:lineRule="exact"/>
        <w:jc w:val="center"/>
        <w:rPr>
          <w:rFonts w:eastAsia="黑体"/>
          <w:b/>
          <w:bCs/>
          <w:sz w:val="36"/>
        </w:rPr>
      </w:pPr>
      <w:r>
        <w:rPr>
          <w:rFonts w:hint="eastAsia" w:eastAsia="黑体"/>
          <w:b/>
          <w:bCs/>
          <w:sz w:val="36"/>
        </w:rPr>
        <w:t>法定代表人证明书</w:t>
      </w:r>
    </w:p>
    <w:p>
      <w:pPr>
        <w:spacing w:line="500" w:lineRule="exact"/>
        <w:jc w:val="center"/>
        <w:rPr>
          <w:b/>
          <w:bCs/>
          <w:szCs w:val="21"/>
        </w:rPr>
      </w:pPr>
    </w:p>
    <w:p>
      <w:pPr>
        <w:spacing w:line="500" w:lineRule="exact"/>
        <w:ind w:firstLine="840" w:firstLineChars="300"/>
        <w:jc w:val="left"/>
        <w:rPr>
          <w:rFonts w:ascii="宋体" w:hAnsi="宋体" w:cs="宋体"/>
          <w:sz w:val="28"/>
        </w:rPr>
      </w:pPr>
      <w:r>
        <w:rPr>
          <w:rFonts w:hint="eastAsia" w:ascii="宋体" w:hAnsi="宋体" w:cs="宋体"/>
          <w:sz w:val="28"/>
        </w:rPr>
        <w:t>在我单位任职务，是我单位法定代表人，身份证号为，特此证明。</w:t>
      </w:r>
    </w:p>
    <w:p>
      <w:pPr>
        <w:spacing w:line="500" w:lineRule="exact"/>
        <w:ind w:firstLine="627" w:firstLineChars="224"/>
        <w:jc w:val="left"/>
        <w:rPr>
          <w:rFonts w:ascii="宋体" w:hAnsi="宋体" w:cs="宋体"/>
          <w:sz w:val="28"/>
        </w:rPr>
      </w:pPr>
    </w:p>
    <w:p>
      <w:pPr>
        <w:spacing w:line="500" w:lineRule="exact"/>
        <w:jc w:val="center"/>
        <w:rPr>
          <w:rFonts w:ascii="宋体" w:hAnsi="宋体" w:cs="宋体"/>
          <w:sz w:val="28"/>
        </w:rPr>
      </w:pPr>
      <w:r>
        <w:rPr>
          <w:rFonts w:hint="eastAsia" w:ascii="宋体" w:hAnsi="宋体" w:cs="宋体"/>
          <w:sz w:val="28"/>
        </w:rPr>
        <w:t>（单位盖章）</w:t>
      </w:r>
    </w:p>
    <w:p>
      <w:pPr>
        <w:spacing w:line="500" w:lineRule="exact"/>
        <w:ind w:firstLine="627" w:firstLineChars="224"/>
        <w:jc w:val="left"/>
        <w:rPr>
          <w:rFonts w:ascii="宋体" w:hAnsi="宋体" w:cs="宋体"/>
          <w:sz w:val="28"/>
        </w:rPr>
      </w:pPr>
      <w:r>
        <w:rPr>
          <w:rFonts w:hint="eastAsia" w:hAnsi="宋体" w:cs="宋体"/>
          <w:sz w:val="28"/>
          <w:szCs w:val="28"/>
        </w:rPr>
        <w:t>日期： 20  年月日</w:t>
      </w:r>
    </w:p>
    <w:p>
      <w:pPr>
        <w:spacing w:line="500" w:lineRule="exact"/>
        <w:jc w:val="left"/>
        <w:rPr>
          <w:rFonts w:ascii="宋体" w:hAnsi="宋体" w:cs="宋体"/>
          <w:sz w:val="28"/>
        </w:rPr>
      </w:pPr>
      <w:r>
        <w:rPr>
          <w:rFonts w:hint="eastAsia" w:ascii="宋体" w:hAnsi="宋体" w:cs="宋体"/>
          <w:sz w:val="28"/>
        </w:rPr>
        <w:t xml:space="preserve">单位通信地址：                                </w:t>
      </w:r>
    </w:p>
    <w:p>
      <w:pPr>
        <w:spacing w:line="500" w:lineRule="exact"/>
        <w:jc w:val="left"/>
        <w:rPr>
          <w:rFonts w:ascii="宋体" w:hAnsi="宋体" w:cs="宋体"/>
          <w:sz w:val="28"/>
        </w:rPr>
      </w:pPr>
      <w:r>
        <w:rPr>
          <w:rFonts w:hint="eastAsia" w:ascii="宋体" w:hAnsi="宋体" w:cs="宋体"/>
          <w:sz w:val="28"/>
        </w:rPr>
        <w:t xml:space="preserve">邮政编码：                 单位联系电话：   </w:t>
      </w:r>
    </w:p>
    <w:p/>
    <w:p>
      <w:pPr>
        <w:spacing w:line="360" w:lineRule="auto"/>
        <w:ind w:right="420"/>
        <w:jc w:val="left"/>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p>
      <w:pPr>
        <w:spacing w:line="360" w:lineRule="auto"/>
        <w:ind w:right="420"/>
        <w:jc w:val="left"/>
        <w:rPr>
          <w:rFonts w:ascii="宋体" w:hAnsi="宋体" w:cs="Arial"/>
          <w:color w:val="000000"/>
          <w:sz w:val="28"/>
          <w:szCs w:val="28"/>
        </w:rPr>
      </w:pPr>
    </w:p>
    <w:p>
      <w:pPr>
        <w:spacing w:line="360" w:lineRule="auto"/>
        <w:ind w:right="420"/>
        <w:jc w:val="left"/>
        <w:rPr>
          <w:rFonts w:ascii="宋体" w:hAnsi="宋体" w:cs="Arial"/>
          <w:color w:val="000000"/>
          <w:sz w:val="28"/>
          <w:szCs w:val="28"/>
        </w:rPr>
      </w:pPr>
      <w:r>
        <w:rPr>
          <w:rFonts w:hint="eastAsia" w:ascii="宋体" w:hAnsi="宋体" w:cs="Arial"/>
          <w:color w:val="000000"/>
          <w:sz w:val="28"/>
          <w:szCs w:val="28"/>
        </w:rPr>
        <w:br w:type="page"/>
      </w:r>
    </w:p>
    <w:p>
      <w:pPr>
        <w:spacing w:line="360" w:lineRule="auto"/>
        <w:ind w:firstLine="560" w:firstLineChars="200"/>
        <w:jc w:val="left"/>
        <w:rPr>
          <w:rFonts w:ascii="黑体" w:hAnsi="黑体" w:eastAsia="黑体" w:cs="黑体"/>
          <w:color w:val="000000"/>
          <w:sz w:val="28"/>
          <w:szCs w:val="28"/>
        </w:rPr>
      </w:pPr>
      <w:r>
        <w:rPr>
          <w:rFonts w:hint="eastAsia" w:ascii="黑体" w:hAnsi="黑体" w:eastAsia="黑体" w:cs="黑体"/>
          <w:color w:val="000000"/>
          <w:sz w:val="28"/>
          <w:szCs w:val="28"/>
        </w:rPr>
        <w:t>附件4</w:t>
      </w:r>
    </w:p>
    <w:p>
      <w:pPr>
        <w:spacing w:line="500" w:lineRule="exact"/>
        <w:jc w:val="center"/>
        <w:rPr>
          <w:rFonts w:eastAsia="黑体"/>
          <w:b/>
          <w:bCs/>
          <w:sz w:val="36"/>
        </w:rPr>
      </w:pPr>
      <w:r>
        <w:rPr>
          <w:rFonts w:hint="eastAsia" w:eastAsia="黑体"/>
          <w:b/>
          <w:bCs/>
          <w:sz w:val="36"/>
        </w:rPr>
        <w:t>法定代表人授权委托证明书</w:t>
      </w:r>
    </w:p>
    <w:p>
      <w:pPr>
        <w:pStyle w:val="20"/>
        <w:spacing w:line="360" w:lineRule="auto"/>
        <w:ind w:firstLine="424" w:firstLineChars="177"/>
        <w:rPr>
          <w:rFonts w:hAnsi="宋体"/>
          <w:bCs/>
          <w:sz w:val="24"/>
          <w:szCs w:val="24"/>
        </w:rPr>
      </w:pPr>
    </w:p>
    <w:p>
      <w:pPr>
        <w:pStyle w:val="20"/>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（项目名称）采购项目”的投标和合同执行，以我方的名义处理一切与之有关的事宜。</w:t>
      </w:r>
    </w:p>
    <w:p>
      <w:pPr>
        <w:pStyle w:val="20"/>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20"/>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20"/>
        <w:spacing w:line="360" w:lineRule="auto"/>
        <w:ind w:firstLine="480" w:firstLineChars="200"/>
        <w:rPr>
          <w:rFonts w:hAnsi="宋体"/>
          <w:sz w:val="24"/>
          <w:szCs w:val="24"/>
          <w:u w:val="single"/>
        </w:rPr>
      </w:pPr>
      <w:r>
        <w:rPr>
          <w:rFonts w:hint="eastAsia" w:hAnsi="宋体"/>
          <w:sz w:val="24"/>
          <w:szCs w:val="24"/>
        </w:rPr>
        <w:t>　　身份证号码：</w:t>
      </w:r>
    </w:p>
    <w:p>
      <w:pPr>
        <w:pStyle w:val="20"/>
        <w:spacing w:line="360" w:lineRule="auto"/>
        <w:ind w:firstLine="480" w:firstLineChars="200"/>
        <w:rPr>
          <w:rFonts w:hAnsi="宋体"/>
          <w:sz w:val="24"/>
          <w:szCs w:val="24"/>
          <w:u w:val="single"/>
        </w:rPr>
      </w:pPr>
      <w:r>
        <w:rPr>
          <w:rFonts w:hint="eastAsia" w:hAnsi="宋体"/>
          <w:sz w:val="24"/>
          <w:szCs w:val="24"/>
        </w:rPr>
        <w:t>　　（营业执照等）注册号码：</w:t>
      </w:r>
    </w:p>
    <w:p>
      <w:pPr>
        <w:pStyle w:val="20"/>
        <w:spacing w:line="360" w:lineRule="auto"/>
        <w:ind w:firstLine="480" w:firstLineChars="200"/>
        <w:rPr>
          <w:rFonts w:hAnsi="宋体"/>
          <w:sz w:val="24"/>
          <w:szCs w:val="24"/>
          <w:u w:val="single"/>
        </w:rPr>
      </w:pPr>
      <w:r>
        <w:rPr>
          <w:rFonts w:hint="eastAsia" w:hAnsi="宋体"/>
          <w:sz w:val="24"/>
          <w:szCs w:val="24"/>
        </w:rPr>
        <w:t>　　企业类型：</w:t>
      </w:r>
    </w:p>
    <w:p>
      <w:pPr>
        <w:pStyle w:val="20"/>
        <w:spacing w:line="360" w:lineRule="auto"/>
        <w:ind w:firstLine="480" w:firstLineChars="200"/>
        <w:rPr>
          <w:rFonts w:hAnsi="宋体"/>
          <w:sz w:val="24"/>
          <w:szCs w:val="24"/>
          <w:u w:val="single"/>
        </w:rPr>
      </w:pPr>
      <w:r>
        <w:rPr>
          <w:rFonts w:hint="eastAsia" w:hAnsi="宋体"/>
          <w:sz w:val="24"/>
          <w:szCs w:val="24"/>
        </w:rPr>
        <w:t>　　经营范围：</w:t>
      </w:r>
    </w:p>
    <w:p>
      <w:pPr>
        <w:pStyle w:val="20"/>
        <w:spacing w:line="360" w:lineRule="auto"/>
        <w:ind w:firstLine="480" w:firstLineChars="200"/>
        <w:rPr>
          <w:rFonts w:hAnsi="宋体"/>
          <w:sz w:val="24"/>
          <w:szCs w:val="24"/>
        </w:rPr>
      </w:pPr>
      <w:r>
        <w:rPr>
          <w:rFonts w:hint="eastAsia" w:hAnsi="宋体"/>
          <w:sz w:val="24"/>
          <w:szCs w:val="24"/>
        </w:rPr>
        <w:t>附：被授权人有效身份证正反面或其他身份证明材料复印　　　　　　　</w:t>
      </w:r>
    </w:p>
    <w:p>
      <w:pPr>
        <w:pStyle w:val="21"/>
        <w:spacing w:line="360" w:lineRule="auto"/>
        <w:rPr>
          <w:rFonts w:hAnsi="宋体"/>
          <w:sz w:val="24"/>
          <w:szCs w:val="24"/>
        </w:rPr>
      </w:pPr>
    </w:p>
    <w:p>
      <w:pPr>
        <w:pStyle w:val="21"/>
        <w:spacing w:line="360" w:lineRule="auto"/>
        <w:jc w:val="center"/>
        <w:rPr>
          <w:rFonts w:hAnsi="宋体" w:eastAsia="宋体" w:cs="宋体"/>
          <w:sz w:val="28"/>
        </w:rPr>
      </w:pPr>
    </w:p>
    <w:p>
      <w:pPr>
        <w:pStyle w:val="21"/>
        <w:spacing w:line="360" w:lineRule="auto"/>
        <w:jc w:val="center"/>
        <w:rPr>
          <w:rFonts w:hAnsi="宋体" w:eastAsia="宋体" w:cs="宋体"/>
          <w:sz w:val="28"/>
        </w:rPr>
      </w:pPr>
    </w:p>
    <w:p>
      <w:pPr>
        <w:pStyle w:val="21"/>
        <w:spacing w:line="360" w:lineRule="auto"/>
        <w:jc w:val="center"/>
        <w:rPr>
          <w:rFonts w:hAnsi="宋体" w:eastAsia="宋体" w:cs="宋体"/>
          <w:sz w:val="28"/>
        </w:rPr>
      </w:pPr>
    </w:p>
    <w:p>
      <w:pPr>
        <w:pStyle w:val="21"/>
        <w:spacing w:line="360" w:lineRule="auto"/>
        <w:rPr>
          <w:rFonts w:hAnsi="宋体" w:eastAsia="宋体" w:cs="宋体"/>
          <w:sz w:val="28"/>
        </w:rPr>
      </w:pPr>
    </w:p>
    <w:p>
      <w:pPr>
        <w:pStyle w:val="21"/>
        <w:spacing w:line="360" w:lineRule="auto"/>
        <w:rPr>
          <w:rFonts w:hAnsi="宋体" w:eastAsia="宋体" w:cs="宋体"/>
          <w:sz w:val="28"/>
          <w:szCs w:val="28"/>
        </w:rPr>
      </w:pPr>
      <w:r>
        <w:rPr>
          <w:rFonts w:hint="eastAsia" w:hAnsi="宋体" w:eastAsia="宋体" w:cs="宋体"/>
          <w:sz w:val="28"/>
        </w:rPr>
        <w:t>（单位盖章</w:t>
      </w:r>
      <w:r>
        <w:rPr>
          <w:rFonts w:hint="eastAsia" w:hAnsi="宋体" w:eastAsia="宋体" w:cs="宋体"/>
          <w:sz w:val="28"/>
          <w:szCs w:val="28"/>
        </w:rPr>
        <w:t>）：</w:t>
      </w:r>
    </w:p>
    <w:p>
      <w:pPr>
        <w:pStyle w:val="21"/>
        <w:spacing w:line="360" w:lineRule="auto"/>
        <w:rPr>
          <w:rFonts w:hAnsi="宋体" w:eastAsia="宋体" w:cs="宋体"/>
          <w:sz w:val="28"/>
          <w:szCs w:val="28"/>
        </w:rPr>
      </w:pPr>
    </w:p>
    <w:p>
      <w:pPr>
        <w:pStyle w:val="21"/>
        <w:spacing w:line="360" w:lineRule="auto"/>
        <w:rPr>
          <w:rFonts w:hAnsi="宋体" w:eastAsia="宋体" w:cs="宋体"/>
          <w:sz w:val="28"/>
          <w:szCs w:val="28"/>
        </w:rPr>
      </w:pPr>
      <w:r>
        <w:rPr>
          <w:rFonts w:hint="eastAsia" w:hAnsi="宋体" w:eastAsia="宋体" w:cs="宋体"/>
          <w:sz w:val="28"/>
          <w:szCs w:val="28"/>
        </w:rPr>
        <w:t>法定代表人（签字或盖章）：</w:t>
      </w:r>
    </w:p>
    <w:p>
      <w:pPr>
        <w:pStyle w:val="21"/>
        <w:spacing w:line="360" w:lineRule="auto"/>
        <w:rPr>
          <w:rFonts w:hAnsi="宋体" w:eastAsia="宋体" w:cs="宋体"/>
          <w:sz w:val="28"/>
          <w:szCs w:val="28"/>
        </w:rPr>
      </w:pPr>
      <w:r>
        <w:rPr>
          <w:rFonts w:hint="eastAsia" w:hAnsi="宋体" w:eastAsia="宋体" w:cs="宋体"/>
          <w:sz w:val="28"/>
          <w:szCs w:val="28"/>
        </w:rPr>
        <w:t>被授权人（签字或盖章）：</w:t>
      </w:r>
    </w:p>
    <w:p>
      <w:pPr>
        <w:pStyle w:val="21"/>
        <w:spacing w:line="360" w:lineRule="auto"/>
        <w:rPr>
          <w:rFonts w:hAnsi="宋体" w:eastAsia="宋体" w:cs="宋体"/>
          <w:sz w:val="28"/>
          <w:szCs w:val="28"/>
        </w:rPr>
      </w:pPr>
      <w:r>
        <w:rPr>
          <w:rFonts w:hint="eastAsia" w:hAnsi="宋体" w:eastAsia="宋体" w:cs="宋体"/>
          <w:sz w:val="28"/>
          <w:szCs w:val="28"/>
        </w:rPr>
        <w:t>日期： 20  年   月   日</w:t>
      </w:r>
    </w:p>
    <w:p>
      <w:pPr>
        <w:adjustRightInd w:val="0"/>
        <w:spacing w:line="460" w:lineRule="exact"/>
        <w:jc w:val="left"/>
        <w:rPr>
          <w:rFonts w:ascii="宋体" w:hAnsi="宋体"/>
          <w:b/>
          <w:sz w:val="32"/>
          <w:szCs w:val="32"/>
        </w:rPr>
      </w:pPr>
      <w:r>
        <w:rPr>
          <w:rFonts w:hint="eastAsia" w:hAnsi="宋体" w:cs="宋体"/>
          <w:sz w:val="28"/>
          <w:szCs w:val="28"/>
          <w:lang w:val="zh-CN"/>
        </w:rPr>
        <w:t>说明：法定代表人亲自办理投标事宜的，无需提交本证明书。</w:t>
      </w:r>
    </w:p>
    <w:p>
      <w:pPr>
        <w:adjustRightInd w:val="0"/>
        <w:spacing w:line="460" w:lineRule="exact"/>
        <w:jc w:val="left"/>
        <w:rPr>
          <w:rFonts w:ascii="宋体" w:hAnsi="宋体"/>
          <w:b/>
          <w:sz w:val="32"/>
          <w:szCs w:val="32"/>
        </w:rPr>
      </w:pPr>
      <w:r>
        <w:rPr>
          <w:rFonts w:hint="eastAsia" w:ascii="宋体" w:hAnsi="宋体"/>
          <w:b/>
          <w:sz w:val="32"/>
          <w:szCs w:val="32"/>
        </w:rPr>
        <w:br w:type="page"/>
      </w:r>
    </w:p>
    <w:p>
      <w:pPr>
        <w:widowControl/>
        <w:jc w:val="left"/>
        <w:rPr>
          <w:rFonts w:ascii="宋体" w:hAnsi="宋体"/>
          <w:sz w:val="32"/>
        </w:rPr>
      </w:pPr>
      <w:r>
        <w:rPr>
          <w:rFonts w:hint="eastAsia" w:ascii="宋体" w:hAnsi="宋体"/>
          <w:sz w:val="32"/>
        </w:rPr>
        <w:t>附件5</w:t>
      </w:r>
    </w:p>
    <w:p>
      <w:pPr>
        <w:widowControl/>
        <w:jc w:val="center"/>
        <w:rPr>
          <w:rFonts w:ascii="宋体" w:hAnsi="宋体"/>
          <w:b/>
          <w:kern w:val="0"/>
          <w:sz w:val="24"/>
        </w:rPr>
      </w:pPr>
      <w:r>
        <w:rPr>
          <w:rFonts w:hint="eastAsia" w:ascii="宋体" w:hAnsi="宋体"/>
          <w:b/>
          <w:kern w:val="0"/>
          <w:sz w:val="36"/>
        </w:rPr>
        <w:t>资格性和有效性审查表</w:t>
      </w:r>
    </w:p>
    <w:p>
      <w:pPr>
        <w:ind w:firstLine="420" w:firstLineChars="200"/>
        <w:rPr>
          <w:rFonts w:ascii="宋体" w:hAnsi="宋体"/>
        </w:rPr>
      </w:pPr>
    </w:p>
    <w:p>
      <w:pPr>
        <w:spacing w:line="360" w:lineRule="auto"/>
        <w:ind w:left="420" w:leftChars="200" w:firstLine="420" w:firstLineChars="200"/>
        <w:rPr>
          <w:rFonts w:ascii="宋体" w:hAnsi="宋体"/>
        </w:rPr>
      </w:pPr>
      <w:r>
        <w:rPr>
          <w:rFonts w:hint="eastAsia" w:ascii="宋体" w:hAnsi="宋体"/>
        </w:rPr>
        <w:t>项目名称：</w:t>
      </w:r>
    </w:p>
    <w:tbl>
      <w:tblPr>
        <w:tblStyle w:val="10"/>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rPr>
            </w:pPr>
            <w:r>
              <w:rPr>
                <w:rFonts w:hint="eastAsia" w:ascii="宋体" w:hAnsi="宋体"/>
                <w:b/>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lang w:val="en-US" w:eastAsia="zh-CN"/>
              </w:rPr>
              <w:t>不满足：</w:t>
            </w:r>
            <w:r>
              <w:rPr>
                <w:rFonts w:hint="eastAsia" w:ascii="宋体" w:hAnsi="宋体"/>
              </w:rPr>
              <w:t>具有独立法人资格，持有工商行政管理部门核发的法人营业执照或事业单位登记机构核发的事业单位法人证书，按国家法律经营</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cs="宋体"/>
                <w:szCs w:val="21"/>
                <w:lang w:val="en-US" w:eastAsia="zh-CN"/>
              </w:rPr>
              <w:t>未</w:t>
            </w:r>
            <w:r>
              <w:rPr>
                <w:rFonts w:hint="eastAsia" w:ascii="宋体" w:hAnsi="宋体" w:cs="宋体"/>
                <w:szCs w:val="21"/>
              </w:rPr>
              <w:t>提供近3年内(201</w:t>
            </w:r>
            <w:r>
              <w:rPr>
                <w:rFonts w:hint="eastAsia" w:ascii="宋体" w:hAnsi="宋体" w:cs="宋体"/>
                <w:szCs w:val="21"/>
                <w:lang w:val="en-US" w:eastAsia="zh-CN"/>
              </w:rPr>
              <w:t>9</w:t>
            </w:r>
            <w:r>
              <w:rPr>
                <w:rFonts w:hint="eastAsia" w:ascii="宋体" w:hAnsi="宋体" w:cs="宋体"/>
                <w:szCs w:val="21"/>
              </w:rPr>
              <w:t>年1月1日至今)的类似项目空调系统末端设备清洗业绩</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cs="宋体"/>
                <w:bCs/>
                <w:szCs w:val="21"/>
                <w:lang w:val="en-US" w:eastAsia="zh-CN"/>
              </w:rPr>
              <w:t>未</w:t>
            </w:r>
            <w:r>
              <w:rPr>
                <w:rFonts w:hint="eastAsia" w:ascii="宋体" w:hAnsi="宋体" w:cs="宋体"/>
                <w:bCs/>
                <w:szCs w:val="21"/>
              </w:rPr>
              <w:t>提供项目负责人相关安全管理资格证书</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color w:val="FF0000"/>
                <w:kern w:val="0"/>
                <w:highlight w:val="none"/>
              </w:rPr>
              <w:t>投标报价</w:t>
            </w:r>
            <w:r>
              <w:rPr>
                <w:rFonts w:hint="eastAsia" w:ascii="宋体" w:hAnsi="宋体"/>
                <w:color w:val="FF0000"/>
                <w:kern w:val="0"/>
                <w:highlight w:val="none"/>
                <w:lang w:val="en-US" w:eastAsia="zh-CN"/>
              </w:rPr>
              <w:t>至少有一项单价超过限价或者投标报价</w:t>
            </w:r>
            <w:r>
              <w:rPr>
                <w:rFonts w:hint="eastAsia" w:ascii="宋体" w:hAnsi="宋体"/>
                <w:color w:val="FF0000"/>
                <w:kern w:val="0"/>
                <w:highlight w:val="none"/>
              </w:rPr>
              <w:t>畸低的</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pPr>
            <w:r>
              <w:rPr>
                <w:rFonts w:hint="eastAsia" w:ascii="宋体" w:hAnsi="宋体"/>
                <w:kern w:val="0"/>
              </w:rPr>
              <w:t>投标文件附有招标人不能接受的条件（</w:t>
            </w:r>
            <w:r>
              <w:rPr>
                <w:rFonts w:hint="eastAsia" w:ascii="宋体" w:hAnsi="宋体"/>
              </w:rPr>
              <w:t xml:space="preserve"> 不满足“★”的条款）</w:t>
            </w:r>
            <w:r>
              <w:rPr>
                <w:rFonts w:hint="eastAsia" w:ascii="宋体" w:hAnsi="宋体"/>
                <w:kern w:val="0"/>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pStyle w:val="12"/>
              <w:tabs>
                <w:tab w:val="left" w:pos="0"/>
                <w:tab w:val="left" w:pos="420"/>
              </w:tabs>
              <w:ind w:firstLine="0" w:firstLineChars="0"/>
              <w:rPr>
                <w:rFonts w:ascii="宋体" w:hAnsi="宋体"/>
              </w:rPr>
            </w:pPr>
            <w:r>
              <w:rPr>
                <w:rFonts w:hint="eastAsia" w:ascii="宋体" w:hAnsi="宋体"/>
                <w:kern w:val="0"/>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rPr>
            </w:pPr>
            <w:r>
              <w:rPr>
                <w:rFonts w:hint="eastAsia" w:ascii="宋体" w:hAnsi="宋体"/>
                <w:kern w:val="0"/>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rPr>
            </w:pPr>
            <w:r>
              <w:rPr>
                <w:rFonts w:hint="eastAsia" w:ascii="宋体" w:hAnsi="宋体"/>
                <w:kern w:val="0"/>
              </w:rPr>
              <w:t>供应商提交书面材料表明无法履行竞选承诺或者放弃成交的，按报价无效处</w:t>
            </w:r>
            <w:bookmarkStart w:id="3" w:name="_GoBack"/>
            <w:bookmarkEnd w:id="3"/>
            <w:r>
              <w:rPr>
                <w:rFonts w:hint="eastAsia" w:ascii="宋体" w:hAnsi="宋体"/>
                <w:kern w:val="0"/>
              </w:rPr>
              <w:t>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rPr>
            </w:pPr>
          </w:p>
        </w:tc>
      </w:tr>
    </w:tbl>
    <w:p>
      <w:pPr>
        <w:spacing w:line="400" w:lineRule="exact"/>
        <w:ind w:firstLine="440"/>
        <w:rPr>
          <w:rFonts w:ascii="宋体" w:hAnsi="宋体"/>
        </w:rPr>
      </w:pPr>
      <w:r>
        <w:rPr>
          <w:rFonts w:hint="eastAsia" w:ascii="宋体" w:hAnsi="宋体"/>
        </w:rPr>
        <w:t>注：</w:t>
      </w:r>
    </w:p>
    <w:p>
      <w:pPr>
        <w:numPr>
          <w:ilvl w:val="0"/>
          <w:numId w:val="15"/>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pPr>
        <w:numPr>
          <w:ilvl w:val="0"/>
          <w:numId w:val="15"/>
        </w:numPr>
        <w:adjustRightInd w:val="0"/>
        <w:snapToGrid w:val="0"/>
        <w:spacing w:line="400" w:lineRule="exact"/>
        <w:rPr>
          <w:rFonts w:ascii="宋体" w:hAnsi="宋体"/>
        </w:rPr>
      </w:pPr>
      <w:r>
        <w:rPr>
          <w:rFonts w:hint="eastAsia" w:ascii="宋体" w:hAnsi="宋体"/>
        </w:rPr>
        <w:t>经评标委员会审核后，出现一个“×”的结论为“不通过”，即按废标处理。</w:t>
      </w:r>
    </w:p>
    <w:p>
      <w:pPr>
        <w:numPr>
          <w:ilvl w:val="0"/>
          <w:numId w:val="15"/>
        </w:numPr>
        <w:adjustRightInd w:val="0"/>
        <w:snapToGrid w:val="0"/>
        <w:spacing w:line="400" w:lineRule="exact"/>
        <w:rPr>
          <w:rFonts w:ascii="宋体" w:hAnsi="宋体"/>
        </w:rPr>
      </w:pPr>
      <w:r>
        <w:rPr>
          <w:rFonts w:hint="eastAsia" w:ascii="宋体" w:hAnsi="宋体"/>
        </w:rPr>
        <w:t>表中全部条件满足为“通过”，同意进入下一阶段评审。</w:t>
      </w:r>
    </w:p>
    <w:p>
      <w:pPr>
        <w:numPr>
          <w:ilvl w:val="0"/>
          <w:numId w:val="15"/>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pPr>
        <w:spacing w:beforeLines="30" w:line="400" w:lineRule="exact"/>
        <w:ind w:left="420" w:hanging="420" w:hangingChars="200"/>
        <w:rPr>
          <w:rFonts w:ascii="宋体" w:hAnsi="宋体"/>
        </w:rPr>
      </w:pPr>
      <w:r>
        <w:rPr>
          <w:rFonts w:hint="eastAsia" w:ascii="宋体" w:hAnsi="宋体"/>
        </w:rPr>
        <w:t xml:space="preserve">评委签名：                                                                                </w:t>
      </w:r>
    </w:p>
    <w:p>
      <w:pPr>
        <w:spacing w:line="360" w:lineRule="auto"/>
      </w:pPr>
      <w:r>
        <w:rPr>
          <w:rFonts w:hint="eastAsia" w:ascii="宋体" w:hAnsi="宋体"/>
        </w:rPr>
        <w:t>日 期：    年   月   日</w:t>
      </w:r>
    </w:p>
    <w:p>
      <w:pPr>
        <w:spacing w:line="360" w:lineRule="auto"/>
      </w:pPr>
    </w:p>
    <w:p>
      <w:pPr>
        <w:spacing w:line="360" w:lineRule="auto"/>
        <w:sectPr>
          <w:footerReference r:id="rId3" w:type="default"/>
          <w:pgSz w:w="11906" w:h="16838"/>
          <w:pgMar w:top="1440" w:right="1416" w:bottom="1440" w:left="1418" w:header="851" w:footer="992" w:gutter="0"/>
          <w:pgBorders>
            <w:top w:val="none" w:sz="0" w:space="0"/>
            <w:left w:val="none" w:sz="0" w:space="0"/>
            <w:bottom w:val="none" w:sz="0" w:space="0"/>
            <w:right w:val="none" w:sz="0" w:space="0"/>
          </w:pgBorders>
          <w:cols w:space="720" w:num="1"/>
          <w:docGrid w:type="lines" w:linePitch="312" w:charSpace="0"/>
        </w:sectPr>
      </w:pPr>
    </w:p>
    <w:p>
      <w:pPr>
        <w:spacing w:line="360" w:lineRule="auto"/>
        <w:rPr>
          <w:rFonts w:hint="eastAsia" w:ascii="宋体" w:hAnsi="宋体" w:eastAsiaTheme="minorEastAsia"/>
          <w:sz w:val="24"/>
          <w:lang w:val="en-US" w:eastAsia="zh-CN"/>
        </w:rPr>
      </w:pPr>
      <w:r>
        <w:rPr>
          <w:rFonts w:hint="eastAsia" w:ascii="宋体" w:hAnsi="宋体"/>
          <w:sz w:val="24"/>
        </w:rPr>
        <w:t>附件</w:t>
      </w:r>
      <w:r>
        <w:rPr>
          <w:rFonts w:hint="eastAsia" w:ascii="宋体" w:hAnsi="宋体"/>
          <w:sz w:val="24"/>
          <w:lang w:val="en-US" w:eastAsia="zh-CN"/>
        </w:rPr>
        <w:t>6</w:t>
      </w:r>
    </w:p>
    <w:p>
      <w:pPr>
        <w:ind w:firstLine="2891" w:firstLineChars="800"/>
        <w:jc w:val="left"/>
        <w:rPr>
          <w:rFonts w:ascii="宋体" w:hAnsi="宋体" w:cs="宋体"/>
          <w:b/>
          <w:bCs/>
          <w:sz w:val="36"/>
          <w:szCs w:val="36"/>
        </w:rPr>
      </w:pPr>
      <w:r>
        <w:rPr>
          <w:rFonts w:hint="eastAsia" w:ascii="宋体" w:hAnsi="宋体" w:cs="宋体"/>
          <w:b/>
          <w:bCs/>
          <w:sz w:val="36"/>
          <w:szCs w:val="36"/>
        </w:rPr>
        <w:t>综合评分细则</w:t>
      </w:r>
    </w:p>
    <w:p>
      <w:pPr>
        <w:spacing w:line="360" w:lineRule="auto"/>
        <w:ind w:firstLine="840" w:firstLineChars="350"/>
        <w:rPr>
          <w:rFonts w:ascii="宋体" w:hAnsi="宋体" w:cs="Arial"/>
          <w:color w:val="000000"/>
          <w:sz w:val="24"/>
        </w:rPr>
      </w:pPr>
      <w:r>
        <w:rPr>
          <w:rFonts w:hint="eastAsia" w:ascii="宋体" w:hAnsi="宋体" w:cs="Arial"/>
          <w:color w:val="000000"/>
          <w:sz w:val="24"/>
        </w:rPr>
        <w:t>如</w:t>
      </w:r>
      <w:r>
        <w:rPr>
          <w:rFonts w:hint="eastAsia" w:ascii="宋体" w:hAnsi="宋体" w:cs="Arial"/>
          <w:color w:val="000000"/>
          <w:sz w:val="24"/>
          <w:lang w:val="en-US" w:eastAsia="zh-CN"/>
        </w:rPr>
        <w:t>本项目</w:t>
      </w:r>
      <w:r>
        <w:rPr>
          <w:rFonts w:hint="eastAsia" w:ascii="宋体" w:hAnsi="宋体" w:cs="Arial"/>
          <w:color w:val="000000"/>
          <w:sz w:val="24"/>
        </w:rPr>
        <w:t>同意磋商价的投标人＞5家，采用综合评分法（具体评分细则见附件6）确定中标候选人。具体评分细则如下：</w:t>
      </w:r>
    </w:p>
    <w:p>
      <w:pPr>
        <w:numPr>
          <w:ilvl w:val="0"/>
          <w:numId w:val="16"/>
        </w:numPr>
        <w:spacing w:line="360" w:lineRule="auto"/>
        <w:rPr>
          <w:rFonts w:ascii="宋体" w:hAnsi="宋体" w:cs="Arial"/>
          <w:color w:val="000000"/>
          <w:sz w:val="24"/>
        </w:rPr>
      </w:pPr>
      <w:r>
        <w:rPr>
          <w:rFonts w:hint="eastAsia" w:ascii="宋体" w:hAnsi="宋体" w:cs="Arial"/>
          <w:color w:val="000000"/>
          <w:sz w:val="24"/>
        </w:rPr>
        <w:t>项目评标总分为100分。商务与技术评分权重分配：</w:t>
      </w:r>
    </w:p>
    <w:tbl>
      <w:tblPr>
        <w:tblStyle w:val="10"/>
        <w:tblW w:w="7126"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 w:type="dxa"/>
          <w:bottom w:w="0" w:type="dxa"/>
          <w:right w:w="10" w:type="dxa"/>
        </w:tblCellMar>
      </w:tblPr>
      <w:tblGrid>
        <w:gridCol w:w="2105"/>
        <w:gridCol w:w="2104"/>
        <w:gridCol w:w="29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 w:type="dxa"/>
            <w:bottom w:w="0" w:type="dxa"/>
            <w:right w:w="10" w:type="dxa"/>
          </w:tblCellMar>
        </w:tblPrEx>
        <w:trPr>
          <w:trHeight w:val="20" w:hRule="atLeast"/>
          <w:jc w:val="center"/>
        </w:trPr>
        <w:tc>
          <w:tcPr>
            <w:tcW w:w="2105" w:type="dxa"/>
            <w:vAlign w:val="center"/>
          </w:tcPr>
          <w:p>
            <w:pPr>
              <w:spacing w:line="360" w:lineRule="auto"/>
              <w:jc w:val="center"/>
              <w:rPr>
                <w:rFonts w:ascii="宋体" w:hAnsi="宋体" w:cs="Arial"/>
                <w:color w:val="000000"/>
                <w:sz w:val="24"/>
              </w:rPr>
            </w:pPr>
            <w:r>
              <w:rPr>
                <w:rFonts w:hint="eastAsia" w:ascii="宋体" w:hAnsi="宋体" w:cs="Arial"/>
                <w:color w:val="000000"/>
                <w:sz w:val="24"/>
              </w:rPr>
              <w:t>评审项目</w:t>
            </w:r>
          </w:p>
        </w:tc>
        <w:tc>
          <w:tcPr>
            <w:tcW w:w="2104" w:type="dxa"/>
            <w:vAlign w:val="center"/>
          </w:tcPr>
          <w:p>
            <w:pPr>
              <w:spacing w:line="360" w:lineRule="auto"/>
              <w:jc w:val="center"/>
              <w:rPr>
                <w:rFonts w:ascii="宋体" w:hAnsi="宋体" w:cs="Arial"/>
                <w:color w:val="000000"/>
                <w:sz w:val="24"/>
              </w:rPr>
            </w:pPr>
            <w:r>
              <w:rPr>
                <w:rFonts w:hint="eastAsia" w:ascii="宋体" w:hAnsi="宋体" w:cs="Arial"/>
                <w:color w:val="000000"/>
                <w:sz w:val="24"/>
              </w:rPr>
              <w:t>商务评分</w:t>
            </w:r>
          </w:p>
        </w:tc>
        <w:tc>
          <w:tcPr>
            <w:tcW w:w="2917" w:type="dxa"/>
            <w:vAlign w:val="center"/>
          </w:tcPr>
          <w:p>
            <w:pPr>
              <w:spacing w:line="360" w:lineRule="auto"/>
              <w:jc w:val="center"/>
              <w:rPr>
                <w:rFonts w:ascii="宋体" w:hAnsi="宋体" w:cs="Arial"/>
                <w:color w:val="000000"/>
                <w:sz w:val="24"/>
              </w:rPr>
            </w:pPr>
            <w:r>
              <w:rPr>
                <w:rFonts w:hint="eastAsia" w:ascii="宋体" w:hAnsi="宋体" w:cs="Arial"/>
                <w:color w:val="000000"/>
                <w:sz w:val="24"/>
              </w:rPr>
              <w:t>技术评分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 w:type="dxa"/>
            <w:bottom w:w="0" w:type="dxa"/>
            <w:right w:w="10" w:type="dxa"/>
          </w:tblCellMar>
        </w:tblPrEx>
        <w:trPr>
          <w:trHeight w:val="20" w:hRule="atLeast"/>
          <w:jc w:val="center"/>
        </w:trPr>
        <w:tc>
          <w:tcPr>
            <w:tcW w:w="2105" w:type="dxa"/>
            <w:vAlign w:val="center"/>
          </w:tcPr>
          <w:p>
            <w:pPr>
              <w:spacing w:line="360" w:lineRule="auto"/>
              <w:jc w:val="center"/>
              <w:rPr>
                <w:rFonts w:ascii="宋体" w:hAnsi="宋体" w:cs="Arial"/>
                <w:color w:val="000000"/>
                <w:sz w:val="24"/>
              </w:rPr>
            </w:pPr>
            <w:r>
              <w:rPr>
                <w:rFonts w:hint="eastAsia" w:ascii="宋体" w:hAnsi="宋体" w:cs="Arial"/>
                <w:color w:val="000000"/>
                <w:sz w:val="24"/>
              </w:rPr>
              <w:t>权重</w:t>
            </w:r>
          </w:p>
        </w:tc>
        <w:tc>
          <w:tcPr>
            <w:tcW w:w="2104" w:type="dxa"/>
            <w:vAlign w:val="center"/>
          </w:tcPr>
          <w:p>
            <w:pPr>
              <w:spacing w:line="360" w:lineRule="auto"/>
              <w:jc w:val="center"/>
              <w:rPr>
                <w:rFonts w:ascii="宋体" w:hAnsi="宋体" w:cs="Arial"/>
                <w:color w:val="000000"/>
                <w:sz w:val="24"/>
              </w:rPr>
            </w:pPr>
            <w:r>
              <w:rPr>
                <w:rFonts w:hint="eastAsia" w:ascii="宋体" w:hAnsi="宋体" w:cs="Arial"/>
                <w:color w:val="000000"/>
                <w:sz w:val="24"/>
              </w:rPr>
              <w:t>40</w:t>
            </w:r>
          </w:p>
        </w:tc>
        <w:tc>
          <w:tcPr>
            <w:tcW w:w="2917" w:type="dxa"/>
            <w:vAlign w:val="center"/>
          </w:tcPr>
          <w:p>
            <w:pPr>
              <w:spacing w:line="360" w:lineRule="auto"/>
              <w:jc w:val="center"/>
              <w:rPr>
                <w:rFonts w:ascii="宋体" w:hAnsi="宋体" w:cs="Arial"/>
                <w:color w:val="000000"/>
                <w:sz w:val="24"/>
              </w:rPr>
            </w:pPr>
            <w:r>
              <w:rPr>
                <w:rFonts w:hint="eastAsia" w:ascii="宋体" w:hAnsi="宋体" w:cs="Arial"/>
                <w:color w:val="000000"/>
                <w:sz w:val="24"/>
              </w:rPr>
              <w:t>60</w:t>
            </w:r>
          </w:p>
        </w:tc>
      </w:tr>
    </w:tbl>
    <w:p>
      <w:pPr>
        <w:spacing w:line="360" w:lineRule="auto"/>
        <w:ind w:firstLine="600"/>
        <w:rPr>
          <w:rFonts w:ascii="宋体" w:hAnsi="宋体" w:cs="Arial"/>
          <w:color w:val="000000"/>
          <w:sz w:val="24"/>
        </w:rPr>
      </w:pPr>
      <w:r>
        <w:rPr>
          <w:rFonts w:hint="eastAsia" w:ascii="宋体" w:hAnsi="宋体" w:cs="Arial"/>
          <w:color w:val="000000"/>
          <w:sz w:val="24"/>
        </w:rPr>
        <w:t>技术商务评分细则见附件1</w:t>
      </w:r>
    </w:p>
    <w:p>
      <w:pPr>
        <w:numPr>
          <w:ilvl w:val="0"/>
          <w:numId w:val="16"/>
        </w:numPr>
        <w:spacing w:line="360" w:lineRule="auto"/>
        <w:rPr>
          <w:rFonts w:ascii="宋体" w:hAnsi="宋体" w:cs="Arial"/>
          <w:color w:val="000000"/>
          <w:sz w:val="24"/>
        </w:rPr>
      </w:pPr>
      <w:r>
        <w:rPr>
          <w:rFonts w:hint="eastAsia" w:ascii="宋体" w:hAnsi="宋体" w:cs="Arial"/>
          <w:color w:val="000000"/>
          <w:sz w:val="24"/>
        </w:rPr>
        <w:t>商务技术评审</w:t>
      </w:r>
    </w:p>
    <w:tbl>
      <w:tblPr>
        <w:tblStyle w:val="10"/>
        <w:tblW w:w="9999" w:type="dxa"/>
        <w:jc w:val="center"/>
        <w:tblInd w:w="0" w:type="dxa"/>
        <w:tblLayout w:type="fixed"/>
        <w:tblCellMar>
          <w:top w:w="0" w:type="dxa"/>
          <w:left w:w="108" w:type="dxa"/>
          <w:bottom w:w="0" w:type="dxa"/>
          <w:right w:w="108" w:type="dxa"/>
        </w:tblCellMar>
      </w:tblPr>
      <w:tblGrid>
        <w:gridCol w:w="985"/>
        <w:gridCol w:w="1417"/>
        <w:gridCol w:w="709"/>
        <w:gridCol w:w="6888"/>
      </w:tblGrid>
      <w:tr>
        <w:tblPrEx>
          <w:tblLayout w:type="fixed"/>
          <w:tblCellMar>
            <w:top w:w="0" w:type="dxa"/>
            <w:left w:w="108" w:type="dxa"/>
            <w:bottom w:w="0" w:type="dxa"/>
            <w:right w:w="108" w:type="dxa"/>
          </w:tblCellMar>
        </w:tblPrEx>
        <w:trPr>
          <w:cantSplit/>
          <w:jc w:val="center"/>
        </w:trPr>
        <w:tc>
          <w:tcPr>
            <w:tcW w:w="985" w:type="dxa"/>
            <w:tcBorders>
              <w:top w:val="single" w:color="auto" w:sz="6" w:space="0"/>
              <w:left w:val="single" w:color="auto" w:sz="6" w:space="0"/>
              <w:bottom w:val="single" w:color="auto" w:sz="6" w:space="0"/>
              <w:right w:val="single" w:color="auto" w:sz="6" w:space="0"/>
              <w:tl2br w:val="nil"/>
              <w:tr2bl w:val="nil"/>
            </w:tcBorders>
          </w:tcPr>
          <w:p>
            <w:pPr>
              <w:adjustRightInd w:val="0"/>
              <w:snapToGrid w:val="0"/>
              <w:spacing w:line="240" w:lineRule="atLeast"/>
              <w:jc w:val="center"/>
              <w:rPr>
                <w:rFonts w:ascii="宋体" w:hAnsi="宋体" w:cs="宋体"/>
                <w:b/>
                <w:szCs w:val="18"/>
              </w:rPr>
            </w:pPr>
            <w:r>
              <w:rPr>
                <w:rFonts w:hint="eastAsia" w:ascii="宋体" w:hAnsi="宋体" w:cs="宋体"/>
                <w:b/>
                <w:szCs w:val="18"/>
              </w:rPr>
              <w:t>分项</w:t>
            </w:r>
          </w:p>
        </w:tc>
        <w:tc>
          <w:tcPr>
            <w:tcW w:w="1417" w:type="dxa"/>
            <w:tcBorders>
              <w:top w:val="single" w:color="auto" w:sz="6" w:space="0"/>
              <w:left w:val="single" w:color="auto" w:sz="6" w:space="0"/>
              <w:bottom w:val="single" w:color="auto" w:sz="6" w:space="0"/>
              <w:right w:val="single" w:color="auto" w:sz="6" w:space="0"/>
              <w:tl2br w:val="nil"/>
              <w:tr2bl w:val="nil"/>
            </w:tcBorders>
          </w:tcPr>
          <w:p>
            <w:pPr>
              <w:adjustRightInd w:val="0"/>
              <w:snapToGrid w:val="0"/>
              <w:spacing w:line="240" w:lineRule="atLeast"/>
              <w:jc w:val="center"/>
              <w:rPr>
                <w:rFonts w:ascii="宋体" w:hAnsi="宋体" w:cs="宋体"/>
                <w:b/>
                <w:szCs w:val="18"/>
              </w:rPr>
            </w:pPr>
            <w:r>
              <w:rPr>
                <w:rFonts w:hint="eastAsia" w:ascii="宋体" w:hAnsi="宋体" w:cs="宋体"/>
                <w:b/>
                <w:szCs w:val="18"/>
              </w:rPr>
              <w:t>评分项目</w:t>
            </w:r>
          </w:p>
        </w:tc>
        <w:tc>
          <w:tcPr>
            <w:tcW w:w="709" w:type="dxa"/>
            <w:tcBorders>
              <w:top w:val="single" w:color="auto" w:sz="6" w:space="0"/>
              <w:left w:val="single" w:color="auto" w:sz="6" w:space="0"/>
              <w:bottom w:val="single" w:color="auto" w:sz="6" w:space="0"/>
              <w:right w:val="single" w:color="auto" w:sz="6" w:space="0"/>
              <w:tl2br w:val="nil"/>
              <w:tr2bl w:val="nil"/>
            </w:tcBorders>
          </w:tcPr>
          <w:p>
            <w:pPr>
              <w:adjustRightInd w:val="0"/>
              <w:snapToGrid w:val="0"/>
              <w:spacing w:line="240" w:lineRule="atLeast"/>
              <w:jc w:val="center"/>
              <w:rPr>
                <w:rFonts w:ascii="宋体" w:hAnsi="宋体" w:cs="宋体"/>
                <w:b/>
                <w:szCs w:val="18"/>
              </w:rPr>
            </w:pPr>
            <w:r>
              <w:rPr>
                <w:rFonts w:hint="eastAsia" w:ascii="宋体" w:hAnsi="宋体" w:cs="宋体"/>
                <w:b/>
                <w:szCs w:val="18"/>
              </w:rPr>
              <w:t>满分</w:t>
            </w:r>
          </w:p>
        </w:tc>
        <w:tc>
          <w:tcPr>
            <w:tcW w:w="6888" w:type="dxa"/>
            <w:tcBorders>
              <w:top w:val="single" w:color="auto" w:sz="6" w:space="0"/>
              <w:left w:val="single" w:color="auto" w:sz="6" w:space="0"/>
              <w:bottom w:val="single" w:color="auto" w:sz="6" w:space="0"/>
              <w:right w:val="single" w:color="auto" w:sz="6" w:space="0"/>
              <w:tl2br w:val="nil"/>
              <w:tr2bl w:val="nil"/>
            </w:tcBorders>
          </w:tcPr>
          <w:p>
            <w:pPr>
              <w:adjustRightInd w:val="0"/>
              <w:snapToGrid w:val="0"/>
              <w:spacing w:line="240" w:lineRule="atLeast"/>
              <w:jc w:val="center"/>
              <w:rPr>
                <w:rFonts w:ascii="宋体" w:hAnsi="宋体" w:cs="宋体"/>
                <w:b/>
                <w:szCs w:val="18"/>
              </w:rPr>
            </w:pPr>
            <w:r>
              <w:rPr>
                <w:rFonts w:hint="eastAsia" w:ascii="宋体" w:hAnsi="宋体" w:cs="宋体"/>
                <w:b/>
                <w:szCs w:val="18"/>
              </w:rPr>
              <w:t>评分细则</w:t>
            </w:r>
          </w:p>
        </w:tc>
      </w:tr>
      <w:tr>
        <w:tblPrEx>
          <w:tblLayout w:type="fixed"/>
          <w:tblCellMar>
            <w:top w:w="0" w:type="dxa"/>
            <w:left w:w="108" w:type="dxa"/>
            <w:bottom w:w="0" w:type="dxa"/>
            <w:right w:w="108" w:type="dxa"/>
          </w:tblCellMar>
        </w:tblPrEx>
        <w:trPr>
          <w:cantSplit/>
          <w:trHeight w:val="788" w:hRule="atLeast"/>
          <w:jc w:val="center"/>
        </w:trPr>
        <w:tc>
          <w:tcPr>
            <w:tcW w:w="985" w:type="dxa"/>
            <w:vMerge w:val="restart"/>
            <w:tcBorders>
              <w:top w:val="single" w:color="auto" w:sz="6" w:space="0"/>
              <w:left w:val="single" w:color="auto" w:sz="6" w:space="0"/>
              <w:right w:val="single" w:color="auto" w:sz="4" w:space="0"/>
              <w:tl2br w:val="nil"/>
              <w:tr2bl w:val="nil"/>
            </w:tcBorders>
            <w:vAlign w:val="center"/>
          </w:tcPr>
          <w:p>
            <w:pPr>
              <w:adjustRightInd w:val="0"/>
              <w:snapToGrid w:val="0"/>
              <w:spacing w:line="240" w:lineRule="atLeast"/>
              <w:jc w:val="center"/>
              <w:rPr>
                <w:rFonts w:ascii="宋体" w:hAnsi="宋体" w:cs="宋体"/>
                <w:b/>
                <w:szCs w:val="18"/>
              </w:rPr>
            </w:pPr>
            <w:r>
              <w:rPr>
                <w:rFonts w:hint="eastAsia" w:ascii="宋体" w:hAnsi="宋体" w:cs="宋体"/>
                <w:b/>
                <w:szCs w:val="18"/>
              </w:rPr>
              <w:t>商务部分</w:t>
            </w:r>
          </w:p>
          <w:p>
            <w:pPr>
              <w:adjustRightInd w:val="0"/>
              <w:snapToGrid w:val="0"/>
              <w:spacing w:line="240" w:lineRule="atLeast"/>
              <w:jc w:val="center"/>
              <w:rPr>
                <w:rFonts w:ascii="宋体" w:hAnsi="宋体" w:cs="宋体"/>
                <w:b/>
                <w:szCs w:val="18"/>
              </w:rPr>
            </w:pPr>
            <w:r>
              <w:rPr>
                <w:rFonts w:hint="eastAsia" w:ascii="宋体" w:hAnsi="宋体" w:cs="宋体"/>
                <w:b/>
                <w:szCs w:val="18"/>
              </w:rPr>
              <w:t>（40</w:t>
            </w:r>
            <w:r>
              <w:rPr>
                <w:rFonts w:ascii="宋体" w:hAnsi="宋体" w:cs="宋体"/>
                <w:b/>
                <w:szCs w:val="18"/>
              </w:rPr>
              <w:t>）</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left"/>
              <w:rPr>
                <w:rFonts w:hint="eastAsia"/>
              </w:rPr>
            </w:pPr>
            <w:r>
              <w:rPr>
                <w:rFonts w:hint="eastAsia" w:asciiTheme="minorHAnsi" w:hAnsiTheme="minorHAnsi" w:eastAsiaTheme="minorEastAsia" w:cstheme="minorBidi"/>
                <w:kern w:val="2"/>
                <w:sz w:val="21"/>
                <w:szCs w:val="24"/>
              </w:rPr>
              <w:t>采购人供应商管理系统查到的分值</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left"/>
              <w:rPr>
                <w:rFonts w:hint="eastAsia" w:asciiTheme="minorHAnsi" w:hAnsiTheme="minorHAnsi" w:eastAsiaTheme="minorEastAsia" w:cstheme="minorBidi"/>
                <w:lang w:val="en-US" w:eastAsia="zh-CN"/>
              </w:rPr>
            </w:pPr>
            <w:r>
              <w:rPr>
                <w:rFonts w:hint="eastAsia" w:asciiTheme="minorHAnsi" w:hAnsiTheme="minorHAnsi" w:cstheme="minorBidi"/>
                <w:lang w:val="en-US" w:eastAsia="zh-CN"/>
              </w:rPr>
              <w:t>2</w:t>
            </w:r>
          </w:p>
        </w:tc>
        <w:tc>
          <w:tcPr>
            <w:tcW w:w="688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atLeast"/>
              <w:jc w:val="left"/>
              <w:rPr>
                <w:rFonts w:hint="eastAsia" w:asciiTheme="minorHAnsi" w:hAnsiTheme="minorHAnsi" w:eastAsiaTheme="minorEastAsia" w:cstheme="minorBidi"/>
                <w:kern w:val="2"/>
                <w:sz w:val="21"/>
                <w:szCs w:val="24"/>
              </w:rPr>
            </w:pPr>
            <w:r>
              <w:rPr>
                <w:rFonts w:hint="eastAsia" w:asciiTheme="minorHAnsi" w:hAnsiTheme="minorHAnsi" w:eastAsiaTheme="minorEastAsia" w:cstheme="minorBidi"/>
                <w:kern w:val="2"/>
                <w:sz w:val="21"/>
                <w:szCs w:val="24"/>
              </w:rPr>
              <w:t>供应商诚信分以评标当天采购人供应商管理系统查到的分值直接计取（供应商诚信分原始分为0分），投标人不在供应商管理系统内的，诚信分按0分计算。本项供应商诚信分在采购人官方网站上定期公布。</w:t>
            </w:r>
          </w:p>
          <w:p>
            <w:pPr>
              <w:adjustRightInd w:val="0"/>
              <w:snapToGrid w:val="0"/>
              <w:spacing w:line="240" w:lineRule="atLeast"/>
              <w:jc w:val="left"/>
              <w:rPr>
                <w:rFonts w:hint="eastAsia"/>
              </w:rPr>
            </w:pPr>
            <w:r>
              <w:rPr>
                <w:rFonts w:hint="eastAsia" w:asciiTheme="minorHAnsi" w:hAnsiTheme="minorHAnsi" w:eastAsiaTheme="minorEastAsia" w:cstheme="minorBidi"/>
                <w:kern w:val="2"/>
                <w:sz w:val="21"/>
                <w:szCs w:val="24"/>
              </w:rPr>
              <w:t>诚信分≧2分时本项得2分。</w:t>
            </w:r>
          </w:p>
        </w:tc>
      </w:tr>
      <w:tr>
        <w:tblPrEx>
          <w:tblLayout w:type="fixed"/>
          <w:tblCellMar>
            <w:top w:w="0" w:type="dxa"/>
            <w:left w:w="108" w:type="dxa"/>
            <w:bottom w:w="0" w:type="dxa"/>
            <w:right w:w="108" w:type="dxa"/>
          </w:tblCellMar>
        </w:tblPrEx>
        <w:trPr>
          <w:cantSplit/>
          <w:trHeight w:val="788" w:hRule="atLeast"/>
          <w:jc w:val="center"/>
        </w:trPr>
        <w:tc>
          <w:tcPr>
            <w:tcW w:w="985" w:type="dxa"/>
            <w:vMerge w:val="continue"/>
            <w:tcBorders>
              <w:left w:val="single" w:color="auto" w:sz="6" w:space="0"/>
              <w:right w:val="single" w:color="auto" w:sz="4" w:space="0"/>
              <w:tl2br w:val="nil"/>
              <w:tr2bl w:val="nil"/>
            </w:tcBorders>
            <w:vAlign w:val="center"/>
          </w:tcPr>
          <w:p>
            <w:pPr>
              <w:adjustRightInd w:val="0"/>
              <w:snapToGrid w:val="0"/>
              <w:spacing w:line="240" w:lineRule="atLeast"/>
              <w:jc w:val="center"/>
              <w:rPr>
                <w:rFonts w:ascii="宋体" w:hAnsi="宋体" w:cs="宋体"/>
                <w:b/>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宋体" w:hAnsi="宋体"/>
              </w:rPr>
            </w:pPr>
            <w:r>
              <w:rPr>
                <w:rFonts w:hint="eastAsia"/>
              </w:rPr>
              <w:t>商务响应程度</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宋体" w:hAnsi="宋体"/>
              </w:rPr>
            </w:pPr>
            <w:r>
              <w:rPr>
                <w:rFonts w:ascii="Times New Roman" w:hAnsi="Times New Roman" w:cs="Times New Roman"/>
                <w:color w:val="000000"/>
              </w:rPr>
              <w:t>4</w:t>
            </w:r>
          </w:p>
        </w:tc>
        <w:tc>
          <w:tcPr>
            <w:tcW w:w="68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left"/>
              <w:rPr>
                <w:rFonts w:ascii="宋体" w:hAnsi="宋体" w:cs="宋体"/>
                <w:color w:val="FF0000"/>
                <w:szCs w:val="18"/>
              </w:rPr>
            </w:pPr>
            <w:r>
              <w:rPr>
                <w:rFonts w:hint="eastAsia"/>
              </w:rPr>
              <w:t>各投标人对付款方式、工期等条款的响应。优：4-3分；良：3-2分；中：2-1分；差：1-0分</w:t>
            </w:r>
          </w:p>
        </w:tc>
      </w:tr>
      <w:tr>
        <w:tblPrEx>
          <w:tblLayout w:type="fixed"/>
          <w:tblCellMar>
            <w:top w:w="0" w:type="dxa"/>
            <w:left w:w="108" w:type="dxa"/>
            <w:bottom w:w="0" w:type="dxa"/>
            <w:right w:w="108" w:type="dxa"/>
          </w:tblCellMar>
        </w:tblPrEx>
        <w:trPr>
          <w:cantSplit/>
          <w:trHeight w:val="1399" w:hRule="atLeast"/>
          <w:jc w:val="center"/>
        </w:trPr>
        <w:tc>
          <w:tcPr>
            <w:tcW w:w="985" w:type="dxa"/>
            <w:vMerge w:val="continue"/>
            <w:tcBorders>
              <w:left w:val="single" w:color="auto" w:sz="6" w:space="0"/>
              <w:right w:val="single" w:color="auto" w:sz="4" w:space="0"/>
              <w:tl2br w:val="nil"/>
              <w:tr2bl w:val="nil"/>
            </w:tcBorders>
            <w:vAlign w:val="center"/>
          </w:tcPr>
          <w:p>
            <w:pPr>
              <w:adjustRightInd w:val="0"/>
              <w:snapToGrid w:val="0"/>
              <w:spacing w:line="240" w:lineRule="atLeast"/>
              <w:jc w:val="center"/>
              <w:rPr>
                <w:rFonts w:ascii="宋体" w:hAnsi="宋体" w:cs="宋体"/>
                <w:b/>
                <w:szCs w:val="18"/>
              </w:rPr>
            </w:pP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宋体" w:hAnsi="宋体" w:cs="宋体"/>
                <w:szCs w:val="18"/>
              </w:rPr>
            </w:pPr>
            <w:r>
              <w:rPr>
                <w:rFonts w:hint="eastAsia"/>
                <w:color w:val="000000"/>
              </w:rPr>
              <w:t>投标人管理资质水平</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center"/>
              <w:rPr>
                <w:rFonts w:ascii="宋体" w:hAnsi="宋体" w:cs="宋体"/>
                <w:szCs w:val="18"/>
              </w:rPr>
            </w:pPr>
            <w:r>
              <w:rPr>
                <w:rFonts w:hint="eastAsia" w:ascii="Times New Roman" w:hAnsi="Times New Roman" w:cs="Times New Roman"/>
                <w:color w:val="000000"/>
              </w:rPr>
              <w:t>6</w:t>
            </w:r>
          </w:p>
        </w:tc>
        <w:tc>
          <w:tcPr>
            <w:tcW w:w="68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tLeast"/>
              <w:jc w:val="left"/>
              <w:rPr>
                <w:rFonts w:ascii="宋体" w:hAnsi="宋体" w:cs="宋体"/>
                <w:color w:val="FF0000"/>
                <w:szCs w:val="18"/>
              </w:rPr>
            </w:pPr>
            <w:r>
              <w:rPr>
                <w:rFonts w:hint="eastAsia"/>
                <w:color w:val="000000"/>
              </w:rPr>
              <w:t>投标人管理体系认证（</w:t>
            </w:r>
            <w:r>
              <w:rPr>
                <w:rFonts w:ascii="Times New Roman" w:hAnsi="Times New Roman" w:cs="Times New Roman"/>
                <w:color w:val="000000"/>
              </w:rPr>
              <w:t>ISO9000</w:t>
            </w:r>
            <w:r>
              <w:rPr>
                <w:rFonts w:hint="eastAsia"/>
                <w:color w:val="000000"/>
              </w:rPr>
              <w:t>质量管理体系认证、</w:t>
            </w:r>
            <w:r>
              <w:rPr>
                <w:rFonts w:ascii="Times New Roman" w:hAnsi="Times New Roman" w:cs="Times New Roman"/>
                <w:color w:val="000000"/>
              </w:rPr>
              <w:t>ISO14000</w:t>
            </w:r>
            <w:r>
              <w:rPr>
                <w:rFonts w:hint="eastAsia"/>
                <w:color w:val="000000"/>
              </w:rPr>
              <w:t>环境管理体系认证、</w:t>
            </w:r>
            <w:r>
              <w:rPr>
                <w:rFonts w:ascii="Times New Roman" w:hAnsi="Times New Roman" w:cs="Times New Roman"/>
                <w:color w:val="000000"/>
              </w:rPr>
              <w:t>OHSAS18001</w:t>
            </w:r>
            <w:r>
              <w:rPr>
                <w:rFonts w:hint="eastAsia"/>
                <w:color w:val="000000"/>
              </w:rPr>
              <w:t>或</w:t>
            </w:r>
            <w:r>
              <w:rPr>
                <w:rFonts w:ascii="Times New Roman" w:hAnsi="Times New Roman" w:cs="Times New Roman"/>
                <w:color w:val="000000"/>
              </w:rPr>
              <w:t>GB/T28001</w:t>
            </w:r>
            <w:r>
              <w:rPr>
                <w:rFonts w:hint="eastAsia"/>
                <w:color w:val="000000"/>
              </w:rPr>
              <w:t>职业安全卫生管理体系认证）三项均有且在有效期内得</w:t>
            </w:r>
            <w:r>
              <w:rPr>
                <w:rFonts w:hint="eastAsia" w:ascii="Times New Roman" w:hAnsi="Times New Roman" w:cs="Times New Roman"/>
                <w:color w:val="000000"/>
              </w:rPr>
              <w:t>6</w:t>
            </w:r>
            <w:r>
              <w:rPr>
                <w:rFonts w:hint="eastAsia"/>
                <w:color w:val="000000"/>
              </w:rPr>
              <w:t>分，具有两项且在有效期内得</w:t>
            </w:r>
            <w:r>
              <w:rPr>
                <w:rFonts w:hint="eastAsia" w:ascii="Times New Roman" w:hAnsi="Times New Roman" w:cs="Times New Roman"/>
                <w:color w:val="000000"/>
              </w:rPr>
              <w:t>4</w:t>
            </w:r>
            <w:r>
              <w:rPr>
                <w:rFonts w:hint="eastAsia"/>
                <w:color w:val="000000"/>
              </w:rPr>
              <w:t>分，只有一项且在有效期内得</w:t>
            </w:r>
            <w:r>
              <w:rPr>
                <w:rFonts w:hint="eastAsia" w:ascii="Times New Roman" w:hAnsi="Times New Roman" w:cs="Times New Roman"/>
                <w:color w:val="000000"/>
              </w:rPr>
              <w:t>2</w:t>
            </w:r>
            <w:r>
              <w:rPr>
                <w:rFonts w:hint="eastAsia"/>
                <w:color w:val="000000"/>
              </w:rPr>
              <w:t>分，没有得</w:t>
            </w:r>
            <w:r>
              <w:rPr>
                <w:rFonts w:ascii="Times New Roman" w:hAnsi="Times New Roman" w:cs="Times New Roman"/>
                <w:color w:val="000000"/>
              </w:rPr>
              <w:t>0</w:t>
            </w:r>
            <w:r>
              <w:rPr>
                <w:rFonts w:hint="eastAsia"/>
                <w:color w:val="000000"/>
              </w:rPr>
              <w:t>分。</w:t>
            </w:r>
          </w:p>
        </w:tc>
      </w:tr>
      <w:tr>
        <w:tblPrEx>
          <w:tblLayout w:type="fixed"/>
          <w:tblCellMar>
            <w:top w:w="0" w:type="dxa"/>
            <w:left w:w="108" w:type="dxa"/>
            <w:bottom w:w="0" w:type="dxa"/>
            <w:right w:w="108" w:type="dxa"/>
          </w:tblCellMar>
        </w:tblPrEx>
        <w:trPr>
          <w:cantSplit/>
          <w:trHeight w:val="1121" w:hRule="atLeast"/>
          <w:jc w:val="center"/>
        </w:trPr>
        <w:tc>
          <w:tcPr>
            <w:tcW w:w="985" w:type="dxa"/>
            <w:vMerge w:val="continue"/>
            <w:tcBorders>
              <w:left w:val="single" w:color="auto" w:sz="6" w:space="0"/>
              <w:right w:val="single" w:color="auto" w:sz="4" w:space="0"/>
              <w:tl2br w:val="nil"/>
              <w:tr2bl w:val="nil"/>
            </w:tcBorders>
            <w:vAlign w:val="center"/>
          </w:tcPr>
          <w:p>
            <w:pPr>
              <w:adjustRightInd w:val="0"/>
              <w:snapToGrid w:val="0"/>
              <w:spacing w:line="240" w:lineRule="atLeast"/>
              <w:jc w:val="center"/>
              <w:rPr>
                <w:rFonts w:ascii="宋体" w:hAnsi="宋体" w:cs="宋体"/>
                <w:b/>
                <w:szCs w:val="18"/>
              </w:rPr>
            </w:pPr>
          </w:p>
        </w:tc>
        <w:tc>
          <w:tcPr>
            <w:tcW w:w="1417" w:type="dxa"/>
            <w:tcBorders>
              <w:top w:val="single" w:color="auto" w:sz="4" w:space="0"/>
              <w:left w:val="single" w:color="auto" w:sz="4"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cs="宋体"/>
                <w:szCs w:val="18"/>
              </w:rPr>
            </w:pPr>
            <w:r>
              <w:rPr>
                <w:rFonts w:hint="eastAsia"/>
                <w:color w:val="000000"/>
              </w:rPr>
              <w:t>企业资质和荣誉情况</w:t>
            </w:r>
          </w:p>
        </w:tc>
        <w:tc>
          <w:tcPr>
            <w:tcW w:w="709" w:type="dxa"/>
            <w:tcBorders>
              <w:top w:val="single" w:color="auto" w:sz="4"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center"/>
              <w:rPr>
                <w:rFonts w:hint="eastAsia" w:ascii="宋体" w:hAnsi="宋体" w:cs="宋体" w:eastAsiaTheme="minorEastAsia"/>
                <w:szCs w:val="18"/>
                <w:lang w:eastAsia="zh-CN"/>
              </w:rPr>
            </w:pPr>
            <w:r>
              <w:rPr>
                <w:rFonts w:hint="eastAsia" w:ascii="Times New Roman" w:hAnsi="Times New Roman" w:cs="Times New Roman"/>
                <w:color w:val="000000"/>
                <w:lang w:val="en-US" w:eastAsia="zh-CN"/>
              </w:rPr>
              <w:t>8</w:t>
            </w:r>
          </w:p>
        </w:tc>
        <w:tc>
          <w:tcPr>
            <w:tcW w:w="6888" w:type="dxa"/>
            <w:tcBorders>
              <w:top w:val="single" w:color="auto" w:sz="4"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left"/>
              <w:rPr>
                <w:rFonts w:ascii="宋体" w:hAnsi="宋体" w:cs="宋体"/>
                <w:color w:val="FF0000"/>
                <w:szCs w:val="18"/>
              </w:rPr>
            </w:pPr>
            <w:r>
              <w:rPr>
                <w:rFonts w:hint="eastAsia"/>
                <w:color w:val="000000"/>
              </w:rPr>
              <w:t>企业资质和荣誉情况。（</w:t>
            </w:r>
            <w:r>
              <w:rPr>
                <w:rFonts w:hint="eastAsia"/>
                <w:color w:val="000000"/>
                <w:u w:val="single"/>
              </w:rPr>
              <w:t>201</w:t>
            </w:r>
            <w:r>
              <w:rPr>
                <w:rFonts w:hint="eastAsia"/>
                <w:color w:val="000000"/>
                <w:u w:val="single"/>
                <w:lang w:val="en-US" w:eastAsia="zh-CN"/>
              </w:rPr>
              <w:t>9</w:t>
            </w:r>
            <w:r>
              <w:rPr>
                <w:rFonts w:hint="eastAsia"/>
                <w:color w:val="000000"/>
                <w:u w:val="single"/>
              </w:rPr>
              <w:t xml:space="preserve"> </w:t>
            </w:r>
            <w:r>
              <w:rPr>
                <w:rFonts w:hint="eastAsia"/>
                <w:color w:val="000000"/>
              </w:rPr>
              <w:t>年后获得政府部门颁发的“守合同重信用企业”称号、银行信用等级证明、客户评价、行业协会等第三方机构颁发的有关企业资质、诚信的证明材料</w:t>
            </w:r>
            <w:r>
              <w:rPr>
                <w:rFonts w:hint="eastAsia"/>
                <w:color w:val="000000"/>
                <w:lang w:eastAsia="zh-CN"/>
              </w:rPr>
              <w:t>，</w:t>
            </w:r>
            <w:r>
              <w:rPr>
                <w:rFonts w:hint="eastAsia"/>
                <w:color w:val="000000"/>
                <w:lang w:val="en-US" w:eastAsia="zh-CN"/>
              </w:rPr>
              <w:t>需在有效期内</w:t>
            </w:r>
            <w:r>
              <w:rPr>
                <w:rFonts w:hint="eastAsia"/>
                <w:color w:val="000000"/>
              </w:rPr>
              <w:t>）优：</w:t>
            </w:r>
            <w:r>
              <w:rPr>
                <w:rFonts w:hint="eastAsia"/>
                <w:color w:val="000000"/>
                <w:lang w:val="en-US" w:eastAsia="zh-CN"/>
              </w:rPr>
              <w:t>8</w:t>
            </w:r>
            <w:r>
              <w:rPr>
                <w:rFonts w:hint="eastAsia"/>
                <w:color w:val="000000"/>
              </w:rPr>
              <w:t>分；中：</w:t>
            </w:r>
            <w:r>
              <w:rPr>
                <w:rFonts w:hint="eastAsia"/>
                <w:color w:val="000000"/>
                <w:lang w:val="en-US" w:eastAsia="zh-CN"/>
              </w:rPr>
              <w:t>4</w:t>
            </w:r>
            <w:r>
              <w:rPr>
                <w:rFonts w:hint="eastAsia"/>
                <w:color w:val="000000"/>
              </w:rPr>
              <w:t>分；差：2分</w:t>
            </w:r>
          </w:p>
        </w:tc>
      </w:tr>
      <w:tr>
        <w:tblPrEx>
          <w:tblLayout w:type="fixed"/>
          <w:tblCellMar>
            <w:top w:w="0" w:type="dxa"/>
            <w:left w:w="108" w:type="dxa"/>
            <w:bottom w:w="0" w:type="dxa"/>
            <w:right w:w="108" w:type="dxa"/>
          </w:tblCellMar>
        </w:tblPrEx>
        <w:trPr>
          <w:cantSplit/>
          <w:trHeight w:val="990" w:hRule="atLeast"/>
          <w:jc w:val="center"/>
        </w:trPr>
        <w:tc>
          <w:tcPr>
            <w:tcW w:w="985" w:type="dxa"/>
            <w:vMerge w:val="continue"/>
            <w:tcBorders>
              <w:left w:val="single" w:color="auto" w:sz="6" w:space="0"/>
              <w:right w:val="single" w:color="auto" w:sz="4" w:space="0"/>
              <w:tl2br w:val="nil"/>
              <w:tr2bl w:val="nil"/>
            </w:tcBorders>
            <w:vAlign w:val="center"/>
          </w:tcPr>
          <w:p>
            <w:pPr>
              <w:adjustRightInd w:val="0"/>
              <w:snapToGrid w:val="0"/>
              <w:spacing w:line="240" w:lineRule="atLeast"/>
              <w:jc w:val="center"/>
              <w:rPr>
                <w:rFonts w:ascii="宋体" w:hAnsi="宋体" w:cs="宋体"/>
                <w:b/>
                <w:szCs w:val="18"/>
              </w:rPr>
            </w:pPr>
          </w:p>
        </w:tc>
        <w:tc>
          <w:tcPr>
            <w:tcW w:w="1417" w:type="dxa"/>
            <w:tcBorders>
              <w:top w:val="single" w:color="auto" w:sz="6" w:space="0"/>
              <w:left w:val="single" w:color="auto" w:sz="4"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cs="宋体"/>
                <w:szCs w:val="18"/>
              </w:rPr>
            </w:pPr>
            <w:r>
              <w:rPr>
                <w:rFonts w:hint="eastAsia" w:ascii="宋体" w:hAnsi="宋体" w:cs="宋体"/>
                <w:szCs w:val="18"/>
              </w:rPr>
              <w:t>报价人过往业绩</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cs="宋体"/>
                <w:szCs w:val="18"/>
              </w:rPr>
            </w:pPr>
            <w:r>
              <w:rPr>
                <w:rFonts w:ascii="Times New Roman" w:hAnsi="Times New Roman" w:cs="Times New Roman"/>
                <w:color w:val="000000"/>
              </w:rPr>
              <w:t>20</w:t>
            </w:r>
          </w:p>
        </w:tc>
        <w:tc>
          <w:tcPr>
            <w:tcW w:w="6888"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left"/>
              <w:rPr>
                <w:rFonts w:ascii="宋体" w:hAnsi="宋体" w:cs="宋体"/>
                <w:color w:val="FF0000"/>
                <w:szCs w:val="18"/>
              </w:rPr>
            </w:pPr>
            <w:r>
              <w:rPr>
                <w:rFonts w:hint="eastAsia"/>
                <w:color w:val="000000"/>
              </w:rPr>
              <w:t>提供201</w:t>
            </w:r>
            <w:r>
              <w:rPr>
                <w:rFonts w:hint="eastAsia"/>
                <w:color w:val="000000"/>
                <w:lang w:val="en-US" w:eastAsia="zh-CN"/>
              </w:rPr>
              <w:t>9</w:t>
            </w:r>
            <w:r>
              <w:rPr>
                <w:rFonts w:hint="eastAsia"/>
                <w:color w:val="000000"/>
              </w:rPr>
              <w:t>年以来高校的集中空调通风系统清洗消毒的业绩，（需同时提供业绩合同关键页复印件等资料的复印件。），每份项得5分，累计不大于20分。</w:t>
            </w:r>
          </w:p>
        </w:tc>
      </w:tr>
      <w:tr>
        <w:tblPrEx>
          <w:tblLayout w:type="fixed"/>
          <w:tblCellMar>
            <w:top w:w="0" w:type="dxa"/>
            <w:left w:w="108" w:type="dxa"/>
            <w:bottom w:w="0" w:type="dxa"/>
            <w:right w:w="108" w:type="dxa"/>
          </w:tblCellMar>
        </w:tblPrEx>
        <w:trPr>
          <w:cantSplit/>
          <w:trHeight w:val="841" w:hRule="atLeast"/>
          <w:jc w:val="center"/>
        </w:trPr>
        <w:tc>
          <w:tcPr>
            <w:tcW w:w="985" w:type="dxa"/>
            <w:vMerge w:val="restart"/>
            <w:tcBorders>
              <w:top w:val="single" w:color="auto" w:sz="6" w:space="0"/>
              <w:left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cs="宋体"/>
                <w:b/>
                <w:szCs w:val="18"/>
              </w:rPr>
            </w:pPr>
            <w:r>
              <w:rPr>
                <w:rFonts w:hint="eastAsia" w:ascii="宋体" w:hAnsi="宋体" w:cs="宋体"/>
                <w:b/>
                <w:szCs w:val="18"/>
              </w:rPr>
              <w:t>技术部分（60</w:t>
            </w:r>
            <w:r>
              <w:rPr>
                <w:rFonts w:ascii="宋体" w:hAnsi="宋体" w:cs="宋体"/>
                <w:b/>
                <w:szCs w:val="18"/>
              </w:rPr>
              <w:t>）</w:t>
            </w: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cs="宋体"/>
                <w:szCs w:val="18"/>
              </w:rPr>
            </w:pPr>
            <w:r>
              <w:rPr>
                <w:rFonts w:hint="eastAsia" w:ascii="宋体" w:hAnsi="宋体" w:cs="宋体"/>
                <w:szCs w:val="18"/>
              </w:rPr>
              <w:t>投标优势</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cs="宋体"/>
                <w:szCs w:val="18"/>
              </w:rPr>
            </w:pPr>
            <w:r>
              <w:rPr>
                <w:rFonts w:hint="eastAsia"/>
                <w:color w:val="000000"/>
              </w:rPr>
              <w:t>20</w:t>
            </w:r>
          </w:p>
        </w:tc>
        <w:tc>
          <w:tcPr>
            <w:tcW w:w="6888" w:type="dxa"/>
            <w:tcBorders>
              <w:top w:val="single" w:color="auto" w:sz="6" w:space="0"/>
              <w:left w:val="single" w:color="auto" w:sz="6" w:space="0"/>
              <w:bottom w:val="single" w:color="auto" w:sz="6" w:space="0"/>
              <w:right w:val="single" w:color="auto" w:sz="6" w:space="0"/>
              <w:tl2br w:val="nil"/>
              <w:tr2bl w:val="nil"/>
            </w:tcBorders>
            <w:vAlign w:val="center"/>
          </w:tcPr>
          <w:p>
            <w:pPr>
              <w:tabs>
                <w:tab w:val="center" w:pos="4153"/>
                <w:tab w:val="right" w:pos="8306"/>
              </w:tabs>
              <w:adjustRightInd w:val="0"/>
              <w:snapToGrid w:val="0"/>
              <w:spacing w:line="240" w:lineRule="atLeast"/>
              <w:jc w:val="left"/>
              <w:rPr>
                <w:rFonts w:ascii="宋体" w:hAnsi="宋体" w:cs="宋体"/>
                <w:color w:val="FF0000"/>
                <w:szCs w:val="18"/>
              </w:rPr>
            </w:pPr>
            <w:r>
              <w:rPr>
                <w:rFonts w:hint="eastAsia"/>
                <w:color w:val="000000"/>
              </w:rPr>
              <w:t>投标人参加本项目的优势与有利条件的评价，对高校空调清洗的熟悉程度，项目的响应速度等。优：20-13分；良：10-8分；中：5-3分；差：2-0分</w:t>
            </w:r>
          </w:p>
        </w:tc>
      </w:tr>
      <w:tr>
        <w:tblPrEx>
          <w:tblLayout w:type="fixed"/>
          <w:tblCellMar>
            <w:top w:w="0" w:type="dxa"/>
            <w:left w:w="108" w:type="dxa"/>
            <w:bottom w:w="0" w:type="dxa"/>
            <w:right w:w="108" w:type="dxa"/>
          </w:tblCellMar>
        </w:tblPrEx>
        <w:trPr>
          <w:cantSplit/>
          <w:jc w:val="center"/>
        </w:trPr>
        <w:tc>
          <w:tcPr>
            <w:tcW w:w="985" w:type="dxa"/>
            <w:vMerge w:val="continue"/>
            <w:tcBorders>
              <w:left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cs="宋体"/>
                <w:b/>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cs="宋体"/>
                <w:szCs w:val="18"/>
              </w:rPr>
            </w:pPr>
            <w:r>
              <w:rPr>
                <w:rFonts w:hint="eastAsia"/>
                <w:color w:val="000000"/>
              </w:rPr>
              <w:t>项目负责及主要施工人员的资质</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cs="宋体"/>
                <w:szCs w:val="18"/>
              </w:rPr>
            </w:pPr>
            <w:r>
              <w:rPr>
                <w:rFonts w:hint="eastAsia"/>
                <w:color w:val="000000"/>
              </w:rPr>
              <w:t>4</w:t>
            </w:r>
          </w:p>
        </w:tc>
        <w:tc>
          <w:tcPr>
            <w:tcW w:w="6888"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left"/>
              <w:rPr>
                <w:rFonts w:ascii="宋体" w:hAnsi="宋体" w:cs="宋体"/>
                <w:color w:val="FF0000"/>
                <w:szCs w:val="18"/>
              </w:rPr>
            </w:pPr>
            <w:r>
              <w:rPr>
                <w:rFonts w:hint="eastAsia"/>
                <w:color w:val="000000"/>
              </w:rPr>
              <w:t>本项目的项目负责及主要施工人员的职称或资格，项目负责人从事相关专业工作三年或以上，是否具有安全员证书等，（提供相关学历、资质证书及证明复印件）。优：4-3分；良：2分；中：1分；差：1-0</w:t>
            </w:r>
          </w:p>
        </w:tc>
      </w:tr>
      <w:tr>
        <w:tblPrEx>
          <w:tblLayout w:type="fixed"/>
          <w:tblCellMar>
            <w:top w:w="0" w:type="dxa"/>
            <w:left w:w="108" w:type="dxa"/>
            <w:bottom w:w="0" w:type="dxa"/>
            <w:right w:w="108" w:type="dxa"/>
          </w:tblCellMar>
        </w:tblPrEx>
        <w:trPr>
          <w:cantSplit/>
          <w:trHeight w:val="1120" w:hRule="atLeast"/>
          <w:jc w:val="center"/>
        </w:trPr>
        <w:tc>
          <w:tcPr>
            <w:tcW w:w="985" w:type="dxa"/>
            <w:vMerge w:val="continue"/>
            <w:tcBorders>
              <w:left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cs="宋体"/>
                <w:b/>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cs="宋体"/>
                <w:szCs w:val="18"/>
              </w:rPr>
            </w:pPr>
            <w:bookmarkStart w:id="1" w:name="_Toc36215789"/>
            <w:bookmarkStart w:id="2" w:name="_Toc35980627"/>
            <w:r>
              <w:rPr>
                <w:rFonts w:hint="eastAsia"/>
                <w:color w:val="000000"/>
              </w:rPr>
              <w:t>清洗、消毒施工人员</w:t>
            </w:r>
            <w:bookmarkEnd w:id="1"/>
            <w:bookmarkEnd w:id="2"/>
            <w:r>
              <w:rPr>
                <w:rFonts w:hint="eastAsia" w:ascii="宋体" w:hAnsi="宋体" w:cs="宋体"/>
                <w:szCs w:val="18"/>
              </w:rPr>
              <w:t>资质</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cs="宋体"/>
                <w:szCs w:val="18"/>
              </w:rPr>
            </w:pPr>
            <w:r>
              <w:rPr>
                <w:rFonts w:hint="eastAsia"/>
                <w:color w:val="000000"/>
              </w:rPr>
              <w:t>3</w:t>
            </w:r>
          </w:p>
        </w:tc>
        <w:tc>
          <w:tcPr>
            <w:tcW w:w="6888"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left"/>
              <w:rPr>
                <w:rFonts w:ascii="宋体" w:hAnsi="宋体" w:cs="宋体"/>
                <w:color w:val="FF0000"/>
                <w:szCs w:val="18"/>
              </w:rPr>
            </w:pPr>
            <w:r>
              <w:rPr>
                <w:rFonts w:hint="eastAsia"/>
                <w:color w:val="000000"/>
              </w:rPr>
              <w:t>清洗、消毒施工人员具有上岗资格证或其他专业培训认证证书。（提供相关学历、资质证书及证明复印件）。优：3分；良：2分；中：1分；差：0</w:t>
            </w:r>
          </w:p>
        </w:tc>
      </w:tr>
      <w:tr>
        <w:tblPrEx>
          <w:tblLayout w:type="fixed"/>
          <w:tblCellMar>
            <w:top w:w="0" w:type="dxa"/>
            <w:left w:w="108" w:type="dxa"/>
            <w:bottom w:w="0" w:type="dxa"/>
            <w:right w:w="108" w:type="dxa"/>
          </w:tblCellMar>
        </w:tblPrEx>
        <w:trPr>
          <w:cantSplit/>
          <w:trHeight w:val="1120" w:hRule="atLeast"/>
          <w:jc w:val="center"/>
        </w:trPr>
        <w:tc>
          <w:tcPr>
            <w:tcW w:w="985" w:type="dxa"/>
            <w:vMerge w:val="continue"/>
            <w:tcBorders>
              <w:left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cs="宋体"/>
                <w:b/>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cs="宋体"/>
                <w:szCs w:val="18"/>
              </w:rPr>
            </w:pPr>
            <w:r>
              <w:rPr>
                <w:rFonts w:hint="eastAsia" w:ascii="宋体" w:hAnsi="宋体" w:cs="宋体"/>
                <w:szCs w:val="18"/>
              </w:rPr>
              <w:t>拟投入设备</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cs="宋体"/>
                <w:szCs w:val="18"/>
              </w:rPr>
            </w:pPr>
            <w:r>
              <w:rPr>
                <w:rFonts w:hint="eastAsia"/>
                <w:color w:val="000000"/>
              </w:rPr>
              <w:t>3</w:t>
            </w:r>
          </w:p>
        </w:tc>
        <w:tc>
          <w:tcPr>
            <w:tcW w:w="6888"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left"/>
              <w:rPr>
                <w:color w:val="000000"/>
              </w:rPr>
            </w:pPr>
            <w:r>
              <w:rPr>
                <w:rFonts w:hint="eastAsia"/>
                <w:color w:val="000000"/>
              </w:rPr>
              <w:t>拟投入项目的仪器设备的数量、品牌、可靠性和先进性（仪器设备包含：风管清洗机器人、污染物捕集设备、手持清洗装置、冷却水塔清洗工具、消毒器械及其他配套设备、工具、器械等）。优：3分；良：2分；中：1分；差：0</w:t>
            </w:r>
          </w:p>
        </w:tc>
      </w:tr>
      <w:tr>
        <w:tblPrEx>
          <w:tblLayout w:type="fixed"/>
          <w:tblCellMar>
            <w:top w:w="0" w:type="dxa"/>
            <w:left w:w="108" w:type="dxa"/>
            <w:bottom w:w="0" w:type="dxa"/>
            <w:right w:w="108" w:type="dxa"/>
          </w:tblCellMar>
        </w:tblPrEx>
        <w:trPr>
          <w:cantSplit/>
          <w:trHeight w:val="1391" w:hRule="atLeast"/>
          <w:jc w:val="center"/>
        </w:trPr>
        <w:tc>
          <w:tcPr>
            <w:tcW w:w="985" w:type="dxa"/>
            <w:vMerge w:val="continue"/>
            <w:tcBorders>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cs="宋体"/>
                <w:b/>
                <w:szCs w:val="18"/>
              </w:rPr>
            </w:pPr>
          </w:p>
        </w:tc>
        <w:tc>
          <w:tcPr>
            <w:tcW w:w="1417"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cs="宋体"/>
                <w:szCs w:val="18"/>
              </w:rPr>
            </w:pPr>
            <w:r>
              <w:rPr>
                <w:rFonts w:hint="eastAsia" w:ascii="宋体" w:hAnsi="宋体" w:cs="宋体"/>
                <w:szCs w:val="18"/>
              </w:rPr>
              <w:t>项目实施方案总体评价</w:t>
            </w:r>
          </w:p>
        </w:tc>
        <w:tc>
          <w:tcPr>
            <w:tcW w:w="709"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center"/>
              <w:rPr>
                <w:rFonts w:ascii="宋体" w:hAnsi="宋体" w:cs="宋体"/>
                <w:szCs w:val="18"/>
              </w:rPr>
            </w:pPr>
            <w:r>
              <w:rPr>
                <w:rFonts w:hint="eastAsia"/>
                <w:color w:val="000000"/>
              </w:rPr>
              <w:t>20</w:t>
            </w:r>
          </w:p>
        </w:tc>
        <w:tc>
          <w:tcPr>
            <w:tcW w:w="6888" w:type="dxa"/>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line="240" w:lineRule="atLeast"/>
              <w:jc w:val="left"/>
              <w:rPr>
                <w:rFonts w:ascii="宋体" w:hAnsi="宋体" w:cs="宋体"/>
                <w:color w:val="FF0000"/>
                <w:szCs w:val="18"/>
              </w:rPr>
            </w:pPr>
            <w:r>
              <w:rPr>
                <w:rFonts w:hint="eastAsia"/>
                <w:color w:val="000000"/>
              </w:rPr>
              <w:t>清洗服务方案、运作流程、清洗服务各项质量标准的承诺及目标，进度计划符合工期总体要求、进度安排与各施工阶段人员配备合理，且满足现场需要。优：20-13分；良：10-8分；中：5-3分；差：2-0分</w:t>
            </w:r>
          </w:p>
        </w:tc>
      </w:tr>
      <w:tr>
        <w:tblPrEx>
          <w:tblLayout w:type="fixed"/>
          <w:tblCellMar>
            <w:top w:w="0" w:type="dxa"/>
            <w:left w:w="108" w:type="dxa"/>
            <w:bottom w:w="0" w:type="dxa"/>
            <w:right w:w="108" w:type="dxa"/>
          </w:tblCellMar>
        </w:tblPrEx>
        <w:trPr>
          <w:cantSplit/>
          <w:trHeight w:val="561" w:hRule="atLeast"/>
          <w:jc w:val="center"/>
        </w:trPr>
        <w:tc>
          <w:tcPr>
            <w:tcW w:w="985" w:type="dxa"/>
            <w:tcBorders>
              <w:top w:val="single" w:color="auto" w:sz="6" w:space="0"/>
              <w:left w:val="single" w:color="auto" w:sz="6" w:space="0"/>
              <w:bottom w:val="single" w:color="auto" w:sz="6" w:space="0"/>
              <w:right w:val="single" w:color="auto" w:sz="6" w:space="0"/>
              <w:tl2br w:val="nil"/>
              <w:tr2bl w:val="nil"/>
            </w:tcBorders>
          </w:tcPr>
          <w:p>
            <w:pPr>
              <w:adjustRightInd w:val="0"/>
              <w:snapToGrid w:val="0"/>
              <w:spacing w:line="240" w:lineRule="atLeast"/>
              <w:jc w:val="center"/>
              <w:rPr>
                <w:rFonts w:ascii="宋体" w:hAnsi="宋体" w:cs="宋体"/>
                <w:b/>
                <w:szCs w:val="18"/>
              </w:rPr>
            </w:pPr>
            <w:r>
              <w:rPr>
                <w:rFonts w:hint="eastAsia" w:ascii="宋体" w:hAnsi="宋体" w:cs="宋体"/>
                <w:b/>
                <w:szCs w:val="18"/>
              </w:rPr>
              <w:t>合计</w:t>
            </w:r>
          </w:p>
        </w:tc>
        <w:tc>
          <w:tcPr>
            <w:tcW w:w="1417" w:type="dxa"/>
            <w:tcBorders>
              <w:top w:val="single" w:color="auto" w:sz="6" w:space="0"/>
              <w:left w:val="single" w:color="auto" w:sz="6" w:space="0"/>
              <w:bottom w:val="single" w:color="auto" w:sz="6" w:space="0"/>
              <w:right w:val="single" w:color="auto" w:sz="6" w:space="0"/>
              <w:tl2br w:val="nil"/>
              <w:tr2bl w:val="nil"/>
            </w:tcBorders>
          </w:tcPr>
          <w:p>
            <w:pPr>
              <w:adjustRightInd w:val="0"/>
              <w:snapToGrid w:val="0"/>
              <w:spacing w:line="240" w:lineRule="atLeast"/>
              <w:jc w:val="center"/>
              <w:rPr>
                <w:rFonts w:ascii="宋体" w:hAnsi="宋体" w:cs="宋体"/>
                <w:szCs w:val="18"/>
              </w:rPr>
            </w:pPr>
          </w:p>
        </w:tc>
        <w:tc>
          <w:tcPr>
            <w:tcW w:w="709" w:type="dxa"/>
            <w:tcBorders>
              <w:top w:val="single" w:color="auto" w:sz="6" w:space="0"/>
              <w:left w:val="single" w:color="auto" w:sz="6" w:space="0"/>
              <w:bottom w:val="single" w:color="auto" w:sz="6" w:space="0"/>
              <w:right w:val="single" w:color="auto" w:sz="6" w:space="0"/>
              <w:tl2br w:val="nil"/>
              <w:tr2bl w:val="nil"/>
            </w:tcBorders>
          </w:tcPr>
          <w:p>
            <w:pPr>
              <w:adjustRightInd w:val="0"/>
              <w:snapToGrid w:val="0"/>
              <w:spacing w:line="240" w:lineRule="atLeast"/>
              <w:jc w:val="center"/>
              <w:rPr>
                <w:rFonts w:ascii="宋体" w:hAnsi="宋体" w:cs="宋体"/>
                <w:szCs w:val="18"/>
              </w:rPr>
            </w:pPr>
            <w:r>
              <w:rPr>
                <w:rFonts w:hint="eastAsia" w:ascii="宋体" w:hAnsi="宋体" w:cs="宋体"/>
                <w:szCs w:val="18"/>
              </w:rPr>
              <w:t>100</w:t>
            </w:r>
          </w:p>
        </w:tc>
        <w:tc>
          <w:tcPr>
            <w:tcW w:w="6888" w:type="dxa"/>
            <w:tcBorders>
              <w:top w:val="single" w:color="auto" w:sz="6" w:space="0"/>
              <w:left w:val="single" w:color="auto" w:sz="6" w:space="0"/>
              <w:bottom w:val="single" w:color="auto" w:sz="6" w:space="0"/>
              <w:right w:val="single" w:color="auto" w:sz="6" w:space="0"/>
              <w:tl2br w:val="nil"/>
              <w:tr2bl w:val="nil"/>
            </w:tcBorders>
          </w:tcPr>
          <w:p>
            <w:pPr>
              <w:adjustRightInd w:val="0"/>
              <w:snapToGrid w:val="0"/>
              <w:spacing w:line="240" w:lineRule="atLeast"/>
              <w:jc w:val="left"/>
              <w:rPr>
                <w:rFonts w:ascii="宋体" w:hAnsi="宋体" w:cs="宋体"/>
                <w:szCs w:val="18"/>
              </w:rPr>
            </w:pPr>
          </w:p>
        </w:tc>
      </w:tr>
    </w:tbl>
    <w:p>
      <w:pPr>
        <w:spacing w:line="360" w:lineRule="auto"/>
        <w:ind w:hanging="142"/>
        <w:rPr>
          <w:rFonts w:ascii="宋体"/>
        </w:rPr>
      </w:pPr>
      <w:r>
        <w:rPr>
          <w:rFonts w:hint="eastAsia" w:ascii="宋体"/>
        </w:rPr>
        <w:t>备注：1、评委对各投标文件进行比较后，根据计分方法进行相应地打分。</w:t>
      </w:r>
    </w:p>
    <w:p>
      <w:pPr>
        <w:spacing w:line="360" w:lineRule="auto"/>
        <w:ind w:left="283" w:leftChars="135" w:firstLine="141"/>
        <w:rPr>
          <w:rFonts w:ascii="宋体" w:hAnsi="宋体" w:cs="Arial"/>
          <w:color w:val="000000"/>
          <w:sz w:val="24"/>
        </w:rPr>
      </w:pPr>
      <w:r>
        <w:rPr>
          <w:rFonts w:hint="eastAsia" w:ascii="宋体"/>
        </w:rPr>
        <w:t>2、未提供各项评审的相关内容证明文件或证明文件模糊不清（有有效期的，须在有效期内），以致评委无法做出准确评判时，该项得分为0分。</w:t>
      </w:r>
    </w:p>
    <w:p>
      <w:pPr>
        <w:numPr>
          <w:ilvl w:val="0"/>
          <w:numId w:val="16"/>
        </w:numPr>
        <w:spacing w:line="360" w:lineRule="auto"/>
        <w:ind w:hanging="142"/>
        <w:rPr>
          <w:rFonts w:ascii="宋体" w:hAnsi="宋体" w:cs="Arial"/>
          <w:color w:val="000000"/>
          <w:sz w:val="24"/>
        </w:rPr>
      </w:pPr>
      <w:r>
        <w:rPr>
          <w:rFonts w:hint="eastAsia" w:ascii="宋体" w:hAnsi="宋体" w:cs="Arial"/>
          <w:color w:val="000000"/>
          <w:sz w:val="24"/>
        </w:rPr>
        <w:t>综合得分</w:t>
      </w:r>
    </w:p>
    <w:p>
      <w:pPr>
        <w:spacing w:line="360" w:lineRule="auto"/>
        <w:ind w:left="239" w:leftChars="114" w:firstLine="480" w:firstLineChars="200"/>
        <w:rPr>
          <w:rFonts w:ascii="宋体" w:hAnsi="宋体" w:cs="Arial"/>
          <w:color w:val="000000"/>
          <w:sz w:val="24"/>
        </w:rPr>
      </w:pPr>
      <w:r>
        <w:rPr>
          <w:rFonts w:hint="eastAsia" w:ascii="宋体" w:hAnsi="宋体" w:cs="Arial"/>
          <w:color w:val="000000"/>
          <w:sz w:val="24"/>
        </w:rPr>
        <w:t>评分总得分：根据比价原则评出价格评分。将技术商务评分和价格评分相加得出评标总得分。</w:t>
      </w:r>
    </w:p>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fldChar w:fldCharType="begin"/>
    </w:r>
    <w:r>
      <w:instrText xml:space="preserve"> PAGE   \* MERGEFORMAT </w:instrText>
    </w:r>
    <w:r>
      <w:fldChar w:fldCharType="separate"/>
    </w:r>
    <w:r>
      <w:rPr>
        <w:lang w:val="zh-CN"/>
      </w:rPr>
      <w:t>16</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217C59"/>
    <w:multiLevelType w:val="singleLevel"/>
    <w:tmpl w:val="CE217C59"/>
    <w:lvl w:ilvl="0" w:tentative="0">
      <w:start w:val="1"/>
      <w:numFmt w:val="decimal"/>
      <w:suff w:val="nothing"/>
      <w:lvlText w:val="%1、"/>
      <w:lvlJc w:val="left"/>
    </w:lvl>
  </w:abstractNum>
  <w:abstractNum w:abstractNumId="1">
    <w:nsid w:val="00000001"/>
    <w:multiLevelType w:val="singleLevel"/>
    <w:tmpl w:val="00000001"/>
    <w:lvl w:ilvl="0" w:tentative="0">
      <w:start w:val="2"/>
      <w:numFmt w:val="decimal"/>
      <w:suff w:val="nothing"/>
      <w:lvlText w:val="%1、"/>
      <w:lvlJc w:val="left"/>
    </w:lvl>
  </w:abstractNum>
  <w:abstractNum w:abstractNumId="2">
    <w:nsid w:val="004A4DB4"/>
    <w:multiLevelType w:val="multilevel"/>
    <w:tmpl w:val="004A4DB4"/>
    <w:lvl w:ilvl="0" w:tentative="0">
      <w:start w:val="1"/>
      <w:numFmt w:val="decimal"/>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4">
    <w:nsid w:val="12D81932"/>
    <w:multiLevelType w:val="multilevel"/>
    <w:tmpl w:val="12D81932"/>
    <w:lvl w:ilvl="0" w:tentative="0">
      <w:start w:val="1"/>
      <w:numFmt w:val="chineseCountingThousand"/>
      <w:lvlText w:val="(%1)"/>
      <w:lvlJc w:val="left"/>
      <w:pPr>
        <w:ind w:left="900" w:hanging="420"/>
      </w:pPr>
    </w:lvl>
    <w:lvl w:ilvl="1" w:tentative="0">
      <w:start w:val="1"/>
      <w:numFmt w:val="decimal"/>
      <w:lvlText w:val="%2、"/>
      <w:lvlJc w:val="left"/>
      <w:pPr>
        <w:ind w:left="1695" w:hanging="795"/>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6">
    <w:nsid w:val="474E3AF9"/>
    <w:multiLevelType w:val="multilevel"/>
    <w:tmpl w:val="474E3AF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7">
    <w:nsid w:val="55C11FF5"/>
    <w:multiLevelType w:val="multilevel"/>
    <w:tmpl w:val="55C11FF5"/>
    <w:lvl w:ilvl="0" w:tentative="0">
      <w:start w:val="1"/>
      <w:numFmt w:val="decimal"/>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0">
    <w:nsid w:val="59BD65BB"/>
    <w:multiLevelType w:val="multilevel"/>
    <w:tmpl w:val="59BD65BB"/>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chineseCountingThousand"/>
      <w:lvlText w:val="(%3)"/>
      <w:lvlJc w:val="lef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2">
    <w:nsid w:val="76EB716F"/>
    <w:multiLevelType w:val="multilevel"/>
    <w:tmpl w:val="76EB716F"/>
    <w:lvl w:ilvl="0" w:tentative="0">
      <w:start w:val="1"/>
      <w:numFmt w:val="chineseCountingThousand"/>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3">
    <w:nsid w:val="774B46FA"/>
    <w:multiLevelType w:val="multilevel"/>
    <w:tmpl w:val="774B46FA"/>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4">
    <w:nsid w:val="79F27AAA"/>
    <w:multiLevelType w:val="multilevel"/>
    <w:tmpl w:val="79F27AAA"/>
    <w:lvl w:ilvl="0" w:tentative="0">
      <w:start w:val="1"/>
      <w:numFmt w:val="chineseCountingThousand"/>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5">
    <w:nsid w:val="7A7E075F"/>
    <w:multiLevelType w:val="multilevel"/>
    <w:tmpl w:val="7A7E075F"/>
    <w:lvl w:ilvl="0" w:tentative="0">
      <w:start w:val="1"/>
      <w:numFmt w:val="decimal"/>
      <w:lvlText w:val="%1."/>
      <w:lvlJc w:val="left"/>
      <w:pPr>
        <w:ind w:left="840" w:hanging="420"/>
      </w:pPr>
    </w:lvl>
    <w:lvl w:ilvl="1" w:tentative="0">
      <w:start w:val="1"/>
      <w:numFmt w:val="decimal"/>
      <w:lvlText w:val="%2."/>
      <w:lvlJc w:val="left"/>
      <w:pPr>
        <w:ind w:left="420" w:hanging="420"/>
      </w:pPr>
      <w:rPr>
        <w:rFonts w:hint="eastAsia"/>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1"/>
  </w:num>
  <w:num w:numId="2">
    <w:abstractNumId w:val="4"/>
  </w:num>
  <w:num w:numId="3">
    <w:abstractNumId w:val="9"/>
  </w:num>
  <w:num w:numId="4">
    <w:abstractNumId w:val="13"/>
  </w:num>
  <w:num w:numId="5">
    <w:abstractNumId w:val="1"/>
  </w:num>
  <w:num w:numId="6">
    <w:abstractNumId w:val="6"/>
  </w:num>
  <w:num w:numId="7">
    <w:abstractNumId w:val="5"/>
  </w:num>
  <w:num w:numId="8">
    <w:abstractNumId w:val="7"/>
  </w:num>
  <w:num w:numId="9">
    <w:abstractNumId w:val="2"/>
  </w:num>
  <w:num w:numId="10">
    <w:abstractNumId w:val="15"/>
  </w:num>
  <w:num w:numId="11">
    <w:abstractNumId w:val="14"/>
  </w:num>
  <w:num w:numId="12">
    <w:abstractNumId w:val="0"/>
  </w:num>
  <w:num w:numId="13">
    <w:abstractNumId w:val="10"/>
  </w:num>
  <w:num w:numId="14">
    <w:abstractNumId w:val="3"/>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5EC"/>
    <w:rsid w:val="00006CE6"/>
    <w:rsid w:val="0004335B"/>
    <w:rsid w:val="00055462"/>
    <w:rsid w:val="00066EB5"/>
    <w:rsid w:val="000704AC"/>
    <w:rsid w:val="000775B8"/>
    <w:rsid w:val="0008426A"/>
    <w:rsid w:val="00084FC8"/>
    <w:rsid w:val="00092026"/>
    <w:rsid w:val="000E1C8C"/>
    <w:rsid w:val="000F74C2"/>
    <w:rsid w:val="00121884"/>
    <w:rsid w:val="001252F0"/>
    <w:rsid w:val="00131D18"/>
    <w:rsid w:val="001360AA"/>
    <w:rsid w:val="00151472"/>
    <w:rsid w:val="001603B2"/>
    <w:rsid w:val="00160670"/>
    <w:rsid w:val="0016226C"/>
    <w:rsid w:val="00162B2B"/>
    <w:rsid w:val="00167995"/>
    <w:rsid w:val="00172A27"/>
    <w:rsid w:val="00177DB2"/>
    <w:rsid w:val="001920C6"/>
    <w:rsid w:val="0019317C"/>
    <w:rsid w:val="001D0286"/>
    <w:rsid w:val="001D06F3"/>
    <w:rsid w:val="001E55F4"/>
    <w:rsid w:val="001F3443"/>
    <w:rsid w:val="001F38C3"/>
    <w:rsid w:val="001F3FA4"/>
    <w:rsid w:val="00204CDD"/>
    <w:rsid w:val="00204E26"/>
    <w:rsid w:val="00211957"/>
    <w:rsid w:val="00212346"/>
    <w:rsid w:val="00213918"/>
    <w:rsid w:val="002560DB"/>
    <w:rsid w:val="00282C8D"/>
    <w:rsid w:val="00286B34"/>
    <w:rsid w:val="002A03FC"/>
    <w:rsid w:val="002C14E6"/>
    <w:rsid w:val="002E6ABB"/>
    <w:rsid w:val="002F4FBD"/>
    <w:rsid w:val="002F5659"/>
    <w:rsid w:val="00304259"/>
    <w:rsid w:val="00304742"/>
    <w:rsid w:val="00305942"/>
    <w:rsid w:val="0032748F"/>
    <w:rsid w:val="0032772B"/>
    <w:rsid w:val="00330308"/>
    <w:rsid w:val="00372405"/>
    <w:rsid w:val="003960D2"/>
    <w:rsid w:val="003D691C"/>
    <w:rsid w:val="003E4F57"/>
    <w:rsid w:val="003E7E90"/>
    <w:rsid w:val="00402245"/>
    <w:rsid w:val="004048A2"/>
    <w:rsid w:val="00406C52"/>
    <w:rsid w:val="004169BF"/>
    <w:rsid w:val="00443DDA"/>
    <w:rsid w:val="00445A22"/>
    <w:rsid w:val="004631CC"/>
    <w:rsid w:val="00466D47"/>
    <w:rsid w:val="00470BC1"/>
    <w:rsid w:val="00470DDE"/>
    <w:rsid w:val="0047190A"/>
    <w:rsid w:val="00474B2B"/>
    <w:rsid w:val="00476C0F"/>
    <w:rsid w:val="00484174"/>
    <w:rsid w:val="00493C7F"/>
    <w:rsid w:val="004A7756"/>
    <w:rsid w:val="004B11D7"/>
    <w:rsid w:val="004E5FDB"/>
    <w:rsid w:val="004F2909"/>
    <w:rsid w:val="004F36BB"/>
    <w:rsid w:val="004F45E1"/>
    <w:rsid w:val="005009F5"/>
    <w:rsid w:val="00501A8A"/>
    <w:rsid w:val="005033BB"/>
    <w:rsid w:val="00527BD6"/>
    <w:rsid w:val="005311B9"/>
    <w:rsid w:val="00531702"/>
    <w:rsid w:val="00535149"/>
    <w:rsid w:val="0053795E"/>
    <w:rsid w:val="0054253B"/>
    <w:rsid w:val="005475E5"/>
    <w:rsid w:val="0056095A"/>
    <w:rsid w:val="00562A90"/>
    <w:rsid w:val="00574762"/>
    <w:rsid w:val="005859B1"/>
    <w:rsid w:val="005A2B85"/>
    <w:rsid w:val="005C005C"/>
    <w:rsid w:val="005C3E7E"/>
    <w:rsid w:val="005C500C"/>
    <w:rsid w:val="005D5C00"/>
    <w:rsid w:val="005E4749"/>
    <w:rsid w:val="00603F0D"/>
    <w:rsid w:val="006133C3"/>
    <w:rsid w:val="006157FE"/>
    <w:rsid w:val="00620929"/>
    <w:rsid w:val="006326E3"/>
    <w:rsid w:val="00643C6C"/>
    <w:rsid w:val="00644C45"/>
    <w:rsid w:val="00671D4B"/>
    <w:rsid w:val="006752E4"/>
    <w:rsid w:val="0068111A"/>
    <w:rsid w:val="006814C2"/>
    <w:rsid w:val="00682622"/>
    <w:rsid w:val="006963AF"/>
    <w:rsid w:val="006A3BB3"/>
    <w:rsid w:val="006A4371"/>
    <w:rsid w:val="006A5CC4"/>
    <w:rsid w:val="006B71ED"/>
    <w:rsid w:val="006C7972"/>
    <w:rsid w:val="006D40FC"/>
    <w:rsid w:val="006D6938"/>
    <w:rsid w:val="006D7FA1"/>
    <w:rsid w:val="007029DA"/>
    <w:rsid w:val="00705503"/>
    <w:rsid w:val="00714007"/>
    <w:rsid w:val="00716CC4"/>
    <w:rsid w:val="00733C56"/>
    <w:rsid w:val="0075070C"/>
    <w:rsid w:val="00760ACA"/>
    <w:rsid w:val="00761C6B"/>
    <w:rsid w:val="007671A9"/>
    <w:rsid w:val="007779C8"/>
    <w:rsid w:val="007821D9"/>
    <w:rsid w:val="00784E71"/>
    <w:rsid w:val="007869DB"/>
    <w:rsid w:val="00787196"/>
    <w:rsid w:val="00792768"/>
    <w:rsid w:val="007A13C5"/>
    <w:rsid w:val="007A6D41"/>
    <w:rsid w:val="007A7895"/>
    <w:rsid w:val="007B2717"/>
    <w:rsid w:val="007B3C5F"/>
    <w:rsid w:val="007D2560"/>
    <w:rsid w:val="007E2195"/>
    <w:rsid w:val="007E3247"/>
    <w:rsid w:val="007F201B"/>
    <w:rsid w:val="00802CB8"/>
    <w:rsid w:val="00804AB7"/>
    <w:rsid w:val="00807B8B"/>
    <w:rsid w:val="008203A0"/>
    <w:rsid w:val="008217FF"/>
    <w:rsid w:val="008233B6"/>
    <w:rsid w:val="008433A6"/>
    <w:rsid w:val="0085467F"/>
    <w:rsid w:val="00856C32"/>
    <w:rsid w:val="00865633"/>
    <w:rsid w:val="00883690"/>
    <w:rsid w:val="00884AE3"/>
    <w:rsid w:val="00886649"/>
    <w:rsid w:val="008911DA"/>
    <w:rsid w:val="008A600E"/>
    <w:rsid w:val="008B0CCF"/>
    <w:rsid w:val="008D19F5"/>
    <w:rsid w:val="008D7E50"/>
    <w:rsid w:val="008F7CF5"/>
    <w:rsid w:val="00910331"/>
    <w:rsid w:val="00920579"/>
    <w:rsid w:val="009325E3"/>
    <w:rsid w:val="00936314"/>
    <w:rsid w:val="00947D4B"/>
    <w:rsid w:val="00950B98"/>
    <w:rsid w:val="00953AE7"/>
    <w:rsid w:val="00954F62"/>
    <w:rsid w:val="00961F75"/>
    <w:rsid w:val="00994C4E"/>
    <w:rsid w:val="00996F07"/>
    <w:rsid w:val="009B252A"/>
    <w:rsid w:val="009B63A8"/>
    <w:rsid w:val="009D20F5"/>
    <w:rsid w:val="009D4CB5"/>
    <w:rsid w:val="009D62F1"/>
    <w:rsid w:val="009E0F94"/>
    <w:rsid w:val="00A1326C"/>
    <w:rsid w:val="00A23778"/>
    <w:rsid w:val="00A23A51"/>
    <w:rsid w:val="00A26562"/>
    <w:rsid w:val="00A26AAD"/>
    <w:rsid w:val="00A30091"/>
    <w:rsid w:val="00A47F45"/>
    <w:rsid w:val="00A56B98"/>
    <w:rsid w:val="00A65C4B"/>
    <w:rsid w:val="00A8655B"/>
    <w:rsid w:val="00A9110E"/>
    <w:rsid w:val="00A91D8D"/>
    <w:rsid w:val="00A93C1E"/>
    <w:rsid w:val="00AA7926"/>
    <w:rsid w:val="00AD0A84"/>
    <w:rsid w:val="00AE07C4"/>
    <w:rsid w:val="00AE7619"/>
    <w:rsid w:val="00B11C01"/>
    <w:rsid w:val="00B25413"/>
    <w:rsid w:val="00B3439E"/>
    <w:rsid w:val="00B35BF8"/>
    <w:rsid w:val="00B35E77"/>
    <w:rsid w:val="00B40C3B"/>
    <w:rsid w:val="00B46A1A"/>
    <w:rsid w:val="00B473E4"/>
    <w:rsid w:val="00B821F6"/>
    <w:rsid w:val="00B92D92"/>
    <w:rsid w:val="00BC1D8F"/>
    <w:rsid w:val="00BD137E"/>
    <w:rsid w:val="00BD3C55"/>
    <w:rsid w:val="00BD6859"/>
    <w:rsid w:val="00C02D4F"/>
    <w:rsid w:val="00C21B6F"/>
    <w:rsid w:val="00C24901"/>
    <w:rsid w:val="00C25A28"/>
    <w:rsid w:val="00C34E86"/>
    <w:rsid w:val="00C35BE0"/>
    <w:rsid w:val="00C360CE"/>
    <w:rsid w:val="00C3749D"/>
    <w:rsid w:val="00C9749C"/>
    <w:rsid w:val="00CA185B"/>
    <w:rsid w:val="00CB3548"/>
    <w:rsid w:val="00CB6FFA"/>
    <w:rsid w:val="00CB7D96"/>
    <w:rsid w:val="00CD0354"/>
    <w:rsid w:val="00CD49B7"/>
    <w:rsid w:val="00CD5BBA"/>
    <w:rsid w:val="00CD6C03"/>
    <w:rsid w:val="00CE6AE9"/>
    <w:rsid w:val="00CF212B"/>
    <w:rsid w:val="00D05844"/>
    <w:rsid w:val="00D11328"/>
    <w:rsid w:val="00D21EBE"/>
    <w:rsid w:val="00D26C7E"/>
    <w:rsid w:val="00D4050C"/>
    <w:rsid w:val="00D56296"/>
    <w:rsid w:val="00D62037"/>
    <w:rsid w:val="00D64649"/>
    <w:rsid w:val="00D66802"/>
    <w:rsid w:val="00D771A6"/>
    <w:rsid w:val="00D81CDB"/>
    <w:rsid w:val="00D96975"/>
    <w:rsid w:val="00DA079A"/>
    <w:rsid w:val="00DA1824"/>
    <w:rsid w:val="00DA2AA1"/>
    <w:rsid w:val="00DC4492"/>
    <w:rsid w:val="00DC67D9"/>
    <w:rsid w:val="00DD349E"/>
    <w:rsid w:val="00E312F0"/>
    <w:rsid w:val="00E31860"/>
    <w:rsid w:val="00E35E82"/>
    <w:rsid w:val="00E467F5"/>
    <w:rsid w:val="00E474FB"/>
    <w:rsid w:val="00E560B1"/>
    <w:rsid w:val="00E62A6A"/>
    <w:rsid w:val="00E8151C"/>
    <w:rsid w:val="00E92CC3"/>
    <w:rsid w:val="00E933A8"/>
    <w:rsid w:val="00EC63AD"/>
    <w:rsid w:val="00ED5BEE"/>
    <w:rsid w:val="00ED5E29"/>
    <w:rsid w:val="00EE01B2"/>
    <w:rsid w:val="00F1390E"/>
    <w:rsid w:val="00F36482"/>
    <w:rsid w:val="00F5422B"/>
    <w:rsid w:val="00F56CDD"/>
    <w:rsid w:val="00F67C31"/>
    <w:rsid w:val="00F71F85"/>
    <w:rsid w:val="00F823B7"/>
    <w:rsid w:val="00F83FBB"/>
    <w:rsid w:val="00FA1E8E"/>
    <w:rsid w:val="00FE22F7"/>
    <w:rsid w:val="00FF6134"/>
    <w:rsid w:val="03B375C5"/>
    <w:rsid w:val="1D486867"/>
    <w:rsid w:val="24C37BD9"/>
    <w:rsid w:val="24E1746D"/>
    <w:rsid w:val="30530B4A"/>
    <w:rsid w:val="318105E6"/>
    <w:rsid w:val="3A0D1FB3"/>
    <w:rsid w:val="3B4320D1"/>
    <w:rsid w:val="53E02240"/>
    <w:rsid w:val="55BC644E"/>
    <w:rsid w:val="5EEF7A9D"/>
    <w:rsid w:val="696C1C96"/>
    <w:rsid w:val="6D535020"/>
    <w:rsid w:val="766A56C4"/>
    <w:rsid w:val="78E45BDC"/>
    <w:rsid w:val="7A4A37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rPr>
      <w:sz w:val="24"/>
    </w:rPr>
  </w:style>
  <w:style w:type="paragraph" w:styleId="3">
    <w:name w:val="Plain Text"/>
    <w:basedOn w:val="1"/>
    <w:link w:val="23"/>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4">
    <w:name w:val="Balloon Text"/>
    <w:basedOn w:val="1"/>
    <w:link w:val="16"/>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ascii="Times New Roman" w:hAnsi="Times New Roman" w:eastAsia="宋体" w:cs="Times New Roman"/>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unhideWhenUsed/>
    <w:qFormat/>
    <w:uiPriority w:val="34"/>
    <w:pPr>
      <w:ind w:firstLine="420" w:firstLineChars="200"/>
    </w:pPr>
  </w:style>
  <w:style w:type="paragraph" w:customStyle="1" w:styleId="13">
    <w:name w:val="_Style 3"/>
    <w:basedOn w:val="1"/>
    <w:unhideWhenUsed/>
    <w:qFormat/>
    <w:uiPriority w:val="99"/>
    <w:pPr>
      <w:ind w:firstLine="420" w:firstLineChars="200"/>
    </w:pPr>
    <w:rPr>
      <w:rFonts w:ascii="Times New Roman" w:hAnsi="Times New Roman"/>
    </w:rPr>
  </w:style>
  <w:style w:type="paragraph" w:customStyle="1" w:styleId="14">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5">
    <w:name w:val="List Paragraph"/>
    <w:basedOn w:val="1"/>
    <w:unhideWhenUsed/>
    <w:qFormat/>
    <w:uiPriority w:val="34"/>
    <w:pPr>
      <w:ind w:firstLine="420" w:firstLineChars="200"/>
    </w:pPr>
  </w:style>
  <w:style w:type="character" w:customStyle="1" w:styleId="16">
    <w:name w:val="批注框文本 Char"/>
    <w:basedOn w:val="8"/>
    <w:link w:val="4"/>
    <w:qFormat/>
    <w:uiPriority w:val="0"/>
    <w:rPr>
      <w:rFonts w:asciiTheme="minorHAnsi" w:hAnsiTheme="minorHAnsi" w:eastAsiaTheme="minorEastAsia" w:cstheme="minorBidi"/>
      <w:kern w:val="2"/>
      <w:sz w:val="18"/>
      <w:szCs w:val="18"/>
    </w:rPr>
  </w:style>
  <w:style w:type="character" w:customStyle="1" w:styleId="17">
    <w:name w:val="页眉 Char"/>
    <w:basedOn w:val="8"/>
    <w:link w:val="6"/>
    <w:qFormat/>
    <w:uiPriority w:val="0"/>
    <w:rPr>
      <w:rFonts w:asciiTheme="minorHAnsi" w:hAnsiTheme="minorHAnsi" w:eastAsiaTheme="minorEastAsia" w:cstheme="minorBidi"/>
      <w:kern w:val="2"/>
      <w:sz w:val="18"/>
      <w:szCs w:val="18"/>
    </w:rPr>
  </w:style>
  <w:style w:type="character" w:customStyle="1" w:styleId="18">
    <w:name w:val="xdrichtextbox2"/>
    <w:basedOn w:val="8"/>
    <w:qFormat/>
    <w:uiPriority w:val="0"/>
    <w:rPr>
      <w:color w:val="0000FF"/>
      <w:sz w:val="18"/>
      <w:szCs w:val="18"/>
      <w:u w:val="none"/>
      <w:bdr w:val="single" w:color="DCDCDC" w:sz="8" w:space="0"/>
      <w:shd w:val="clear" w:color="auto" w:fill="FFFFFF"/>
    </w:rPr>
  </w:style>
  <w:style w:type="paragraph" w:customStyle="1" w:styleId="19">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0">
    <w:name w:val="1_0"/>
    <w:basedOn w:val="1"/>
    <w:next w:val="21"/>
    <w:qFormat/>
    <w:uiPriority w:val="0"/>
    <w:rPr>
      <w:rFonts w:ascii="宋体" w:hAnsi="Courier New" w:eastAsia="宋体" w:cs="Times New Roman"/>
      <w:szCs w:val="22"/>
    </w:rPr>
  </w:style>
  <w:style w:type="paragraph" w:customStyle="1" w:styleId="21">
    <w:name w:val="纯文本1"/>
    <w:basedOn w:val="1"/>
    <w:qFormat/>
    <w:uiPriority w:val="0"/>
    <w:pPr>
      <w:widowControl/>
      <w:jc w:val="left"/>
    </w:pPr>
    <w:rPr>
      <w:rFonts w:ascii="宋体" w:hAnsi="Courier New" w:eastAsia="微软雅黑" w:cs="Times New Roman"/>
      <w:kern w:val="0"/>
      <w:sz w:val="20"/>
      <w:szCs w:val="21"/>
    </w:rPr>
  </w:style>
  <w:style w:type="paragraph" w:styleId="2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纯文本 Char"/>
    <w:link w:val="3"/>
    <w:qFormat/>
    <w:uiPriority w:val="0"/>
    <w:rPr>
      <w:rFonts w:ascii="宋体" w:hAnsi="Courier New"/>
      <w:sz w:val="2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441EF-438A-448B-BDE1-8E6C4C056A7B}">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16</Pages>
  <Words>1221</Words>
  <Characters>6964</Characters>
  <Lines>58</Lines>
  <Paragraphs>16</Paragraphs>
  <TotalTime>33</TotalTime>
  <ScaleCrop>false</ScaleCrop>
  <LinksUpToDate>false</LinksUpToDate>
  <CharactersWithSpaces>8169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2018-11-11T07:00:00Z</dcterms:created>
  <dc:creator>MoZH</dc:creator>
  <cp:lastModifiedBy>詹映静</cp:lastModifiedBy>
  <dcterms:modified xsi:type="dcterms:W3CDTF">2022-12-07T09:24:26Z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