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广州城投综合能源投资经营管理有限公司</w:t>
      </w:r>
    </w:p>
    <w:p>
      <w:pPr>
        <w:jc w:val="center"/>
        <w:rPr>
          <w:rFonts w:hint="eastAsia"/>
          <w:b/>
          <w:sz w:val="28"/>
          <w:highlight w:val="none"/>
          <w:lang w:val="en-US" w:eastAsia="zh-CN"/>
        </w:rPr>
      </w:pPr>
      <w:r>
        <w:rPr>
          <w:rFonts w:hint="eastAsia"/>
          <w:b/>
          <w:sz w:val="28"/>
          <w:highlight w:val="none"/>
          <w:lang w:val="en-US" w:eastAsia="zh-CN"/>
        </w:rPr>
        <w:t>会议室投影融合屏设备采购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补充</w:t>
      </w:r>
      <w:r>
        <w:rPr>
          <w:rFonts w:hint="eastAsia"/>
          <w:b/>
          <w:sz w:val="28"/>
          <w:szCs w:val="28"/>
        </w:rPr>
        <w:t>公告</w:t>
      </w:r>
    </w:p>
    <w:p>
      <w:pPr>
        <w:pStyle w:val="7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7"/>
        <w:spacing w:line="360" w:lineRule="auto"/>
        <w:ind w:firstLine="480"/>
      </w:pPr>
      <w:r>
        <w:rPr>
          <w:rFonts w:hint="eastAsia" w:ascii="宋体" w:hAnsi="宋体"/>
          <w:kern w:val="0"/>
          <w:sz w:val="24"/>
          <w:szCs w:val="24"/>
          <w:highlight w:val="none"/>
        </w:rPr>
        <w:t>广州城投综合能源投资经营管理有限公司</w:t>
      </w:r>
      <w:r>
        <w:rPr>
          <w:rFonts w:hint="eastAsia" w:ascii="宋体" w:hAnsi="宋体"/>
          <w:kern w:val="0"/>
          <w:sz w:val="24"/>
          <w:szCs w:val="24"/>
          <w:highlight w:val="none"/>
          <w:lang w:val="en-US" w:eastAsia="zh-CN"/>
        </w:rPr>
        <w:t>会议室</w:t>
      </w:r>
      <w:r>
        <w:rPr>
          <w:rFonts w:hint="eastAsia" w:ascii="宋体" w:hAnsi="宋体"/>
          <w:kern w:val="0"/>
          <w:sz w:val="24"/>
          <w:szCs w:val="24"/>
          <w:highlight w:val="none"/>
        </w:rPr>
        <w:t>投影融合屏</w:t>
      </w:r>
      <w:r>
        <w:rPr>
          <w:rFonts w:hint="eastAsia" w:ascii="宋体" w:hAnsi="宋体"/>
          <w:kern w:val="0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宋体" w:hAnsi="宋体"/>
          <w:kern w:val="0"/>
          <w:sz w:val="24"/>
          <w:szCs w:val="24"/>
          <w:highlight w:val="none"/>
        </w:rPr>
        <w:t>采购已</w:t>
      </w:r>
      <w:r>
        <w:rPr>
          <w:rFonts w:ascii="宋体" w:hAnsi="宋体" w:cs="宋体"/>
          <w:kern w:val="0"/>
          <w:sz w:val="24"/>
          <w:highlight w:val="none"/>
        </w:rPr>
        <w:t>于20</w:t>
      </w:r>
      <w:r>
        <w:rPr>
          <w:rFonts w:hint="eastAsia" w:ascii="宋体" w:hAnsi="宋体" w:cs="宋体"/>
          <w:kern w:val="0"/>
          <w:sz w:val="24"/>
          <w:highlight w:val="none"/>
        </w:rPr>
        <w:t>2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</w:t>
      </w:r>
      <w:r>
        <w:rPr>
          <w:rFonts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</w:t>
      </w:r>
      <w:r>
        <w:rPr>
          <w:rFonts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17</w:t>
      </w:r>
      <w:r>
        <w:rPr>
          <w:rFonts w:ascii="宋体" w:hAnsi="宋体" w:cs="宋体"/>
          <w:kern w:val="0"/>
          <w:sz w:val="24"/>
          <w:highlight w:val="none"/>
        </w:rPr>
        <w:t>日发布</w:t>
      </w:r>
      <w:r>
        <w:rPr>
          <w:rFonts w:hint="eastAsia" w:ascii="宋体" w:hAnsi="宋体" w:cs="宋体"/>
          <w:kern w:val="0"/>
          <w:sz w:val="24"/>
          <w:highlight w:val="none"/>
        </w:rPr>
        <w:t>竞选</w:t>
      </w:r>
      <w:r>
        <w:rPr>
          <w:rFonts w:ascii="宋体" w:hAnsi="宋体" w:cs="宋体"/>
          <w:kern w:val="0"/>
          <w:sz w:val="24"/>
          <w:highlight w:val="none"/>
        </w:rPr>
        <w:t>公告，</w:t>
      </w:r>
      <w:r>
        <w:rPr>
          <w:rFonts w:hint="eastAsia" w:ascii="宋体" w:hAnsi="宋体" w:cs="宋体"/>
          <w:kern w:val="0"/>
          <w:sz w:val="24"/>
          <w:highlight w:val="none"/>
        </w:rPr>
        <w:t>现对原竞选公告作如下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补充</w:t>
      </w:r>
      <w:r>
        <w:rPr>
          <w:rFonts w:hint="eastAsia" w:ascii="宋体" w:hAnsi="宋体" w:cs="宋体"/>
          <w:kern w:val="0"/>
          <w:sz w:val="24"/>
          <w:highlight w:val="none"/>
        </w:rPr>
        <w:t>。</w:t>
      </w:r>
      <w:r>
        <w:rPr>
          <w:rFonts w:hint="eastAsia" w:ascii="宋体" w:hAnsi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原竞选公告、竞选文件的内容与本补充公告的内容不一致之处的，以本补充公告的规定为准，其余内容按原公告要求。</w:t>
      </w:r>
    </w:p>
    <w:p>
      <w:pPr>
        <w:numPr>
          <w:ilvl w:val="0"/>
          <w:numId w:val="0"/>
        </w:numPr>
        <w:shd w:val="clear" w:color="auto" w:fill="FFFFFF"/>
        <w:snapToGrid w:val="0"/>
        <w:spacing w:line="520" w:lineRule="exact"/>
        <w:ind w:firstLine="480" w:firstLineChars="200"/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1、原竞选文件中附件1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bidi="ar"/>
        </w:rPr>
        <w:t>采购需求中第四条需求内容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 w:bidi="ar"/>
        </w:rPr>
        <w:t>一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eastAsia="zh-CN" w:bidi="ar"/>
        </w:rPr>
        <w:t>）</w:t>
      </w:r>
      <w:r>
        <w:rPr>
          <w:rFonts w:hint="eastAsia" w:ascii="宋体" w:hAnsi="宋体"/>
          <w:sz w:val="24"/>
          <w:highlight w:val="none"/>
          <w:lang w:val="en-US" w:eastAsia="zh-CN"/>
        </w:rPr>
        <w:t>会议室</w:t>
      </w:r>
      <w:r>
        <w:rPr>
          <w:rFonts w:hint="eastAsia" w:ascii="宋体" w:hAnsi="宋体"/>
          <w:sz w:val="24"/>
          <w:highlight w:val="none"/>
        </w:rPr>
        <w:t>投影融合屏</w:t>
      </w:r>
      <w:r>
        <w:rPr>
          <w:rFonts w:hint="eastAsia" w:ascii="宋体" w:hAnsi="宋体"/>
          <w:sz w:val="24"/>
          <w:highlight w:val="none"/>
          <w:lang w:val="en-US" w:eastAsia="zh-CN"/>
        </w:rPr>
        <w:t>设备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/>
          <w:sz w:val="24"/>
          <w:highlight w:val="none"/>
        </w:rPr>
        <w:t>清单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 w:bidi="ar"/>
        </w:rPr>
        <w:t>调整如下：</w:t>
      </w:r>
    </w:p>
    <w:tbl>
      <w:tblPr>
        <w:tblStyle w:val="6"/>
        <w:tblW w:w="8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792"/>
        <w:gridCol w:w="3765"/>
        <w:gridCol w:w="600"/>
        <w:gridCol w:w="720"/>
        <w:gridCol w:w="11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highlight w:val="none"/>
              </w:rPr>
              <w:t>序号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highlight w:val="none"/>
              </w:rPr>
              <w:t>产品名称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highlight w:val="none"/>
              </w:rPr>
              <w:t>型号、规格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highlight w:val="none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highlight w:val="none"/>
              </w:rPr>
              <w:t>数量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激光工程投影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CB-L730U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承重架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45KG以上投影承重工程吊架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2"/>
                <w:szCs w:val="22"/>
                <w:u w:val="none"/>
              </w:rPr>
              <w:t>50米光纤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2"/>
                <w:szCs w:val="22"/>
                <w:u w:val="none"/>
              </w:rPr>
              <w:t>HDMI线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线芯：4芯光纤OM3纤芯/7芯镀锡铜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芯片：RF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激光器：II-VI激光器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线径/OD：4.8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外被：环保PVC材质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接口：镀金接口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全长度支持4:4:4Max 4K/60Hz18G带宽，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输入端/电脑主机（Source）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输出端/显示屏（Display）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2"/>
                <w:szCs w:val="22"/>
                <w:u w:val="none"/>
              </w:rPr>
              <w:t>融合器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1、必须满足二通道输入，二通道输出。纯硬件式FPGA+DSP芯片构架，不带任何操作系统，机箱系统须采用CPCI（插卡式)结构的工业级机箱，机箱面板有采用全彩触控屏，模块化设计的输入板卡、输出板卡、控制板等，具备机箱温度实时监测功能，实时显示机箱温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2、输入信号具备多种格式的信号类型、VGA、HDMI\DVI、AV，Ypbpr、SDI，DP，IP解码等多种信号格式输入，支持多用途操作，多组管理，同时支持输出投影融合，LED拼接，液晶拼接，矩阵切换，一体化集中操控管理。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3、支持多路输入视频在全屏任意位置打开多个活动窗口，所有窗口均能任意漫游、叠加、放大、缩小，无区域、层次限制、尺寸、比例限制，最大支持单通道8图层任意显示。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★4、设支持具备EDID配置管理，可支持自定义EDID设置，支持各种非标分辨率自定义功能，单口可支持2K，3K，4K，5K，6K，7K，8K等各种信号采集。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5、支持图像裁剪功能,可任意截取输入画面的任一部份且把它全屏输出显示到任意位置，可自由截取并自由放大缩小，可全屏显示。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6、具有字幕标注功能，可对当前显示画面进行相应的说明，可对叠加字符的字体、字号、颜色、位置等进行编辑。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输出支持任意形状曲面网格式矫正功能，自身产生网格，可以达到像素级调整，可以任意设置节点，支持2*2~17*40节点，达到局部矫正，在异形曲面上画面校正，达到内容均匀一致，完整显示的效果，可实现各种异型融合系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8、支持输出端口映射功能，可实现盲插操作，无信号输出状态可实现任意背景底色输出；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9、支持内置多种融合消影gamma曲线，也可以自定义任意线性Gamma曲线，软件通过对每台投影机色彩、gamma、暗场进行调整，然后在对融合带色彩、gamma进行调整，使整个画面浑然一体。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 系统应具有流畅清晰的软预监回显功能：控制终端运行的软件回显图像刷新速度＞30Hz，回显图像清晰。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★11、支持网格透视蒙版功能，支持各种异形任意形状型遮罩功能。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12、支持高清底图和滚动字幕功能，不占用任何机箱插槽。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★13、支持在不接入任何信号源，设备支持255*255种底背景色彩测试图像，支持多阶色彩校正功能。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14、旋转融合拼接功能：可实现0-360°任意角度旋转拼接融合功能，解决竖屏拼接显示需求。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15、支持多平台控制操作，支持Windows/Android/IOS等触控平台下的手势开窗、穿透控制功能，移动终可视化管理。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16、支持串口环出功能，可自定义编辑控制协议，控制投影开关机等操作。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17、产品可提供RoHS认证、3C认证、FCC认证、CE认证产品检测报告。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2"/>
                <w:szCs w:val="22"/>
                <w:u w:val="none"/>
              </w:rPr>
              <w:t>套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2"/>
                <w:szCs w:val="22"/>
                <w:u w:val="none"/>
              </w:rPr>
              <w:t>安装配件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会议室背景刷平刷白（长约19米高约4米 （荧幕投影漆颜色荧幕白）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</w:rPr>
              <w:t>配套工程安装所用管线等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0"/>
                <w:szCs w:val="20"/>
                <w:u w:val="none"/>
                <w:lang w:val="en-US" w:eastAsia="zh-CN"/>
              </w:rPr>
              <w:t>辅材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18"/>
                <w:szCs w:val="18"/>
                <w:u w:val="none"/>
              </w:rPr>
              <w:t>需办理施工进场申请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hd w:val="clear" w:color="auto" w:fill="FFFFFF"/>
        <w:snapToGrid w:val="0"/>
        <w:spacing w:line="520" w:lineRule="exact"/>
        <w:ind w:firstLine="480" w:firstLineChars="200"/>
        <w:rPr>
          <w:rFonts w:hint="default" w:ascii="宋体" w:hAnsi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投标文件递交截止时间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由原来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日北京时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间1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时0分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延长至202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日北京时间1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时0分。</w:t>
      </w:r>
    </w:p>
    <w:p>
      <w:pPr>
        <w:numPr>
          <w:ilvl w:val="0"/>
          <w:numId w:val="0"/>
        </w:numPr>
        <w:shd w:val="clear" w:color="auto" w:fill="FFFFFF"/>
        <w:snapToGrid w:val="0"/>
        <w:spacing w:line="520" w:lineRule="exact"/>
        <w:rPr>
          <w:rFonts w:hint="default" w:ascii="宋体" w:hAnsi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采购单位：广州城投综合能源投资经营管理有限公司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27B59"/>
    <w:rsid w:val="28B0289D"/>
    <w:rsid w:val="29992DDC"/>
    <w:rsid w:val="32F1312C"/>
    <w:rsid w:val="33AD6CAF"/>
    <w:rsid w:val="363254DE"/>
    <w:rsid w:val="39C41E4B"/>
    <w:rsid w:val="39D237A4"/>
    <w:rsid w:val="3A82620D"/>
    <w:rsid w:val="4F721B0A"/>
    <w:rsid w:val="51CB55D6"/>
    <w:rsid w:val="59362B5E"/>
    <w:rsid w:val="5DA71783"/>
    <w:rsid w:val="608B6056"/>
    <w:rsid w:val="61345013"/>
    <w:rsid w:val="733F3242"/>
    <w:rsid w:val="736D68A1"/>
    <w:rsid w:val="781B361F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FollowedHyperlink"/>
    <w:basedOn w:val="3"/>
    <w:qFormat/>
    <w:uiPriority w:val="0"/>
    <w:rPr>
      <w:color w:val="666666"/>
      <w:u w:val="non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unhideWhenUsed/>
    <w:qFormat/>
    <w:uiPriority w:val="0"/>
    <w:pPr>
      <w:ind w:firstLine="420" w:firstLineChars="200"/>
    </w:pPr>
  </w:style>
  <w:style w:type="paragraph" w:styleId="8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span_on"/>
    <w:basedOn w:val="3"/>
    <w:qFormat/>
    <w:uiPriority w:val="0"/>
    <w:rPr>
      <w:shd w:val="clear" w:fill="EAF7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2023-02-23T07:10:56Z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