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广州城投综合能源</w:t>
      </w:r>
      <w:r>
        <w:rPr>
          <w:rFonts w:hint="eastAsia" w:ascii="Calibri" w:hAnsi="Calibri"/>
          <w:b/>
          <w:bCs/>
          <w:sz w:val="28"/>
          <w:szCs w:val="28"/>
        </w:rPr>
        <w:t>投资经营管理有限公司</w:t>
      </w:r>
    </w:p>
    <w:p>
      <w:pPr>
        <w:spacing w:line="360" w:lineRule="auto"/>
        <w:jc w:val="center"/>
        <w:rPr>
          <w:rFonts w:ascii="Calibri" w:hAnsi="Calibri"/>
          <w:b/>
          <w:bCs/>
          <w:sz w:val="28"/>
          <w:szCs w:val="28"/>
        </w:rPr>
      </w:pPr>
      <w:r>
        <w:rPr>
          <w:rFonts w:hint="eastAsia" w:ascii="Calibri" w:hAnsi="Calibri"/>
          <w:b/>
          <w:bCs/>
          <w:sz w:val="28"/>
          <w:szCs w:val="28"/>
        </w:rPr>
        <w:t>网络安全、应用系统服务</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cs="Times New Roman" w:asciiTheme="minorEastAsia" w:hAnsiTheme="minorEastAsia"/>
          <w:b/>
          <w:bCs/>
          <w:sz w:val="24"/>
          <w:szCs w:val="24"/>
        </w:rPr>
        <w:t>网络安全、应用系统服务</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asciiTheme="minorEastAsia" w:hAnsiTheme="minorEastAsia"/>
          <w:sz w:val="24"/>
          <w:szCs w:val="24"/>
        </w:rPr>
        <w:t>28</w:t>
      </w:r>
      <w:r>
        <w:rPr>
          <w:rFonts w:hint="eastAsia" w:asciiTheme="minorEastAsia" w:hAnsiTheme="minorEastAsia"/>
          <w:sz w:val="24"/>
          <w:szCs w:val="24"/>
        </w:rPr>
        <w:t>万元</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Theme="minorEastAsia" w:hAnsiTheme="minorEastAsia"/>
          <w:sz w:val="24"/>
          <w:szCs w:val="24"/>
          <w:shd w:val="clear" w:color="auto" w:fill="FFFFFF"/>
        </w:rPr>
        <w:t>提供完善的安全运维服务，帮</w:t>
      </w:r>
      <w:r>
        <w:rPr>
          <w:rFonts w:hint="eastAsia" w:asciiTheme="minorEastAsia" w:hAnsiTheme="minorEastAsia"/>
          <w:b w:val="0"/>
          <w:bCs w:val="0"/>
          <w:sz w:val="24"/>
          <w:szCs w:val="24"/>
          <w:shd w:val="clear" w:color="auto" w:fill="FFFFFF"/>
          <w:lang w:val="en-US" w:eastAsia="zh-CN"/>
        </w:rPr>
        <w:t>广州城投综合能源</w:t>
      </w:r>
      <w:r>
        <w:rPr>
          <w:rFonts w:hint="eastAsia" w:asciiTheme="minorEastAsia" w:hAnsiTheme="minorEastAsia"/>
          <w:b w:val="0"/>
          <w:bCs w:val="0"/>
          <w:sz w:val="24"/>
          <w:szCs w:val="24"/>
          <w:shd w:val="clear" w:color="auto" w:fill="FFFFFF"/>
        </w:rPr>
        <w:t>投资经营管理有限公司</w:t>
      </w:r>
      <w:r>
        <w:rPr>
          <w:rFonts w:hint="eastAsia" w:asciiTheme="minorEastAsia" w:hAnsiTheme="minorEastAsia"/>
          <w:sz w:val="24"/>
          <w:szCs w:val="24"/>
          <w:shd w:val="clear" w:color="auto" w:fill="FFFFFF"/>
        </w:rPr>
        <w:t>梳理日常安全问题，规范安全运维流程，促进安全管理制度的落地。</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p>
    <w:p>
      <w:pPr>
        <w:pStyle w:val="25"/>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asciiTheme="minorEastAsia" w:hAnsiTheme="minorEastAsia"/>
          <w:sz w:val="24"/>
          <w:szCs w:val="24"/>
        </w:rPr>
        <w:t>投标人未被</w:t>
      </w:r>
      <w:r>
        <w:rPr>
          <w:rFonts w:hint="eastAsia" w:cs="Arial" w:asciiTheme="minorEastAsia" w:hAnsiTheme="minor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p>
      <w:pPr>
        <w:pStyle w:val="25"/>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投标人没有处于被责令停业或破产状态，且资产未被重组、接管和冻结，声明在投标活动中3年内没有重大违法活动和涉嫌违规行为。（格式自拟）</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投标人20</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年1月1日至今完成类似网络安全服务业绩，需提供合同关键页复印件。</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本项目不接受联</w:t>
      </w:r>
      <w:r>
        <w:rPr>
          <w:rFonts w:hint="eastAsia" w:asciiTheme="minorEastAsia" w:hAnsiTheme="minorEastAsia"/>
          <w:sz w:val="24"/>
          <w:szCs w:val="24"/>
        </w:rPr>
        <w:t>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cs="Arial" w:asciiTheme="minorEastAsia" w:hAnsiTheme="minorEastAsia"/>
          <w:sz w:val="24"/>
          <w:szCs w:val="24"/>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p>
    <w:p>
      <w:pPr>
        <w:pStyle w:val="25"/>
        <w:spacing w:before="120" w:beforeLines="50" w:after="120" w:afterLines="50" w:line="360" w:lineRule="auto"/>
        <w:ind w:left="840" w:firstLine="0" w:firstLineChars="0"/>
        <w:rPr>
          <w:rFonts w:cs="Arial" w:asciiTheme="minorEastAsia" w:hAnsiTheme="minorEastAsia"/>
          <w:sz w:val="24"/>
          <w:szCs w:val="24"/>
        </w:rPr>
      </w:pPr>
      <w:r>
        <w:rPr>
          <w:rFonts w:hint="eastAsia" w:cs="Arial" w:asciiTheme="minorEastAsia" w:hAnsiTheme="minorEastAsia"/>
          <w:sz w:val="24"/>
          <w:szCs w:val="24"/>
        </w:rPr>
        <w:t>本项目服务期限为</w:t>
      </w:r>
      <w:r>
        <w:rPr>
          <w:rFonts w:cs="Arial" w:asciiTheme="minorEastAsia" w:hAnsiTheme="minorEastAsia"/>
          <w:sz w:val="24"/>
          <w:szCs w:val="24"/>
        </w:rPr>
        <w:t>12</w:t>
      </w:r>
      <w:r>
        <w:rPr>
          <w:rFonts w:hint="eastAsia" w:cs="Arial" w:asciiTheme="minorEastAsia" w:hAnsiTheme="minorEastAsia"/>
          <w:sz w:val="24"/>
          <w:szCs w:val="24"/>
        </w:rPr>
        <w:t>个月。</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5"/>
        <w:numPr>
          <w:ilvl w:val="0"/>
          <w:numId w:val="4"/>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5"/>
        <w:numPr>
          <w:ilvl w:val="0"/>
          <w:numId w:val="4"/>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5"/>
        <w:numPr>
          <w:ilvl w:val="0"/>
          <w:numId w:val="5"/>
        </w:numPr>
        <w:spacing w:before="50" w:after="50" w:line="360" w:lineRule="auto"/>
        <w:ind w:left="0" w:firstLine="480"/>
        <w:rPr>
          <w:rFonts w:cs="Arial" w:asciiTheme="minorEastAsia" w:hAnsiTheme="minorEastAsia"/>
          <w:sz w:val="24"/>
          <w:szCs w:val="24"/>
        </w:rPr>
      </w:pPr>
      <w:bookmarkStart w:id="0" w:name="_Toc37331081"/>
      <w:bookmarkStart w:id="1" w:name="_Toc37331039"/>
      <w:bookmarkStart w:id="2" w:name="_Toc46308684"/>
      <w:bookmarkStart w:id="3" w:name="_Toc37569520"/>
      <w:bookmarkStart w:id="4" w:name="_Toc40762371"/>
      <w:bookmarkStart w:id="5" w:name="_Toc37581421"/>
      <w:bookmarkStart w:id="6" w:name="_Toc37663392"/>
      <w:bookmarkStart w:id="7" w:name="_Toc46308528"/>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5"/>
        <w:numPr>
          <w:ilvl w:val="0"/>
          <w:numId w:val="5"/>
        </w:numPr>
        <w:spacing w:before="50" w:after="50" w:line="360" w:lineRule="auto"/>
        <w:ind w:left="0" w:firstLine="480"/>
        <w:rPr>
          <w:rFonts w:cs="Arial" w:asciiTheme="minorEastAsia" w:hAnsiTheme="minorEastAsia"/>
          <w:sz w:val="24"/>
          <w:szCs w:val="24"/>
        </w:rPr>
      </w:pPr>
      <w:r>
        <w:rPr>
          <w:rFonts w:hint="eastAsia" w:cs="Arial" w:asciiTheme="minorEastAsia" w:hAnsiTheme="minorEastAsia"/>
          <w:sz w:val="24"/>
          <w:szCs w:val="24"/>
        </w:rPr>
        <w:t>本项目采用分期付费方式: 维护服务费按每半年支付一次，供方按要求完成工作，并通过需方服务考评结果的基础上，需方在收到供方请款申请资料和供方开具的合法有效的发票后支付费用。供方每次申请费用支付时，须提供相应的增值税专用发票</w:t>
      </w:r>
      <w:r>
        <w:rPr>
          <w:rFonts w:hint="eastAsia" w:cs="Arial" w:asciiTheme="minorEastAsia" w:hAnsiTheme="minorEastAsia"/>
          <w:sz w:val="24"/>
          <w:szCs w:val="24"/>
          <w:lang w:eastAsia="zh-CN"/>
        </w:rPr>
        <w:t>。</w:t>
      </w:r>
    </w:p>
    <w:bookmarkEnd w:id="0"/>
    <w:bookmarkEnd w:id="1"/>
    <w:bookmarkEnd w:id="2"/>
    <w:bookmarkEnd w:id="3"/>
    <w:bookmarkEnd w:id="4"/>
    <w:bookmarkEnd w:id="5"/>
    <w:bookmarkEnd w:id="6"/>
    <w:bookmarkEnd w:id="7"/>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rPr>
        <w:t>技术和服务响应方案</w:t>
      </w:r>
      <w:r>
        <w:rPr>
          <w:rFonts w:hint="eastAsia" w:asciiTheme="minorEastAsia" w:hAnsiTheme="minorEastAsia"/>
          <w:sz w:val="24"/>
          <w:szCs w:val="24"/>
        </w:rPr>
        <w:t>，包括但不限于：</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hint="default" w:cs="Times New Roman" w:asciiTheme="minorEastAsia" w:hAnsiTheme="minorEastAsia"/>
          <w:sz w:val="24"/>
          <w:szCs w:val="24"/>
          <w:lang w:val="en-US"/>
        </w:rPr>
        <w:t>网络信息系统的安全风险评估</w:t>
      </w:r>
      <w:r>
        <w:rPr>
          <w:rFonts w:hint="eastAsia" w:cs="Times New Roman" w:asciiTheme="minorEastAsia" w:hAnsiTheme="minorEastAsia"/>
          <w:sz w:val="24"/>
          <w:szCs w:val="24"/>
          <w:lang w:val="en-US" w:eastAsia="zh-CN"/>
        </w:rPr>
        <w:t>，</w:t>
      </w:r>
      <w:r>
        <w:rPr>
          <w:rFonts w:hint="eastAsia" w:cs="Times New Roman" w:asciiTheme="minorEastAsia" w:hAnsiTheme="minorEastAsia"/>
          <w:sz w:val="24"/>
          <w:szCs w:val="24"/>
        </w:rPr>
        <w:t>网络构架、安全策略梳理，网络相关的新建、整改等提供安全运维服务；</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lang w:val="en-US" w:eastAsia="zh-CN"/>
        </w:rPr>
        <w:t>技术方案</w:t>
      </w:r>
      <w:r>
        <w:rPr>
          <w:rFonts w:hint="eastAsia" w:cs="Times New Roman" w:asciiTheme="minorEastAsia" w:hAnsiTheme="minorEastAsia"/>
          <w:sz w:val="24"/>
          <w:szCs w:val="24"/>
        </w:rPr>
        <w:t>；</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rPr>
        <w:t>售后服务方案，售后服务内容、服务方式、响应时间、联系方式、零备件保供能力等</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cs="Times New Roman" w:asciiTheme="minorEastAsia" w:hAnsiTheme="minorEastAsia"/>
          <w:sz w:val="24"/>
          <w:szCs w:val="24"/>
        </w:rPr>
        <w:t>培训方案</w:t>
      </w:r>
      <w:r>
        <w:rPr>
          <w:rFonts w:hint="eastAsia" w:cs="Times New Roman" w:asciiTheme="minorEastAsia" w:hAnsiTheme="minorEastAsia"/>
          <w:sz w:val="24"/>
          <w:szCs w:val="24"/>
        </w:rPr>
        <w:t>；</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rPr>
        <w:t>投标人认为其它需要说明的文字。</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在投标活动中3年内没有重大违法活动和涉嫌违规行为声明。（格式自拟）</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本工程拟派项目团队成员的简历表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等</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201</w:t>
      </w:r>
      <w:r>
        <w:rPr>
          <w:rFonts w:hint="eastAsia" w:asciiTheme="minorEastAsia" w:hAnsiTheme="minorEastAsia"/>
          <w:sz w:val="24"/>
          <w:szCs w:val="24"/>
          <w:lang w:val="en-US" w:eastAsia="zh-CN"/>
        </w:rPr>
        <w:t>9</w:t>
      </w:r>
      <w:r>
        <w:rPr>
          <w:rFonts w:hint="eastAsia" w:asciiTheme="minorEastAsia" w:hAnsiTheme="minorEastAsia"/>
          <w:sz w:val="24"/>
          <w:szCs w:val="24"/>
        </w:rPr>
        <w:t>年1月1日至今完成过类似项目业绩（提供合同复印件）；</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5"/>
        <w:numPr>
          <w:ilvl w:val="0"/>
          <w:numId w:val="9"/>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5"/>
        <w:numPr>
          <w:ilvl w:val="0"/>
          <w:numId w:val="9"/>
        </w:numPr>
        <w:spacing w:before="120" w:beforeLines="50" w:after="120" w:afterLines="50" w:line="360" w:lineRule="auto"/>
        <w:ind w:left="0" w:firstLine="560"/>
        <w:rPr>
          <w:rFonts w:cs="Arial" w:asciiTheme="minorEastAsia" w:hAnsiTheme="minorEastAsia"/>
          <w:sz w:val="28"/>
          <w:szCs w:val="28"/>
        </w:rPr>
      </w:pPr>
      <w:r>
        <w:rPr>
          <w:rFonts w:hint="eastAsia" w:cs="Arial" w:asciiTheme="minorEastAsia" w:hAnsiTheme="minorEastAsia"/>
          <w:sz w:val="28"/>
          <w:szCs w:val="28"/>
        </w:rPr>
        <w:t>报价</w:t>
      </w:r>
      <w:r>
        <w:rPr>
          <w:rFonts w:hint="eastAsia" w:cs="Arial" w:asciiTheme="minorEastAsia" w:hAnsiTheme="minorEastAsia"/>
          <w:sz w:val="24"/>
          <w:szCs w:val="24"/>
        </w:rPr>
        <w:t>明细表</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cs="Arial" w:asciiTheme="minorEastAsia" w:hAnsiTheme="minorEastAsia" w:eastAsiaTheme="minorEastAsia"/>
          <w:kern w:val="0"/>
          <w:sz w:val="24"/>
        </w:rPr>
        <w:t>3</w:t>
      </w:r>
      <w:r>
        <w:rPr>
          <w:rFonts w:hint="eastAsia" w:cs="Arial" w:asciiTheme="minorEastAsia" w:hAnsiTheme="minorEastAsia" w:eastAsiaTheme="minorEastAsia"/>
          <w:kern w:val="0"/>
          <w:sz w:val="24"/>
        </w:rPr>
        <w:t>0%，商务评审部分占</w:t>
      </w:r>
      <w:r>
        <w:rPr>
          <w:rFonts w:hint="eastAsia" w:cs="Arial" w:asciiTheme="minorEastAsia" w:hAnsiTheme="minorEastAsia" w:eastAsiaTheme="minorEastAsia"/>
          <w:kern w:val="0"/>
          <w:sz w:val="24"/>
          <w:lang w:val="en-US" w:eastAsia="zh-CN"/>
        </w:rPr>
        <w:t>25</w:t>
      </w:r>
      <w:r>
        <w:rPr>
          <w:rFonts w:hint="eastAsia" w:cs="Arial" w:asciiTheme="minorEastAsia" w:hAnsiTheme="minorEastAsia" w:eastAsiaTheme="minorEastAsia"/>
          <w:kern w:val="0"/>
          <w:sz w:val="24"/>
        </w:rPr>
        <w:t>%（其中供应商诚信部分占2%），技术评审占</w:t>
      </w:r>
      <w:r>
        <w:rPr>
          <w:rFonts w:hint="eastAsia" w:cs="Arial" w:asciiTheme="minorEastAsia" w:hAnsiTheme="minorEastAsia" w:eastAsiaTheme="minorEastAsia"/>
          <w:kern w:val="0"/>
          <w:sz w:val="24"/>
          <w:lang w:val="en-US" w:eastAsia="zh-CN"/>
        </w:rPr>
        <w:t>45</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10"/>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yellow"/>
          <w:lang w:val="en-US" w:eastAsia="zh-CN"/>
        </w:rPr>
        <w:t>2023</w:t>
      </w:r>
      <w:r>
        <w:rPr>
          <w:rFonts w:hint="eastAsia" w:cs="宋体" w:asciiTheme="minorEastAsia" w:hAnsiTheme="minorEastAsia"/>
          <w:sz w:val="24"/>
          <w:szCs w:val="24"/>
        </w:rPr>
        <w:t>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5 </w:t>
      </w:r>
      <w:r>
        <w:rPr>
          <w:rFonts w:hint="eastAsia" w:cs="宋体" w:asciiTheme="minorEastAsia" w:hAnsiTheme="minorEastAsia"/>
          <w:sz w:val="24"/>
          <w:szCs w:val="24"/>
        </w:rPr>
        <w:t>月</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4 </w:t>
      </w:r>
      <w:r>
        <w:rPr>
          <w:rFonts w:hint="eastAsia" w:cs="宋体" w:asciiTheme="minorEastAsia" w:hAnsiTheme="minorEastAsia"/>
          <w:sz w:val="24"/>
          <w:szCs w:val="24"/>
        </w:rPr>
        <w:t>日</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14  </w:t>
      </w:r>
      <w:r>
        <w:rPr>
          <w:rFonts w:hint="eastAsia" w:cs="宋体" w:asciiTheme="minorEastAsia" w:hAnsiTheme="minor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b/>
          <w:bCs/>
          <w:sz w:val="24"/>
          <w:szCs w:val="24"/>
        </w:rPr>
        <w:t>网络安全、应用系统服务</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5"/>
        <w:numPr>
          <w:ilvl w:val="0"/>
          <w:numId w:val="10"/>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4</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24</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项目名称：网络安全、应用系统服务</w:t>
      </w:r>
    </w:p>
    <w:tbl>
      <w:tblPr>
        <w:tblStyle w:val="14"/>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hAnsi="宋体"/>
                <w:szCs w:val="21"/>
              </w:rPr>
              <w:t>网络安全、应用系统服务</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sz w:val="24"/>
          <w:u w:val="single"/>
        </w:rPr>
        <w:t>网络安全、应用系统服务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hAnsi="宋体"/>
          <w:sz w:val="20"/>
          <w:szCs w:val="21"/>
        </w:rPr>
        <w:t>网络安全、应用系统服务</w:t>
      </w:r>
    </w:p>
    <w:tbl>
      <w:tblPr>
        <w:tblStyle w:val="14"/>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w:t>
            </w:r>
            <w:r>
              <w:rPr>
                <w:rFonts w:hint="eastAsia" w:asciiTheme="minorEastAsia" w:hAnsiTheme="minorEastAsia"/>
                <w:sz w:val="18"/>
                <w:szCs w:val="21"/>
                <w:lang w:val="en-US" w:eastAsia="zh-CN"/>
              </w:rPr>
              <w:t>2019</w:t>
            </w:r>
            <w:r>
              <w:rPr>
                <w:rFonts w:hint="eastAsia" w:asciiTheme="minorEastAsia" w:hAnsiTheme="minorEastAsia"/>
                <w:sz w:val="18"/>
                <w:szCs w:val="21"/>
              </w:rPr>
              <w:t>年1月1日至今完成类似软件平台开发建设服务业绩，需提供合同关键页复印件。</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1"/>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widowControl/>
        <w:autoSpaceDE/>
        <w:autoSpaceDN/>
        <w:adjustRightInd/>
        <w:spacing w:before="0" w:beforeLines="-2147483648" w:line="240" w:lineRule="auto"/>
        <w:ind w:left="0" w:firstLine="0" w:firstLineChars="0"/>
        <w:jc w:val="left"/>
        <w:textAlignment w:val="center"/>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eastAsia="宋体" w:cs="宋体"/>
          <w:b w:val="0"/>
          <w:bCs w:val="0"/>
          <w:color w:val="000000"/>
          <w:kern w:val="0"/>
          <w:sz w:val="22"/>
          <w:szCs w:val="22"/>
          <w:u w:val="none"/>
          <w:lang w:bidi="ar"/>
        </w:rPr>
        <w:t>网络安全、应用系统服务</w:t>
      </w:r>
    </w:p>
    <w:tbl>
      <w:tblPr>
        <w:tblStyle w:val="14"/>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75"/>
        <w:gridCol w:w="1080"/>
        <w:gridCol w:w="6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评审大项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评审内容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商务部分（25分）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采购人供应商管理系统查到的分值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供应商诚信分以评标当天采购人供应商管理系统查到的分值直接计取（供应商诚信分原始分为0分），投标人不在供应商管理系统内的，诚信分按0分计算。本项供应商诚信分在采购人官方网站上定期公布。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诚信分≧2分时本项得2分。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具有近五年的同类网络安全建设和服务项目的合同和验收报告情况进行评审。每一个有效业绩得1分；本项累计最高得6分。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需提交项目合同或中标通知书关键页复印件等证明资料。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企业资质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投标人具有以下资质：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1.高新技术企业证书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2.中国信息安全检测中心颁发的安全工程类一级及以上认证证书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3.国家网络安全漏洞库（CNNVD）技术支持单位等级证书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4.国家工业网络安全漏洞库（CICSVD）技术支持组成员单位证书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5.信息系统建设和服务能力（CS1级及以上）等级证书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6.CCRC信息安全服务资质（ 安全运维服务三级及以上）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7.公安部颁发的信息安全等级保护安全建设服务机构能力评估合格证书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每有一项得1分，满分7分，不提供不得分。投标人须提供相关资质证扫描件,并加盖投标人公章。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管理体系认证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投标人具备有效的以下管理体系认证证书：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质量管理体系认证证书；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信息技术服务管理体系认证证书；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信息安全管理体系认证证书；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每有一项得2分，满6分，不提供不得分。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投标人须提供相关认证证书扫描件,并加盖投标人公章。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人员专业实力</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投标人委派本项目项目经理具有</w:t>
            </w:r>
            <w:r>
              <w:rPr>
                <w:rStyle w:val="41"/>
                <w:rFonts w:eastAsia="宋体"/>
                <w:lang w:val="en-US" w:eastAsia="zh-CN" w:bidi="ar"/>
              </w:rPr>
              <w:t>PMP</w:t>
            </w:r>
            <w:r>
              <w:rPr>
                <w:rFonts w:hint="eastAsia" w:ascii="宋体" w:hAnsi="宋体" w:eastAsia="宋体" w:cs="宋体"/>
                <w:i w:val="0"/>
                <w:iCs w:val="0"/>
                <w:color w:val="000000"/>
                <w:kern w:val="0"/>
                <w:sz w:val="18"/>
                <w:szCs w:val="18"/>
                <w:u w:val="none"/>
                <w:lang w:val="en-US" w:eastAsia="zh-CN" w:bidi="ar"/>
              </w:rPr>
              <w:t>、</w:t>
            </w:r>
            <w:r>
              <w:rPr>
                <w:rStyle w:val="41"/>
                <w:rFonts w:eastAsia="宋体"/>
                <w:lang w:val="en-US" w:eastAsia="zh-CN" w:bidi="ar"/>
              </w:rPr>
              <w:t>CISP</w:t>
            </w:r>
            <w:r>
              <w:rPr>
                <w:rFonts w:hint="eastAsia" w:ascii="宋体" w:hAnsi="宋体" w:eastAsia="宋体" w:cs="宋体"/>
                <w:i w:val="0"/>
                <w:iCs w:val="0"/>
                <w:color w:val="000000"/>
                <w:kern w:val="0"/>
                <w:sz w:val="18"/>
                <w:szCs w:val="18"/>
                <w:u w:val="none"/>
                <w:lang w:val="en-US" w:eastAsia="zh-CN" w:bidi="ar"/>
              </w:rPr>
              <w:t>、</w:t>
            </w:r>
            <w:r>
              <w:rPr>
                <w:rStyle w:val="41"/>
                <w:rFonts w:eastAsia="宋体"/>
                <w:lang w:val="en-US" w:eastAsia="zh-CN" w:bidi="ar"/>
              </w:rPr>
              <w:t>CISAW</w:t>
            </w:r>
            <w:r>
              <w:rPr>
                <w:rFonts w:hint="eastAsia" w:ascii="宋体" w:hAnsi="宋体" w:eastAsia="宋体" w:cs="宋体"/>
                <w:i w:val="0"/>
                <w:iCs w:val="0"/>
                <w:color w:val="000000"/>
                <w:kern w:val="0"/>
                <w:sz w:val="18"/>
                <w:szCs w:val="18"/>
                <w:u w:val="none"/>
                <w:lang w:val="en-US" w:eastAsia="zh-CN" w:bidi="ar"/>
              </w:rPr>
              <w:t>证书、信息安全等级（中级或以上）等专业技术人员，提供</w:t>
            </w:r>
            <w:r>
              <w:rPr>
                <w:rStyle w:val="41"/>
                <w:rFonts w:eastAsia="宋体"/>
                <w:lang w:val="en-US" w:eastAsia="zh-CN" w:bidi="ar"/>
              </w:rPr>
              <w:t>1</w:t>
            </w:r>
            <w:r>
              <w:rPr>
                <w:rFonts w:hint="eastAsia" w:ascii="宋体" w:hAnsi="宋体" w:eastAsia="宋体" w:cs="宋体"/>
                <w:i w:val="0"/>
                <w:iCs w:val="0"/>
                <w:color w:val="000000"/>
                <w:kern w:val="0"/>
                <w:sz w:val="18"/>
                <w:szCs w:val="18"/>
                <w:u w:val="none"/>
                <w:lang w:val="en-US" w:eastAsia="zh-CN" w:bidi="ar"/>
              </w:rPr>
              <w:t>个得1分，本项满分</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备注：需提供拟投入本项目团队成员劳动合同和缴纳社保证明。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技术部分（45分）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网络信息安全服务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构架梳理，网络安全策略梳理，输出网络安全防护策略；针对安全检查中的具体问题设计符合整改要求的安全加固方案，根据方案的全面性、合理性、详细程度进行排名，第一名得15分，第二名得12分，第三名得9分，第四名得6分，第五名得3分，第六名及以后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提供售后服务方案，售后服务内容、服务方式、响应时间、联系方式、零备件保供能力等详细完整。第一名得10分，第二名得7分，第三名得5分，第四名得3分，第五名及以后不得分。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要求提培训方案。培训教材、培训计划、培训人次、培训地点详细完整，根据方案的可行性、全面性、合理性、详细程度进行排名，第一名得5分，第二名得3分，第三名得1分，第四名及以后不得分。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提供的项目技术方案，理解本项目的建设背景、目标、范围；能把握本项目的项目难点和重点，技术方案具有针对性、适用性、可靠性、先进性，并配备详细图、表和文字说明。第一名得15分，第二名得12分，第三名得9分，第四名得6分，第五名得3分，第六名及以后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价格部分（30分）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取所有有效投标人的投标总报价的平均价的作为评标基准价。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以评标基准价作为计算各有效投标总报价得分的基础，当有效投标总报价等于评标基准价时得30分；有效投标总报价与评标基准价之差，每上偏1%扣1分，每向下偏离1%扣0.5分，扣完为止。</w:t>
            </w: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2"/>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rPr>
          <w:rFonts w:ascii="宋体" w:hAnsi="宋体" w:cs="Arial"/>
          <w:color w:val="000000"/>
          <w:sz w:val="30"/>
          <w:szCs w:val="30"/>
        </w:rPr>
      </w:pPr>
      <w:r>
        <w:rPr>
          <w:rFonts w:hint="eastAsia" w:ascii="宋体" w:hAnsi="宋体" w:cs="Arial"/>
          <w:color w:val="000000"/>
          <w:sz w:val="30"/>
          <w:szCs w:val="30"/>
        </w:rPr>
        <w:t>附件7</w:t>
      </w:r>
    </w:p>
    <w:p>
      <w:pPr>
        <w:widowControl/>
        <w:spacing w:line="276" w:lineRule="auto"/>
        <w:jc w:val="center"/>
        <w:rPr>
          <w:rFonts w:hint="eastAsia" w:ascii="黑体" w:hAnsi="黑体" w:eastAsia="黑体" w:cs="黑体"/>
          <w:b w:val="0"/>
          <w:bCs w:val="0"/>
          <w:color w:val="auto"/>
          <w:spacing w:val="0"/>
          <w:w w:val="105"/>
          <w:sz w:val="44"/>
          <w:szCs w:val="44"/>
        </w:rPr>
      </w:pPr>
      <w:r>
        <w:rPr>
          <w:rFonts w:hint="eastAsia" w:ascii="黑体" w:hAnsi="黑体" w:eastAsia="黑体" w:cs="黑体"/>
          <w:b w:val="0"/>
          <w:bCs w:val="0"/>
          <w:color w:val="auto"/>
          <w:spacing w:val="0"/>
          <w:w w:val="105"/>
          <w:sz w:val="44"/>
          <w:szCs w:val="44"/>
          <w:lang w:val="en-US" w:eastAsia="zh-CN"/>
        </w:rPr>
        <w:t>2023年度</w:t>
      </w:r>
      <w:r>
        <w:rPr>
          <w:rFonts w:hint="eastAsia" w:ascii="黑体" w:hAnsi="黑体" w:eastAsia="黑体" w:cs="黑体"/>
          <w:b w:val="0"/>
          <w:bCs w:val="0"/>
          <w:color w:val="auto"/>
          <w:spacing w:val="0"/>
          <w:w w:val="105"/>
          <w:sz w:val="44"/>
          <w:szCs w:val="44"/>
        </w:rPr>
        <w:t>网络安全、应用系统服务</w:t>
      </w:r>
    </w:p>
    <w:p>
      <w:pPr>
        <w:widowControl/>
        <w:spacing w:line="276" w:lineRule="auto"/>
        <w:jc w:val="center"/>
        <w:rPr>
          <w:rFonts w:hint="eastAsia" w:ascii="黑体" w:hAnsi="黑体" w:eastAsia="黑体" w:cs="黑体"/>
          <w:sz w:val="44"/>
          <w:szCs w:val="44"/>
        </w:rPr>
      </w:pPr>
      <w:r>
        <w:rPr>
          <w:rFonts w:hint="eastAsia" w:ascii="黑体" w:hAnsi="黑体" w:eastAsia="黑体" w:cs="黑体"/>
          <w:sz w:val="44"/>
          <w:szCs w:val="44"/>
        </w:rPr>
        <w:t>采购需求书</w:t>
      </w:r>
    </w:p>
    <w:p>
      <w:pPr>
        <w:pStyle w:val="25"/>
        <w:widowControl/>
        <w:spacing w:line="580" w:lineRule="exact"/>
        <w:ind w:firstLine="640"/>
        <w:rPr>
          <w:rFonts w:ascii="黑体" w:hAnsi="黑体" w:eastAsia="黑体" w:cs="黑体"/>
          <w:bCs/>
          <w:sz w:val="32"/>
          <w:szCs w:val="32"/>
        </w:rPr>
      </w:pPr>
      <w:r>
        <w:rPr>
          <w:rFonts w:hint="eastAsia" w:ascii="黑体" w:hAnsi="黑体" w:eastAsia="黑体" w:cs="黑体"/>
          <w:bCs/>
          <w:color w:val="000000" w:themeColor="text1"/>
          <w:sz w:val="32"/>
          <w:szCs w:val="32"/>
          <w14:textFill>
            <w14:solidFill>
              <w14:schemeClr w14:val="tx1"/>
            </w14:solidFill>
          </w14:textFill>
        </w:rPr>
        <w:t>一、项目名称</w:t>
      </w:r>
    </w:p>
    <w:p>
      <w:pPr>
        <w:pStyle w:val="25"/>
        <w:widowControl/>
        <w:spacing w:line="580" w:lineRule="exact"/>
        <w:ind w:left="420" w:leftChars="200" w:firstLine="0" w:firstLineChars="0"/>
        <w:rPr>
          <w:rFonts w:ascii="仿宋" w:hAnsi="仿宋" w:eastAsia="仿宋" w:cs="仿宋"/>
          <w:bCs/>
          <w:sz w:val="32"/>
          <w:szCs w:val="32"/>
        </w:rPr>
      </w:pPr>
      <w:r>
        <w:rPr>
          <w:rFonts w:hint="eastAsia" w:ascii="仿宋" w:hAnsi="仿宋" w:eastAsia="仿宋" w:cs="仿宋"/>
          <w:b w:val="0"/>
          <w:bCs w:val="0"/>
          <w:color w:val="auto"/>
          <w:spacing w:val="0"/>
          <w:w w:val="105"/>
          <w:sz w:val="32"/>
          <w:szCs w:val="32"/>
        </w:rPr>
        <w:t>网络安全、应用系统服务</w:t>
      </w:r>
    </w:p>
    <w:p>
      <w:pPr>
        <w:pStyle w:val="25"/>
        <w:widowControl/>
        <w:numPr>
          <w:ilvl w:val="0"/>
          <w:numId w:val="13"/>
        </w:numPr>
        <w:spacing w:line="580" w:lineRule="exact"/>
        <w:ind w:firstLine="640"/>
        <w:rPr>
          <w:rFonts w:ascii="黑体" w:hAnsi="黑体" w:eastAsia="黑体" w:cs="黑体"/>
          <w:bCs/>
          <w:sz w:val="32"/>
          <w:szCs w:val="32"/>
        </w:rPr>
      </w:pPr>
      <w:r>
        <w:rPr>
          <w:rFonts w:hint="eastAsia" w:ascii="黑体" w:hAnsi="黑体" w:eastAsia="黑体" w:cs="黑体"/>
          <w:bCs/>
          <w:sz w:val="32"/>
          <w:szCs w:val="32"/>
        </w:rPr>
        <w:t>项目内容及有关需求</w:t>
      </w:r>
    </w:p>
    <w:p>
      <w:pPr>
        <w:pStyle w:val="25"/>
        <w:widowControl/>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网络安全、应用系统服务，详情见2022年此类服务合同所述的服务内容。</w:t>
      </w:r>
    </w:p>
    <w:p>
      <w:pPr>
        <w:pStyle w:val="25"/>
        <w:widowControl/>
        <w:numPr>
          <w:ilvl w:val="0"/>
          <w:numId w:val="13"/>
        </w:numPr>
        <w:spacing w:line="580" w:lineRule="exact"/>
        <w:ind w:left="0" w:leftChars="0"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投标人资格条件要求</w:t>
      </w:r>
    </w:p>
    <w:p>
      <w:pPr>
        <w:pStyle w:val="25"/>
        <w:widowControl/>
        <w:numPr>
          <w:ilvl w:val="0"/>
          <w:numId w:val="14"/>
        </w:numPr>
        <w:spacing w:before="0" w:beforeLines="-2147483648" w:after="0" w:afterLines="-2147483648" w:line="580" w:lineRule="exact"/>
        <w:ind w:left="0" w:firstLine="420" w:firstLineChars="0"/>
        <w:rPr>
          <w:rFonts w:hint="eastAsia" w:ascii="仿宋" w:hAnsi="仿宋" w:eastAsia="仿宋" w:cs="仿宋"/>
          <w:bCs/>
          <w:sz w:val="32"/>
          <w:szCs w:val="32"/>
        </w:rPr>
      </w:pPr>
      <w:r>
        <w:rPr>
          <w:rFonts w:hint="eastAsia" w:ascii="仿宋" w:hAnsi="仿宋" w:eastAsia="仿宋" w:cs="仿宋"/>
          <w:bCs/>
          <w:sz w:val="32"/>
          <w:szCs w:val="32"/>
        </w:rPr>
        <w:t>必须是具有独立承担民事责任能力的在中华人民共和国境内注册的法人，具备有效的工商营业执照、企业法人组织机构代码证书、税务登记证书（或三证合一），按国家法律经营。</w:t>
      </w:r>
    </w:p>
    <w:p>
      <w:pPr>
        <w:pStyle w:val="25"/>
        <w:widowControl/>
        <w:numPr>
          <w:ilvl w:val="0"/>
          <w:numId w:val="14"/>
        </w:numPr>
        <w:spacing w:before="0" w:beforeLines="-2147483648" w:after="0" w:afterLines="-2147483648" w:line="580" w:lineRule="exact"/>
        <w:ind w:left="0" w:firstLine="420" w:firstLineChars="0"/>
        <w:rPr>
          <w:rFonts w:hint="eastAsia" w:ascii="仿宋" w:hAnsi="仿宋" w:eastAsia="仿宋" w:cs="仿宋"/>
          <w:bCs/>
          <w:sz w:val="32"/>
          <w:szCs w:val="32"/>
        </w:rPr>
      </w:pPr>
      <w:r>
        <w:rPr>
          <w:rFonts w:hint="eastAsia" w:ascii="仿宋" w:hAnsi="仿宋" w:eastAsia="仿宋" w:cs="仿宋"/>
          <w:bCs/>
          <w:sz w:val="32"/>
          <w:szCs w:val="32"/>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5"/>
        <w:widowControl/>
        <w:numPr>
          <w:ilvl w:val="0"/>
          <w:numId w:val="14"/>
        </w:numPr>
        <w:spacing w:before="0" w:beforeLines="-2147483648" w:after="0" w:afterLines="-2147483648" w:line="580" w:lineRule="exact"/>
        <w:ind w:left="0" w:firstLine="420" w:firstLineChars="0"/>
        <w:rPr>
          <w:rFonts w:hint="eastAsia" w:ascii="仿宋" w:hAnsi="仿宋" w:eastAsia="仿宋" w:cs="仿宋"/>
          <w:bCs/>
          <w:sz w:val="32"/>
          <w:szCs w:val="32"/>
        </w:rPr>
      </w:pPr>
      <w:r>
        <w:rPr>
          <w:rFonts w:hint="eastAsia" w:ascii="仿宋" w:hAnsi="仿宋" w:eastAsia="仿宋" w:cs="仿宋"/>
          <w:bCs/>
          <w:sz w:val="32"/>
          <w:szCs w:val="32"/>
        </w:rPr>
        <w:t>投标人没有处于被责令停业或破产状态，且资产未被重组、接管和冻结，声明在投标活动中3年内没有重大违法活动和涉嫌违规行为。（格式自拟）</w:t>
      </w:r>
    </w:p>
    <w:p>
      <w:pPr>
        <w:pStyle w:val="25"/>
        <w:widowControl/>
        <w:numPr>
          <w:ilvl w:val="0"/>
          <w:numId w:val="14"/>
        </w:numPr>
        <w:spacing w:before="0" w:beforeLines="-2147483648" w:after="0" w:afterLines="-2147483648" w:line="580" w:lineRule="exact"/>
        <w:ind w:left="0" w:firstLine="420" w:firstLineChars="0"/>
        <w:rPr>
          <w:rFonts w:hint="eastAsia" w:ascii="仿宋" w:hAnsi="仿宋" w:eastAsia="仿宋" w:cs="仿宋"/>
          <w:bCs/>
          <w:sz w:val="32"/>
          <w:szCs w:val="32"/>
        </w:rPr>
      </w:pPr>
      <w:r>
        <w:rPr>
          <w:rFonts w:hint="eastAsia" w:ascii="仿宋" w:hAnsi="仿宋" w:eastAsia="仿宋" w:cs="仿宋"/>
          <w:bCs/>
          <w:sz w:val="32"/>
          <w:szCs w:val="32"/>
        </w:rPr>
        <w:t>投标人20</w:t>
      </w:r>
      <w:r>
        <w:rPr>
          <w:rFonts w:hint="eastAsia" w:ascii="仿宋" w:hAnsi="仿宋" w:eastAsia="仿宋" w:cs="仿宋"/>
          <w:bCs/>
          <w:sz w:val="32"/>
          <w:szCs w:val="32"/>
          <w:lang w:val="en-US" w:eastAsia="zh-CN"/>
        </w:rPr>
        <w:t>19</w:t>
      </w:r>
      <w:r>
        <w:rPr>
          <w:rFonts w:hint="eastAsia" w:ascii="仿宋" w:hAnsi="仿宋" w:eastAsia="仿宋" w:cs="仿宋"/>
          <w:bCs/>
          <w:sz w:val="32"/>
          <w:szCs w:val="32"/>
        </w:rPr>
        <w:t>年1月1日至今完成类似网络安全服务业绩，需提供合同关键页复印件。</w:t>
      </w:r>
    </w:p>
    <w:p>
      <w:pPr>
        <w:pStyle w:val="25"/>
        <w:widowControl/>
        <w:numPr>
          <w:ilvl w:val="0"/>
          <w:numId w:val="14"/>
        </w:numPr>
        <w:spacing w:before="0" w:beforeLines="-2147483648" w:after="0" w:afterLines="-2147483648" w:line="580" w:lineRule="exact"/>
        <w:ind w:left="0" w:firstLine="420" w:firstLineChars="0"/>
        <w:rPr>
          <w:rFonts w:hint="eastAsia" w:ascii="仿宋" w:hAnsi="仿宋" w:eastAsia="仿宋" w:cs="仿宋"/>
          <w:bCs/>
          <w:sz w:val="32"/>
          <w:szCs w:val="32"/>
        </w:rPr>
      </w:pPr>
      <w:r>
        <w:rPr>
          <w:rFonts w:hint="eastAsia" w:ascii="仿宋" w:hAnsi="仿宋" w:eastAsia="仿宋" w:cs="仿宋"/>
          <w:bCs/>
          <w:sz w:val="32"/>
          <w:szCs w:val="32"/>
        </w:rPr>
        <w:t>本项目不接受联合体报价。</w:t>
      </w:r>
    </w:p>
    <w:p>
      <w:pPr>
        <w:pStyle w:val="25"/>
        <w:numPr>
          <w:ilvl w:val="0"/>
          <w:numId w:val="13"/>
        </w:numPr>
        <w:snapToGrid w:val="0"/>
        <w:spacing w:line="580" w:lineRule="exact"/>
        <w:ind w:left="0" w:leftChars="0" w:firstLine="640" w:firstLineChars="200"/>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服务内容</w:t>
      </w:r>
      <w:r>
        <w:rPr>
          <w:rFonts w:hint="eastAsia" w:ascii="黑体" w:hAnsi="黑体" w:eastAsia="黑体" w:cs="黑体"/>
          <w:bCs/>
          <w:kern w:val="0"/>
          <w:sz w:val="32"/>
          <w:szCs w:val="32"/>
          <w:lang w:val="en-US" w:eastAsia="zh-CN"/>
        </w:rPr>
        <w:t>及要求</w:t>
      </w:r>
    </w:p>
    <w:p>
      <w:pPr>
        <w:pStyle w:val="25"/>
        <w:numPr>
          <w:ilvl w:val="0"/>
          <w:numId w:val="0"/>
        </w:numPr>
        <w:snapToGrid w:val="0"/>
        <w:spacing w:line="580" w:lineRule="exact"/>
        <w:ind w:leftChars="200"/>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详情请见下表</w:t>
      </w:r>
    </w:p>
    <w:p>
      <w:pPr>
        <w:pStyle w:val="25"/>
        <w:numPr>
          <w:ilvl w:val="0"/>
          <w:numId w:val="0"/>
        </w:numPr>
        <w:snapToGrid w:val="0"/>
        <w:spacing w:line="580" w:lineRule="exact"/>
        <w:ind w:leftChars="200"/>
        <w:rPr>
          <w:rFonts w:hint="default" w:ascii="黑体" w:hAnsi="黑体" w:eastAsia="黑体" w:cs="黑体"/>
          <w:bCs/>
          <w:kern w:val="0"/>
          <w:sz w:val="32"/>
          <w:szCs w:val="32"/>
          <w:lang w:val="en-US" w:eastAsia="zh-CN"/>
        </w:rPr>
        <w:sectPr>
          <w:pgSz w:w="11906" w:h="16838"/>
          <w:pgMar w:top="1440" w:right="1800" w:bottom="1440" w:left="1800" w:header="851" w:footer="850" w:gutter="0"/>
          <w:cols w:space="720" w:num="1"/>
          <w:docGrid w:linePitch="312" w:charSpace="0"/>
        </w:sectPr>
      </w:pPr>
    </w:p>
    <w:tbl>
      <w:tblPr>
        <w:tblStyle w:val="15"/>
        <w:tblW w:w="13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875"/>
        <w:gridCol w:w="4170"/>
        <w:gridCol w:w="1680"/>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序号</w:t>
            </w:r>
          </w:p>
        </w:tc>
        <w:tc>
          <w:tcPr>
            <w:tcW w:w="187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项目</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服务内容</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维护要求</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1</w:t>
            </w:r>
          </w:p>
        </w:tc>
        <w:tc>
          <w:tcPr>
            <w:tcW w:w="1875" w:type="dxa"/>
            <w:vMerge w:val="restart"/>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网络信息安全服务</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rPr>
              <w:t>整体架构的</w:t>
            </w:r>
            <w:r>
              <w:rPr>
                <w:rFonts w:hint="eastAsia" w:ascii="仿宋" w:hAnsi="仿宋" w:eastAsia="仿宋" w:cs="仿宋"/>
                <w:bCs/>
                <w:color w:val="auto"/>
                <w:kern w:val="0"/>
                <w:sz w:val="28"/>
                <w:szCs w:val="28"/>
                <w:vertAlign w:val="baseline"/>
                <w:lang w:val="en-US" w:eastAsia="zh-CN"/>
              </w:rPr>
              <w:t>网络安全风险评估</w:t>
            </w:r>
            <w:r>
              <w:rPr>
                <w:rFonts w:hint="eastAsia" w:ascii="仿宋" w:hAnsi="仿宋" w:eastAsia="仿宋" w:cs="仿宋"/>
                <w:bCs/>
                <w:color w:val="auto"/>
                <w:kern w:val="0"/>
                <w:sz w:val="28"/>
                <w:szCs w:val="28"/>
                <w:vertAlign w:val="baseline"/>
              </w:rPr>
              <w:t>、故障排除、网络安全策略</w:t>
            </w:r>
            <w:r>
              <w:rPr>
                <w:rFonts w:hint="eastAsia" w:ascii="仿宋" w:hAnsi="仿宋" w:eastAsia="仿宋" w:cs="仿宋"/>
                <w:bCs/>
                <w:color w:val="auto"/>
                <w:kern w:val="0"/>
                <w:sz w:val="28"/>
                <w:szCs w:val="28"/>
                <w:vertAlign w:val="baseline"/>
                <w:lang w:val="en-US" w:eastAsia="zh-CN"/>
              </w:rPr>
              <w:t>或整改</w:t>
            </w:r>
            <w:r>
              <w:rPr>
                <w:rFonts w:hint="eastAsia" w:ascii="仿宋" w:hAnsi="仿宋" w:eastAsia="仿宋" w:cs="仿宋"/>
                <w:bCs/>
                <w:color w:val="auto"/>
                <w:kern w:val="0"/>
                <w:sz w:val="28"/>
                <w:szCs w:val="28"/>
                <w:vertAlign w:val="baseline"/>
              </w:rPr>
              <w:t>方案并出具相应网络安全报告。</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rPr>
              <w:t>每季度的第－星期实施</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每年4次，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系统的分析网络与信息系统所面临的威胁及其存在的脆弱性，提出有针对性的防御威胁的防护对策和整改措施，并对方案进行实施。</w:t>
            </w:r>
          </w:p>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《信息安全风险评估报告》</w:t>
            </w:r>
          </w:p>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eastAsia="zh-CN"/>
              </w:rPr>
            </w:pP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系统漏洞扫描报告</w:t>
            </w:r>
            <w:r>
              <w:rPr>
                <w:rFonts w:hint="eastAsia" w:ascii="仿宋" w:hAnsi="仿宋" w:eastAsia="仿宋" w:cs="仿宋"/>
                <w:bCs/>
                <w:color w:val="auto"/>
                <w:kern w:val="0"/>
                <w:sz w:val="28"/>
                <w:szCs w:val="28"/>
                <w:vertAlign w:val="baseline"/>
                <w:lang w:eastAsia="zh-CN"/>
              </w:rPr>
              <w:t>》</w:t>
            </w:r>
          </w:p>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系统安全风险管理方案</w:t>
            </w:r>
            <w:r>
              <w:rPr>
                <w:rFonts w:hint="eastAsia" w:ascii="仿宋" w:hAnsi="仿宋" w:eastAsia="仿宋" w:cs="仿宋"/>
                <w:bCs/>
                <w:color w:val="auto"/>
                <w:ker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对信息系统的定期渗透扫描、风险分析，形成安全自查报告并协助整改。</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rPr>
              <w:t>每季度的第一星期实施</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每年4次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eastAsia="zh-CN"/>
              </w:rPr>
            </w:pP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渗透测试报告</w:t>
            </w:r>
            <w:r>
              <w:rPr>
                <w:rFonts w:hint="eastAsia" w:ascii="仿宋" w:hAnsi="仿宋" w:eastAsia="仿宋" w:cs="仿宋"/>
                <w:bCs/>
                <w:color w:val="auto"/>
                <w:ker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服务器安全防护策略优化（实施期不超l个月）</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每年1次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检查评估、安全加固、监测巡检、整改实施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color w:val="auto"/>
                <w:sz w:val="28"/>
                <w:szCs w:val="28"/>
                <w:lang w:val="en-US" w:eastAsia="zh-CN" w:bidi="ar"/>
              </w:rPr>
              <w:t>对所有影响到办公与生产的网络问题进行故障排查和排除。</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24小时全天候</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color w:val="auto"/>
                <w:sz w:val="28"/>
                <w:szCs w:val="28"/>
                <w:lang w:val="en-US" w:eastAsia="zh-CN" w:bidi="ar"/>
              </w:rPr>
              <w:t>1.解决城投综合能源公司（办公网、工业网）网络通信中存在的网络通信阻塞、网络风暴等的各种网络问题；2.</w:t>
            </w:r>
            <w:r>
              <w:rPr>
                <w:rFonts w:hint="eastAsia" w:ascii="仿宋" w:hAnsi="仿宋" w:eastAsia="仿宋" w:cs="仿宋"/>
                <w:bCs/>
                <w:color w:val="auto"/>
                <w:kern w:val="0"/>
                <w:sz w:val="28"/>
                <w:szCs w:val="28"/>
                <w:vertAlign w:val="baseline"/>
                <w:lang w:val="en-US" w:eastAsia="zh-CN"/>
              </w:rPr>
              <w:t>对于发生的突发/重大信息安全事件，</w:t>
            </w:r>
            <w:r>
              <w:rPr>
                <w:rFonts w:hint="eastAsia" w:ascii="仿宋" w:hAnsi="仿宋" w:eastAsia="仿宋" w:cs="仿宋"/>
                <w:sz w:val="28"/>
                <w:szCs w:val="28"/>
              </w:rPr>
              <w:t>第一时间提供包括抑制止损、事件分析、系统加固、事件溯源的应急响应服务，尽可能的减小和控制信息安全事件造成的损失，提供有效的响应和恢复指导，并努力防止安全事件的发生。</w:t>
            </w:r>
            <w:r>
              <w:rPr>
                <w:rFonts w:hint="eastAsia" w:ascii="仿宋" w:hAnsi="仿宋" w:eastAsia="仿宋" w:cs="仿宋"/>
                <w:sz w:val="28"/>
                <w:szCs w:val="28"/>
                <w:lang w:val="en-US" w:eastAsia="zh-CN"/>
              </w:rPr>
              <w:t>若无法远程解决的问题，需</w:t>
            </w:r>
            <w:r>
              <w:rPr>
                <w:rFonts w:hint="eastAsia" w:ascii="仿宋" w:hAnsi="仿宋" w:eastAsia="仿宋" w:cs="仿宋"/>
                <w:bCs/>
                <w:color w:val="auto"/>
                <w:kern w:val="0"/>
                <w:sz w:val="28"/>
                <w:szCs w:val="28"/>
                <w:vertAlign w:val="baseline"/>
              </w:rPr>
              <w:t>2小时内到达现场</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根据事件类型的严重程度</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在要求的响应时间内处理事件；事件处理完成后，根据整个事件情况提交《安全事件应急相应报告》。3.服务商需要开通紧急联络电话，并有2个以上的紧急联络人，确保在紧急应急事件能及时排查、处理、恢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网络、机房相关的建设、运维、变更、整改需提供合理化建议、协助实施。</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事件产生时</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协助城投综合能源公司完成</w:t>
            </w:r>
            <w:r>
              <w:rPr>
                <w:rFonts w:hint="eastAsia" w:ascii="仿宋" w:hAnsi="仿宋" w:eastAsia="仿宋" w:cs="仿宋"/>
                <w:color w:val="auto"/>
                <w:kern w:val="2"/>
                <w:sz w:val="28"/>
                <w:szCs w:val="28"/>
                <w:lang w:val="en-US" w:eastAsia="zh-CN" w:bidi="ar"/>
              </w:rPr>
              <w:t>网络、机房的新建、改建、扩建、升级、整改、变更等工作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WIFI整改工作</w:t>
            </w:r>
            <w:r>
              <w:rPr>
                <w:rFonts w:hint="eastAsia" w:ascii="仿宋" w:hAnsi="仿宋" w:eastAsia="仿宋" w:cs="仿宋"/>
                <w:bCs/>
                <w:color w:val="auto"/>
                <w:kern w:val="0"/>
                <w:sz w:val="28"/>
                <w:szCs w:val="28"/>
                <w:vertAlign w:val="baseline"/>
              </w:rPr>
              <w:t>（实施期不超2个月）</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整改完成</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1.分析网络现状并提出合理可靠的wifi整改方案；2.对城投综合能源公司现有的无线AP进行梳理、登记、打标签等；3.更新无线控制器上的命名（规范化）；4.整改过程中新增设备的调试配置；5.整个无线网络进行重新规划、配置，设计AP覆盖范围、功率、频率调整，结合域进行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2</w:t>
            </w:r>
          </w:p>
        </w:tc>
        <w:tc>
          <w:tcPr>
            <w:tcW w:w="187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网络安全培训</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对公司全体人员进行网络安全培训</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每年2次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网络安全培训内容由城投综合能源公司确定，培训对象为全体公司职员或者对培训内容感兴趣的职员。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3</w:t>
            </w:r>
          </w:p>
        </w:tc>
        <w:tc>
          <w:tcPr>
            <w:tcW w:w="1875" w:type="dxa"/>
            <w:vMerge w:val="restart"/>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应用系统系统支持服务</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rPr>
              <w:t>对</w:t>
            </w:r>
            <w:r>
              <w:rPr>
                <w:rFonts w:hint="eastAsia" w:ascii="仿宋" w:hAnsi="仿宋" w:eastAsia="仿宋" w:cs="仿宋"/>
                <w:bCs/>
                <w:color w:val="auto"/>
                <w:kern w:val="0"/>
                <w:sz w:val="28"/>
                <w:szCs w:val="28"/>
                <w:vertAlign w:val="baseline"/>
                <w:lang w:val="en-US" w:eastAsia="zh-CN"/>
              </w:rPr>
              <w:t>城投综合能源公司</w:t>
            </w:r>
            <w:r>
              <w:rPr>
                <w:rFonts w:hint="eastAsia" w:ascii="仿宋" w:hAnsi="仿宋" w:eastAsia="仿宋" w:cs="仿宋"/>
                <w:bCs/>
                <w:color w:val="auto"/>
                <w:kern w:val="0"/>
                <w:sz w:val="28"/>
                <w:szCs w:val="28"/>
                <w:vertAlign w:val="baseline"/>
              </w:rPr>
              <w:t>指定的服务器进行全量备份</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备份恢复</w:t>
            </w:r>
            <w:r>
              <w:rPr>
                <w:rFonts w:hint="eastAsia" w:ascii="仿宋" w:hAnsi="仿宋" w:eastAsia="仿宋" w:cs="仿宋"/>
                <w:bCs/>
                <w:color w:val="auto"/>
                <w:kern w:val="0"/>
                <w:sz w:val="28"/>
                <w:szCs w:val="28"/>
                <w:vertAlign w:val="baseline"/>
              </w:rPr>
              <w:t>并完兽自动备份策略</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不定期组织防灾备灾演练</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lang w:val="en-US" w:eastAsia="zh-CN"/>
              </w:rPr>
              <w:t>每年1次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color w:val="auto"/>
                <w:spacing w:val="-14"/>
                <w:w w:val="105"/>
                <w:sz w:val="28"/>
                <w:szCs w:val="28"/>
                <w:lang w:val="en-US" w:eastAsia="zh-CN" w:bidi="ar"/>
              </w:rPr>
              <w:t>1.解决城投综合能源公司现有各类应用系统数据安全备份、系统快速恢复，并在</w:t>
            </w:r>
            <w:r>
              <w:rPr>
                <w:rFonts w:hint="eastAsia" w:ascii="仿宋" w:hAnsi="仿宋" w:eastAsia="仿宋" w:cs="仿宋"/>
                <w:bCs/>
                <w:color w:val="auto"/>
                <w:kern w:val="0"/>
                <w:sz w:val="28"/>
                <w:szCs w:val="28"/>
                <w:vertAlign w:val="baseline"/>
                <w:lang w:val="en-US" w:eastAsia="zh-CN"/>
              </w:rPr>
              <w:t>城投综合能源公司各部门信息系统备份方案的基础上提出合理化建议，更新</w:t>
            </w:r>
            <w:r>
              <w:rPr>
                <w:rFonts w:hint="eastAsia" w:ascii="仿宋" w:hAnsi="仿宋" w:eastAsia="仿宋" w:cs="仿宋"/>
                <w:color w:val="auto"/>
                <w:spacing w:val="10"/>
                <w:sz w:val="28"/>
                <w:szCs w:val="28"/>
                <w:lang w:val="en-US" w:eastAsia="zh-CN" w:bidi="ar"/>
              </w:rPr>
              <w:t>备份策略、备份机制、数据存储以及系统快速恢复的解决方案，并落地实</w:t>
            </w:r>
            <w:r>
              <w:rPr>
                <w:rFonts w:hint="eastAsia" w:ascii="仿宋" w:hAnsi="仿宋" w:eastAsia="仿宋" w:cs="仿宋"/>
                <w:color w:val="auto"/>
                <w:spacing w:val="10"/>
                <w:w w:val="105"/>
                <w:sz w:val="28"/>
                <w:szCs w:val="28"/>
                <w:lang w:val="en-US" w:eastAsia="zh-CN" w:bidi="ar"/>
              </w:rPr>
              <w:t>施</w:t>
            </w:r>
            <w:r>
              <w:rPr>
                <w:rFonts w:hint="eastAsia" w:ascii="仿宋" w:hAnsi="仿宋" w:eastAsia="仿宋" w:cs="仿宋"/>
                <w:bCs/>
                <w:color w:val="auto"/>
                <w:kern w:val="0"/>
                <w:sz w:val="28"/>
                <w:szCs w:val="28"/>
                <w:vertAlign w:val="baseline"/>
                <w:lang w:val="en-US" w:eastAsia="zh-CN"/>
              </w:rPr>
              <w:t>。2.提供服务器、应用系统升级</w:t>
            </w:r>
            <w:r>
              <w:rPr>
                <w:rFonts w:hint="eastAsia" w:ascii="仿宋" w:hAnsi="仿宋" w:eastAsia="仿宋" w:cs="仿宋"/>
                <w:color w:val="646464"/>
                <w:spacing w:val="-13"/>
                <w:w w:val="105"/>
                <w:sz w:val="28"/>
                <w:szCs w:val="28"/>
                <w:lang w:val="en-US" w:eastAsia="zh-CN" w:bidi="ar"/>
              </w:rPr>
              <w:t>、</w:t>
            </w:r>
            <w:r>
              <w:rPr>
                <w:rFonts w:hint="eastAsia" w:ascii="仿宋" w:hAnsi="仿宋" w:eastAsia="仿宋" w:cs="仿宋"/>
                <w:color w:val="auto"/>
                <w:spacing w:val="-13"/>
                <w:w w:val="105"/>
                <w:sz w:val="28"/>
                <w:szCs w:val="28"/>
                <w:lang w:val="en-US" w:eastAsia="zh-CN" w:bidi="ar"/>
              </w:rPr>
              <w:t>改造、故障处理、系统恢复、数据备份、数据迁移等以及有必要配合系统供应商的实施行为的现场技术人员支持服务。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进行服务器关键补丁更新</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每季度的第一周实施</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每年4次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lang w:val="en-US" w:eastAsia="zh-CN"/>
              </w:rPr>
              <w:t>操作系统巡检：检查服务器的操作系统是否有关键补丁需要更新，评估结果在被许可的情况下，更新补丁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对服务器进行病毒码更新至最新状态</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rPr>
              <w:t>每月一次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更新服务器的病毒定义码至最新状态，并进行服务器的全面扫描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rPr>
            </w:pPr>
          </w:p>
        </w:tc>
        <w:tc>
          <w:tcPr>
            <w:tcW w:w="1875" w:type="dxa"/>
            <w:vMerge w:val="continue"/>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对数据库进行一次巡检</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每季度的第一周实施</w:t>
            </w:r>
            <w:r>
              <w:rPr>
                <w:rFonts w:hint="eastAsia" w:ascii="仿宋" w:hAnsi="仿宋" w:eastAsia="仿宋" w:cs="仿宋"/>
                <w:bCs/>
                <w:color w:val="auto"/>
                <w:kern w:val="0"/>
                <w:sz w:val="28"/>
                <w:szCs w:val="28"/>
                <w:vertAlign w:val="baseline"/>
                <w:lang w:eastAsia="zh-CN"/>
              </w:rPr>
              <w:t>，</w:t>
            </w:r>
            <w:r>
              <w:rPr>
                <w:rFonts w:hint="eastAsia" w:ascii="仿宋" w:hAnsi="仿宋" w:eastAsia="仿宋" w:cs="仿宋"/>
                <w:bCs/>
                <w:color w:val="auto"/>
                <w:kern w:val="0"/>
                <w:sz w:val="28"/>
                <w:szCs w:val="28"/>
                <w:vertAlign w:val="baseline"/>
                <w:lang w:val="en-US" w:eastAsia="zh-CN"/>
              </w:rPr>
              <w:t>每年4次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对数据库的状态进行巡检，分析数据增长量，在磁盘使用空间占用到80%时，需向城投综合能源公司预警，提醒增加存储；排除数据库在使用时的各种故障，分析数据库日志，对数据库的安全策略进行分析并提出建议，在城投综合能源公司同意下进行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4</w:t>
            </w:r>
          </w:p>
        </w:tc>
        <w:tc>
          <w:tcPr>
            <w:tcW w:w="187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年度二次巡检</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rPr>
            </w:pPr>
            <w:r>
              <w:rPr>
                <w:rFonts w:hint="eastAsia" w:ascii="仿宋" w:hAnsi="仿宋" w:eastAsia="仿宋" w:cs="仿宋"/>
                <w:bCs/>
                <w:color w:val="auto"/>
                <w:kern w:val="0"/>
                <w:sz w:val="28"/>
                <w:szCs w:val="28"/>
                <w:vertAlign w:val="baseline"/>
              </w:rPr>
              <w:t>全面系统巡检，包括软硬件系统，出具巡检报告以及专业建议。</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每年2次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服务器运行状态巡检：对服务器硬件全面检查，查看服务器运行状态，记录运行状态；服务器有异常状态需通知城投综合能源公司，在城投综合能源公司同意的情况下，对服务器进行优化处理。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5</w:t>
            </w:r>
          </w:p>
        </w:tc>
        <w:tc>
          <w:tcPr>
            <w:tcW w:w="187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lang w:val="en-US" w:eastAsia="zh-CN"/>
              </w:rPr>
              <w:t>重大节假日网络保障</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lang w:val="en-US" w:eastAsia="zh-CN"/>
              </w:rPr>
              <w:t>重大节假日，如国庆春节等；重大事件，如两会等；提供网络安全保障服务</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default"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lang w:val="en-US" w:eastAsia="zh-CN"/>
              </w:rPr>
              <w:t>重大节假日期间</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lang w:val="en-US" w:eastAsia="zh-CN"/>
              </w:rPr>
              <w:t>保障城投综合能源公司重大节假日的网络安全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6</w:t>
            </w:r>
          </w:p>
        </w:tc>
        <w:tc>
          <w:tcPr>
            <w:tcW w:w="187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网络安全攻防演练</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对政府等组织的网络安全攻防演练活动提供技术支持</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1次</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配合城投综合能源公司完成政府等组织的演练活动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7</w:t>
            </w:r>
          </w:p>
        </w:tc>
        <w:tc>
          <w:tcPr>
            <w:tcW w:w="187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rPr>
              <w:t>不定期驻点</w:t>
            </w:r>
          </w:p>
        </w:tc>
        <w:tc>
          <w:tcPr>
            <w:tcW w:w="41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rPr>
              <w:t>提供不定期驻点服务以提供优质的技术支持</w:t>
            </w:r>
          </w:p>
        </w:tc>
        <w:tc>
          <w:tcPr>
            <w:tcW w:w="168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lang w:val="en-US" w:eastAsia="zh-CN"/>
              </w:rPr>
              <w:t>每月8天</w:t>
            </w:r>
          </w:p>
        </w:tc>
        <w:tc>
          <w:tcPr>
            <w:tcW w:w="546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bCs/>
                <w:color w:val="auto"/>
                <w:kern w:val="0"/>
                <w:sz w:val="28"/>
                <w:szCs w:val="28"/>
                <w:vertAlign w:val="baseline"/>
                <w:lang w:val="en-US" w:eastAsia="zh-CN" w:bidi="ar-SA"/>
              </w:rPr>
            </w:pPr>
            <w:r>
              <w:rPr>
                <w:rFonts w:hint="eastAsia" w:ascii="仿宋" w:hAnsi="仿宋" w:eastAsia="仿宋" w:cs="仿宋"/>
                <w:bCs/>
                <w:color w:val="auto"/>
                <w:kern w:val="0"/>
                <w:sz w:val="28"/>
                <w:szCs w:val="28"/>
                <w:vertAlign w:val="baseline"/>
              </w:rPr>
              <w:t>与以上服务天数无重合</w:t>
            </w:r>
          </w:p>
        </w:tc>
      </w:tr>
    </w:tbl>
    <w:p>
      <w:pPr>
        <w:pStyle w:val="25"/>
        <w:numPr>
          <w:ilvl w:val="0"/>
          <w:numId w:val="0"/>
        </w:numPr>
        <w:snapToGrid w:val="0"/>
        <w:spacing w:line="580" w:lineRule="exact"/>
        <w:rPr>
          <w:rFonts w:hint="eastAsia" w:ascii="仿宋" w:hAnsi="仿宋" w:eastAsia="仿宋" w:cs="仿宋"/>
          <w:bCs/>
          <w:color w:val="auto"/>
          <w:kern w:val="0"/>
          <w:sz w:val="32"/>
          <w:szCs w:val="32"/>
          <w:lang w:val="en-US" w:eastAsia="zh-CN"/>
        </w:rPr>
        <w:sectPr>
          <w:pgSz w:w="16838" w:h="11906" w:orient="landscape"/>
          <w:pgMar w:top="1800" w:right="1440" w:bottom="1800" w:left="1440" w:header="851" w:footer="850" w:gutter="0"/>
          <w:cols w:space="720" w:num="1"/>
          <w:docGrid w:linePitch="312" w:charSpace="0"/>
        </w:sectPr>
      </w:pPr>
    </w:p>
    <w:p>
      <w:pPr>
        <w:pStyle w:val="25"/>
        <w:keepNext w:val="0"/>
        <w:keepLines w:val="0"/>
        <w:pageBreakBefore w:val="0"/>
        <w:numPr>
          <w:ilvl w:val="0"/>
          <w:numId w:val="13"/>
        </w:numPr>
        <w:kinsoku/>
        <w:wordWrap/>
        <w:overflowPunct/>
        <w:topLinePunct w:val="0"/>
        <w:bidi w:val="0"/>
        <w:adjustRightInd/>
        <w:snapToGrid w:val="0"/>
        <w:spacing w:line="360" w:lineRule="auto"/>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考核评估及其扣款标准</w:t>
      </w:r>
    </w:p>
    <w:p>
      <w:pPr>
        <w:pStyle w:val="25"/>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定期对乙方进行考核评估，每季评估结果与服务费挂钩，每季考核结果分为优、良、一般、差四个等级。若当季评估结果为“差”等级的，甲方将提出警告并要求限期整改；若下个季度评估结果仍为“差”等级的，将扣除当月服务费的</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作为罚金；如全年累计有两个季度及以上的评估结果为“差”等级，则甲方有权终止合同。</w:t>
      </w:r>
    </w:p>
    <w:p>
      <w:pPr>
        <w:pStyle w:val="25"/>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Cs/>
          <w:kern w:val="0"/>
          <w:sz w:val="32"/>
          <w:szCs w:val="32"/>
          <w:lang w:val="en-US" w:eastAsia="zh-CN"/>
        </w:rPr>
      </w:pPr>
      <w:r>
        <w:rPr>
          <w:rFonts w:hint="eastAsia" w:ascii="仿宋" w:hAnsi="仿宋" w:eastAsia="仿宋" w:cs="仿宋"/>
          <w:sz w:val="32"/>
          <w:szCs w:val="32"/>
          <w:lang w:val="en-US" w:eastAsia="zh-CN"/>
        </w:rPr>
        <w:t>详情见附件：网络安全、应用系统服务评分考核表</w:t>
      </w:r>
    </w:p>
    <w:p>
      <w:pPr>
        <w:pStyle w:val="25"/>
        <w:numPr>
          <w:ilvl w:val="-1"/>
          <w:numId w:val="0"/>
        </w:numPr>
        <w:snapToGrid w:val="0"/>
        <w:spacing w:line="580" w:lineRule="exact"/>
        <w:ind w:firstLine="0" w:firstLineChars="0"/>
      </w:pPr>
    </w:p>
    <w:p>
      <w:pPr>
        <w:pStyle w:val="25"/>
        <w:numPr>
          <w:ilvl w:val="0"/>
          <w:numId w:val="13"/>
        </w:numPr>
        <w:snapToGrid w:val="0"/>
        <w:spacing w:line="580" w:lineRule="exact"/>
        <w:ind w:left="0" w:leftChars="0"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采购工期</w:t>
      </w:r>
    </w:p>
    <w:p>
      <w:pPr>
        <w:pStyle w:val="25"/>
        <w:numPr>
          <w:ilvl w:val="0"/>
          <w:numId w:val="0"/>
        </w:numPr>
        <w:snapToGrid w:val="0"/>
        <w:spacing w:line="580" w:lineRule="exact"/>
        <w:ind w:leftChars="200" w:firstLine="320" w:firstLineChars="100"/>
        <w:rPr>
          <w:rFonts w:ascii="黑体" w:hAnsi="黑体" w:eastAsia="黑体" w:cs="黑体"/>
          <w:bCs/>
          <w:kern w:val="0"/>
          <w:sz w:val="32"/>
          <w:szCs w:val="32"/>
        </w:rPr>
      </w:pP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完成采购</w:t>
      </w:r>
    </w:p>
    <w:p>
      <w:pPr>
        <w:pStyle w:val="25"/>
        <w:numPr>
          <w:ilvl w:val="-1"/>
          <w:numId w:val="0"/>
        </w:numPr>
        <w:snapToGrid w:val="0"/>
        <w:spacing w:line="580" w:lineRule="exact"/>
        <w:ind w:firstLine="0" w:firstLineChars="0"/>
        <w:rPr>
          <w:rFonts w:hint="eastAsia" w:eastAsiaTheme="minorEastAsia"/>
          <w:lang w:val="en-US" w:eastAsia="zh-CN"/>
        </w:rPr>
        <w:sectPr>
          <w:pgSz w:w="11906" w:h="16838"/>
          <w:pgMar w:top="1440" w:right="1800" w:bottom="1440" w:left="1800" w:header="851" w:footer="850" w:gutter="0"/>
          <w:cols w:space="720" w:num="1"/>
          <w:docGrid w:linePitch="312" w:charSpace="0"/>
        </w:sectPr>
      </w:pPr>
    </w:p>
    <w:p>
      <w:pPr>
        <w:pStyle w:val="25"/>
        <w:numPr>
          <w:ilvl w:val="0"/>
          <w:numId w:val="0"/>
        </w:numPr>
        <w:snapToGrid w:val="0"/>
        <w:spacing w:line="580" w:lineRule="exact"/>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附件1：服务响应事件</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6"/>
        <w:gridCol w:w="1125"/>
        <w:gridCol w:w="2940"/>
        <w:gridCol w:w="381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事件类型</w:t>
            </w:r>
          </w:p>
        </w:tc>
        <w:tc>
          <w:tcPr>
            <w:tcW w:w="112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响应优先级</w:t>
            </w:r>
          </w:p>
        </w:tc>
        <w:tc>
          <w:tcPr>
            <w:tcW w:w="294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响应时间</w:t>
            </w:r>
          </w:p>
        </w:tc>
        <w:tc>
          <w:tcPr>
            <w:tcW w:w="381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事件处理时间</w:t>
            </w:r>
          </w:p>
        </w:tc>
        <w:tc>
          <w:tcPr>
            <w:tcW w:w="1333"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lang w:val="en-US" w:eastAsia="zh-CN"/>
              </w:rPr>
              <w:t>有效支持</w:t>
            </w:r>
            <w:r>
              <w:rPr>
                <w:rFonts w:hint="eastAsia" w:ascii="仿宋" w:hAnsi="仿宋" w:eastAsia="仿宋" w:cs="仿宋"/>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特别严重事件：网络与信息系统发生全局性大规模瘫痪，事态 发展超出自己的控制能力，影响正常生产，造成业务连续性持续中断。</w:t>
            </w:r>
          </w:p>
        </w:tc>
        <w:tc>
          <w:tcPr>
            <w:tcW w:w="112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最高</w:t>
            </w:r>
          </w:p>
        </w:tc>
        <w:tc>
          <w:tcPr>
            <w:tcW w:w="294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≤20 分钟</w:t>
            </w:r>
          </w:p>
        </w:tc>
        <w:tc>
          <w:tcPr>
            <w:tcW w:w="381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30分钟内提供解决方案</w:t>
            </w:r>
            <w:r>
              <w:rPr>
                <w:rFonts w:hint="eastAsia" w:ascii="仿宋" w:hAnsi="仿宋" w:eastAsia="仿宋" w:cs="仿宋"/>
                <w:sz w:val="28"/>
                <w:szCs w:val="28"/>
                <w:lang w:eastAsia="zh-CN"/>
              </w:rPr>
              <w:t>，</w:t>
            </w:r>
            <w:r>
              <w:rPr>
                <w:rFonts w:hint="eastAsia" w:ascii="仿宋" w:hAnsi="仿宋" w:eastAsia="仿宋" w:cs="仿宋"/>
                <w:sz w:val="28"/>
                <w:szCs w:val="28"/>
              </w:rPr>
              <w:t>根据事态发展响应频率≤60分钟更新一次</w:t>
            </w:r>
            <w:r>
              <w:rPr>
                <w:rFonts w:hint="eastAsia" w:ascii="仿宋" w:hAnsi="仿宋" w:eastAsia="仿宋" w:cs="仿宋"/>
                <w:sz w:val="28"/>
                <w:szCs w:val="28"/>
                <w:lang w:eastAsia="zh-CN"/>
              </w:rPr>
              <w:t>，</w:t>
            </w:r>
            <w:r>
              <w:rPr>
                <w:rFonts w:hint="eastAsia" w:ascii="仿宋" w:hAnsi="仿宋" w:eastAsia="仿宋" w:cs="仿宋"/>
                <w:sz w:val="28"/>
                <w:szCs w:val="28"/>
              </w:rPr>
              <w:t>若需现场处理，</w:t>
            </w:r>
            <w:r>
              <w:rPr>
                <w:rFonts w:hint="eastAsia" w:ascii="仿宋" w:hAnsi="仿宋" w:eastAsia="仿宋" w:cs="仿宋"/>
                <w:sz w:val="28"/>
                <w:szCs w:val="28"/>
                <w:lang w:val="en-US" w:eastAsia="zh-CN"/>
              </w:rPr>
              <w:t>2</w:t>
            </w:r>
            <w:r>
              <w:rPr>
                <w:rFonts w:hint="eastAsia" w:ascii="仿宋" w:hAnsi="仿宋" w:eastAsia="仿宋" w:cs="仿宋"/>
                <w:sz w:val="28"/>
                <w:szCs w:val="28"/>
              </w:rPr>
              <w:t>小时内到达现场处理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故障解决时限是8小时。</w:t>
            </w:r>
          </w:p>
        </w:tc>
        <w:tc>
          <w:tcPr>
            <w:tcW w:w="1333"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严重事件：网络与信息系统发生较大规模瘫痪</w:t>
            </w:r>
            <w:r>
              <w:rPr>
                <w:rFonts w:hint="eastAsia" w:ascii="仿宋" w:hAnsi="仿宋" w:eastAsia="仿宋" w:cs="仿宋"/>
                <w:sz w:val="28"/>
                <w:szCs w:val="28"/>
                <w:lang w:eastAsia="zh-CN"/>
              </w:rPr>
              <w:t>，</w:t>
            </w:r>
            <w:r>
              <w:rPr>
                <w:rFonts w:hint="eastAsia" w:ascii="仿宋" w:hAnsi="仿宋" w:eastAsia="仿宋" w:cs="仿宋"/>
                <w:sz w:val="28"/>
                <w:szCs w:val="28"/>
              </w:rPr>
              <w:t>影响正常生产，造成业务连续性不 定时中断。</w:t>
            </w:r>
          </w:p>
        </w:tc>
        <w:tc>
          <w:tcPr>
            <w:tcW w:w="112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高</w:t>
            </w:r>
          </w:p>
        </w:tc>
        <w:tc>
          <w:tcPr>
            <w:tcW w:w="294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≤30 分钟</w:t>
            </w:r>
          </w:p>
        </w:tc>
        <w:tc>
          <w:tcPr>
            <w:tcW w:w="381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60分钟内提供解决 方案根据事态发展响应频率≤120分钟更新一次</w:t>
            </w:r>
            <w:r>
              <w:rPr>
                <w:rFonts w:hint="eastAsia" w:ascii="仿宋" w:hAnsi="仿宋" w:eastAsia="仿宋" w:cs="仿宋"/>
                <w:sz w:val="28"/>
                <w:szCs w:val="28"/>
                <w:lang w:eastAsia="zh-CN"/>
              </w:rPr>
              <w:t>。</w:t>
            </w:r>
            <w:r>
              <w:rPr>
                <w:rFonts w:hint="eastAsia" w:ascii="仿宋" w:hAnsi="仿宋" w:eastAsia="仿宋" w:cs="仿宋"/>
                <w:sz w:val="28"/>
                <w:szCs w:val="28"/>
              </w:rPr>
              <w:t>若需现场处理，</w:t>
            </w:r>
            <w:r>
              <w:rPr>
                <w:rFonts w:hint="eastAsia" w:ascii="仿宋" w:hAnsi="仿宋" w:eastAsia="仿宋" w:cs="仿宋"/>
                <w:sz w:val="28"/>
                <w:szCs w:val="28"/>
                <w:lang w:val="en-US" w:eastAsia="zh-CN"/>
              </w:rPr>
              <w:t>2</w:t>
            </w:r>
            <w:r>
              <w:rPr>
                <w:rFonts w:hint="eastAsia" w:ascii="仿宋" w:hAnsi="仿宋" w:eastAsia="仿宋" w:cs="仿宋"/>
                <w:sz w:val="28"/>
                <w:szCs w:val="28"/>
              </w:rPr>
              <w:t>小时内到达现场处理</w:t>
            </w:r>
            <w:r>
              <w:rPr>
                <w:rFonts w:hint="eastAsia" w:ascii="仿宋" w:hAnsi="仿宋" w:eastAsia="仿宋" w:cs="仿宋"/>
                <w:sz w:val="28"/>
                <w:szCs w:val="28"/>
                <w:lang w:val="en-US" w:eastAsia="zh-CN"/>
              </w:rPr>
              <w:t>。</w:t>
            </w:r>
          </w:p>
        </w:tc>
        <w:tc>
          <w:tcPr>
            <w:tcW w:w="1333"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较严重事件网络与信息系统发生局部故障，对7×24业务连续性持续性造成影响。</w:t>
            </w:r>
          </w:p>
        </w:tc>
        <w:tc>
          <w:tcPr>
            <w:tcW w:w="112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中</w:t>
            </w:r>
          </w:p>
        </w:tc>
        <w:tc>
          <w:tcPr>
            <w:tcW w:w="294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≤60 分钟</w:t>
            </w:r>
          </w:p>
        </w:tc>
        <w:tc>
          <w:tcPr>
            <w:tcW w:w="381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90 分钟内提供解决 方案根据事态发展响应频率≤180分钟更新一次</w:t>
            </w:r>
            <w:r>
              <w:rPr>
                <w:rFonts w:hint="eastAsia" w:ascii="仿宋" w:hAnsi="仿宋" w:eastAsia="仿宋" w:cs="仿宋"/>
                <w:sz w:val="28"/>
                <w:szCs w:val="28"/>
                <w:lang w:eastAsia="zh-CN"/>
              </w:rPr>
              <w:t>，</w:t>
            </w:r>
            <w:r>
              <w:rPr>
                <w:rFonts w:hint="eastAsia" w:ascii="仿宋" w:hAnsi="仿宋" w:eastAsia="仿宋" w:cs="仿宋"/>
                <w:sz w:val="28"/>
                <w:szCs w:val="28"/>
              </w:rPr>
              <w:t>若需现场处理，</w:t>
            </w:r>
            <w:r>
              <w:rPr>
                <w:rFonts w:hint="eastAsia" w:ascii="仿宋" w:hAnsi="仿宋" w:eastAsia="仿宋" w:cs="仿宋"/>
                <w:sz w:val="28"/>
                <w:szCs w:val="28"/>
                <w:lang w:val="en-US" w:eastAsia="zh-CN"/>
              </w:rPr>
              <w:t>8</w:t>
            </w:r>
            <w:r>
              <w:rPr>
                <w:rFonts w:hint="eastAsia" w:ascii="仿宋" w:hAnsi="仿宋" w:eastAsia="仿宋" w:cs="仿宋"/>
                <w:sz w:val="28"/>
                <w:szCs w:val="28"/>
              </w:rPr>
              <w:t>小时内到达现场处理</w:t>
            </w:r>
          </w:p>
        </w:tc>
        <w:tc>
          <w:tcPr>
            <w:tcW w:w="1333"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一般事件： 网络与信息系统局部发生一般故障，不影响正常生产，对业务连续性无 影响。</w:t>
            </w:r>
          </w:p>
        </w:tc>
        <w:tc>
          <w:tcPr>
            <w:tcW w:w="1125"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低</w:t>
            </w:r>
          </w:p>
        </w:tc>
        <w:tc>
          <w:tcPr>
            <w:tcW w:w="294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 120 分钟</w:t>
            </w:r>
          </w:p>
        </w:tc>
        <w:tc>
          <w:tcPr>
            <w:tcW w:w="3810"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both"/>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120 分钟内提供解决 方案 根据事态发展响应 频率≤240 分钟更新一次</w:t>
            </w:r>
            <w:r>
              <w:rPr>
                <w:rFonts w:hint="eastAsia" w:ascii="仿宋" w:hAnsi="仿宋" w:eastAsia="仿宋" w:cs="仿宋"/>
                <w:sz w:val="28"/>
                <w:szCs w:val="28"/>
                <w:lang w:eastAsia="zh-CN"/>
              </w:rPr>
              <w:t>。</w:t>
            </w:r>
            <w:r>
              <w:rPr>
                <w:rFonts w:hint="eastAsia" w:ascii="仿宋" w:hAnsi="仿宋" w:eastAsia="仿宋" w:cs="仿宋"/>
                <w:sz w:val="28"/>
                <w:szCs w:val="28"/>
              </w:rPr>
              <w:t>若需现场处理，</w:t>
            </w:r>
            <w:r>
              <w:rPr>
                <w:rFonts w:hint="eastAsia" w:ascii="仿宋" w:hAnsi="仿宋" w:eastAsia="仿宋" w:cs="仿宋"/>
                <w:sz w:val="28"/>
                <w:szCs w:val="28"/>
                <w:lang w:val="en-US" w:eastAsia="zh-CN"/>
              </w:rPr>
              <w:t>24</w:t>
            </w:r>
            <w:r>
              <w:rPr>
                <w:rFonts w:hint="eastAsia" w:ascii="仿宋" w:hAnsi="仿宋" w:eastAsia="仿宋" w:cs="仿宋"/>
                <w:sz w:val="28"/>
                <w:szCs w:val="28"/>
              </w:rPr>
              <w:t>小时内到达现场处理</w:t>
            </w:r>
          </w:p>
        </w:tc>
        <w:tc>
          <w:tcPr>
            <w:tcW w:w="1333" w:type="dxa"/>
            <w:vAlign w:val="center"/>
          </w:tcPr>
          <w:p>
            <w:pPr>
              <w:pStyle w:val="25"/>
              <w:keepNext w:val="0"/>
              <w:keepLines w:val="0"/>
              <w:numPr>
                <w:ilvl w:val="0"/>
                <w:numId w:val="0"/>
              </w:numPr>
              <w:suppressLineNumbers w:val="0"/>
              <w:snapToGrid w:val="0"/>
              <w:spacing w:before="0" w:beforeAutospacing="0" w:after="0" w:afterAutospacing="0" w:line="580" w:lineRule="exact"/>
              <w:ind w:left="0" w:right="0"/>
              <w:jc w:val="center"/>
              <w:rPr>
                <w:rFonts w:hint="eastAsia" w:ascii="仿宋" w:hAnsi="仿宋" w:eastAsia="仿宋" w:cs="仿宋"/>
                <w:bCs/>
                <w:color w:val="auto"/>
                <w:kern w:val="0"/>
                <w:sz w:val="28"/>
                <w:szCs w:val="28"/>
                <w:vertAlign w:val="baseline"/>
                <w:lang w:val="en-US" w:eastAsia="zh-CN"/>
              </w:rPr>
            </w:pPr>
            <w:r>
              <w:rPr>
                <w:rFonts w:hint="eastAsia" w:ascii="仿宋" w:hAnsi="仿宋" w:eastAsia="仿宋" w:cs="仿宋"/>
                <w:sz w:val="28"/>
                <w:szCs w:val="28"/>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tcPr>
          <w:p>
            <w:pPr>
              <w:pStyle w:val="25"/>
              <w:keepNext w:val="0"/>
              <w:keepLines w:val="0"/>
              <w:numPr>
                <w:ilvl w:val="0"/>
                <w:numId w:val="0"/>
              </w:numPr>
              <w:suppressLineNumbers w:val="0"/>
              <w:snapToGrid w:val="0"/>
              <w:spacing w:before="0" w:beforeAutospacing="0" w:after="0" w:afterAutospacing="0" w:line="580" w:lineRule="exact"/>
              <w:ind w:left="0" w:right="0"/>
              <w:rPr>
                <w:rFonts w:hint="default" w:ascii="仿宋" w:hAnsi="仿宋" w:eastAsia="仿宋" w:cs="仿宋"/>
                <w:bCs/>
                <w:color w:val="auto"/>
                <w:kern w:val="0"/>
                <w:sz w:val="32"/>
                <w:szCs w:val="32"/>
                <w:vertAlign w:val="baseline"/>
                <w:lang w:val="en-US" w:eastAsia="zh-CN"/>
              </w:rPr>
            </w:pPr>
          </w:p>
        </w:tc>
        <w:tc>
          <w:tcPr>
            <w:tcW w:w="1125" w:type="dxa"/>
          </w:tcPr>
          <w:p>
            <w:pPr>
              <w:pStyle w:val="25"/>
              <w:keepNext w:val="0"/>
              <w:keepLines w:val="0"/>
              <w:numPr>
                <w:ilvl w:val="0"/>
                <w:numId w:val="0"/>
              </w:numPr>
              <w:suppressLineNumbers w:val="0"/>
              <w:snapToGrid w:val="0"/>
              <w:spacing w:before="0" w:beforeAutospacing="0" w:after="0" w:afterAutospacing="0" w:line="580" w:lineRule="exact"/>
              <w:ind w:left="0" w:right="0"/>
              <w:rPr>
                <w:rFonts w:hint="default" w:ascii="仿宋" w:hAnsi="仿宋" w:eastAsia="仿宋" w:cs="仿宋"/>
                <w:bCs/>
                <w:color w:val="auto"/>
                <w:kern w:val="0"/>
                <w:sz w:val="32"/>
                <w:szCs w:val="32"/>
                <w:vertAlign w:val="baseline"/>
                <w:lang w:val="en-US" w:eastAsia="zh-CN"/>
              </w:rPr>
            </w:pPr>
          </w:p>
        </w:tc>
        <w:tc>
          <w:tcPr>
            <w:tcW w:w="2940" w:type="dxa"/>
          </w:tcPr>
          <w:p>
            <w:pPr>
              <w:pStyle w:val="25"/>
              <w:keepNext w:val="0"/>
              <w:keepLines w:val="0"/>
              <w:numPr>
                <w:ilvl w:val="0"/>
                <w:numId w:val="0"/>
              </w:numPr>
              <w:suppressLineNumbers w:val="0"/>
              <w:snapToGrid w:val="0"/>
              <w:spacing w:before="0" w:beforeAutospacing="0" w:after="0" w:afterAutospacing="0" w:line="580" w:lineRule="exact"/>
              <w:ind w:left="0" w:right="0"/>
              <w:rPr>
                <w:rFonts w:hint="default" w:ascii="仿宋" w:hAnsi="仿宋" w:eastAsia="仿宋" w:cs="仿宋"/>
                <w:bCs/>
                <w:color w:val="auto"/>
                <w:kern w:val="0"/>
                <w:sz w:val="32"/>
                <w:szCs w:val="32"/>
                <w:vertAlign w:val="baseline"/>
                <w:lang w:val="en-US" w:eastAsia="zh-CN"/>
              </w:rPr>
            </w:pPr>
          </w:p>
        </w:tc>
        <w:tc>
          <w:tcPr>
            <w:tcW w:w="3810" w:type="dxa"/>
          </w:tcPr>
          <w:p>
            <w:pPr>
              <w:pStyle w:val="25"/>
              <w:keepNext w:val="0"/>
              <w:keepLines w:val="0"/>
              <w:numPr>
                <w:ilvl w:val="0"/>
                <w:numId w:val="0"/>
              </w:numPr>
              <w:suppressLineNumbers w:val="0"/>
              <w:snapToGrid w:val="0"/>
              <w:spacing w:before="0" w:beforeAutospacing="0" w:after="0" w:afterAutospacing="0" w:line="580" w:lineRule="exact"/>
              <w:ind w:left="0" w:right="0"/>
              <w:rPr>
                <w:rFonts w:hint="default" w:ascii="仿宋" w:hAnsi="仿宋" w:eastAsia="仿宋" w:cs="仿宋"/>
                <w:bCs/>
                <w:color w:val="auto"/>
                <w:kern w:val="0"/>
                <w:sz w:val="32"/>
                <w:szCs w:val="32"/>
                <w:vertAlign w:val="baseline"/>
                <w:lang w:val="en-US" w:eastAsia="zh-CN"/>
              </w:rPr>
            </w:pPr>
          </w:p>
        </w:tc>
        <w:tc>
          <w:tcPr>
            <w:tcW w:w="1333" w:type="dxa"/>
          </w:tcPr>
          <w:p>
            <w:pPr>
              <w:pStyle w:val="25"/>
              <w:keepNext w:val="0"/>
              <w:keepLines w:val="0"/>
              <w:numPr>
                <w:ilvl w:val="0"/>
                <w:numId w:val="0"/>
              </w:numPr>
              <w:suppressLineNumbers w:val="0"/>
              <w:snapToGrid w:val="0"/>
              <w:spacing w:before="0" w:beforeAutospacing="0" w:after="0" w:afterAutospacing="0" w:line="580" w:lineRule="exact"/>
              <w:ind w:left="0" w:right="0"/>
              <w:rPr>
                <w:rFonts w:hint="default" w:ascii="仿宋" w:hAnsi="仿宋" w:eastAsia="仿宋" w:cs="仿宋"/>
                <w:bCs/>
                <w:color w:val="auto"/>
                <w:kern w:val="0"/>
                <w:sz w:val="32"/>
                <w:szCs w:val="32"/>
                <w:vertAlign w:val="baseline"/>
                <w:lang w:val="en-US" w:eastAsia="zh-CN"/>
              </w:rPr>
            </w:pPr>
          </w:p>
        </w:tc>
      </w:tr>
    </w:tbl>
    <w:p>
      <w:pPr>
        <w:pStyle w:val="25"/>
        <w:snapToGrid w:val="0"/>
        <w:spacing w:line="580" w:lineRule="exact"/>
        <w:ind w:left="0" w:leftChars="0" w:firstLine="0" w:firstLineChars="0"/>
        <w:rPr>
          <w:rFonts w:hint="eastAsia" w:ascii="黑体" w:hAnsi="黑体" w:eastAsia="黑体" w:cs="黑体"/>
          <w:bCs/>
          <w:kern w:val="0"/>
          <w:sz w:val="32"/>
          <w:szCs w:val="32"/>
        </w:rPr>
      </w:pPr>
    </w:p>
    <w:p>
      <w:pPr>
        <w:pStyle w:val="7"/>
        <w:sectPr>
          <w:pgSz w:w="16838" w:h="11906" w:orient="landscape"/>
          <w:pgMar w:top="1800" w:right="1440" w:bottom="1800" w:left="1440" w:header="851" w:footer="850" w:gutter="0"/>
          <w:cols w:space="720" w:num="1"/>
          <w:docGrid w:linePitch="312" w:charSpace="0"/>
        </w:sectPr>
      </w:pP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附件2：服务、信息系统清单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120"/>
        <w:gridCol w:w="91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序号</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名称</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数量</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1</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05"/>
                <w:sz w:val="28"/>
                <w:szCs w:val="28"/>
                <w:lang w:val="en-US" w:eastAsia="zh-CN" w:bidi="ar"/>
              </w:rPr>
              <w:t>城投综合能源公司</w:t>
            </w:r>
            <w:r>
              <w:rPr>
                <w:rFonts w:hint="eastAsia" w:ascii="仿宋" w:hAnsi="仿宋" w:eastAsia="仿宋" w:cs="仿宋"/>
                <w:color w:val="676767"/>
                <w:w w:val="105"/>
                <w:sz w:val="28"/>
                <w:szCs w:val="28"/>
                <w:lang w:val="en-US" w:eastAsia="en-US" w:bidi="ar"/>
              </w:rPr>
              <w:t>门户网站</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05"/>
                <w:sz w:val="28"/>
                <w:szCs w:val="28"/>
                <w:lang w:val="en-US" w:eastAsia="en-US" w:bidi="ar"/>
              </w:rPr>
              <w:t>公司官网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2</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sz w:val="28"/>
                <w:szCs w:val="28"/>
                <w:lang w:val="en-US" w:eastAsia="en-US" w:bidi="ar"/>
              </w:rPr>
              <w:t xml:space="preserve">AD </w:t>
            </w:r>
            <w:r>
              <w:rPr>
                <w:rFonts w:hint="eastAsia" w:ascii="仿宋" w:hAnsi="仿宋" w:eastAsia="仿宋" w:cs="仿宋"/>
                <w:color w:val="676767"/>
                <w:w w:val="105"/>
                <w:sz w:val="28"/>
                <w:szCs w:val="28"/>
                <w:lang w:val="en-US" w:eastAsia="en-US" w:bidi="ar"/>
              </w:rPr>
              <w:t>域用户认证系统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zh-CN" w:bidi="ar"/>
              </w:rPr>
              <w:t>公司所有信息系统账号认证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3</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05"/>
                <w:sz w:val="28"/>
                <w:szCs w:val="28"/>
                <w:lang w:val="en-US" w:eastAsia="zh-CN" w:bidi="ar"/>
              </w:rPr>
              <w:t>大学城客户服务管理系统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zh-CN" w:bidi="ar"/>
              </w:rPr>
              <w:t>公司对外冷热水维保业务报障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4</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en-US" w:bidi="ar"/>
              </w:rPr>
              <w:t>数据备份及交换系统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en-US" w:bidi="ar"/>
              </w:rPr>
              <w:t>数据备份共享和交换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5</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sz w:val="28"/>
                <w:szCs w:val="28"/>
                <w:lang w:val="en-US" w:eastAsia="zh-CN" w:bidi="ar"/>
              </w:rPr>
              <w:t>门禁考勤系统及 KMS 服务</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sz w:val="28"/>
                <w:szCs w:val="28"/>
                <w:lang w:val="en-US" w:eastAsia="zh-CN" w:bidi="ar"/>
              </w:rPr>
              <w:t>公司门禁、考勤、KMS 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6</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en-US" w:bidi="ar"/>
              </w:rPr>
              <w:t>电子视频监控系统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05"/>
                <w:sz w:val="28"/>
                <w:szCs w:val="28"/>
                <w:lang w:val="en-US" w:eastAsia="en-US" w:bidi="ar"/>
              </w:rPr>
              <w:t>9</w:t>
            </w:r>
            <w:r>
              <w:rPr>
                <w:rFonts w:hint="eastAsia" w:ascii="仿宋" w:hAnsi="仿宋" w:eastAsia="仿宋" w:cs="仿宋"/>
                <w:color w:val="676767"/>
                <w:w w:val="105"/>
                <w:sz w:val="28"/>
                <w:szCs w:val="28"/>
                <w:lang w:val="en-US" w:eastAsia="zh-CN" w:bidi="ar"/>
              </w:rPr>
              <w:t>、10</w:t>
            </w:r>
            <w:r>
              <w:rPr>
                <w:rFonts w:hint="eastAsia" w:ascii="仿宋" w:hAnsi="仿宋" w:eastAsia="仿宋" w:cs="仿宋"/>
                <w:color w:val="676767"/>
                <w:w w:val="105"/>
                <w:sz w:val="28"/>
                <w:szCs w:val="28"/>
                <w:lang w:val="en-US" w:eastAsia="en-US" w:bidi="ar"/>
              </w:rPr>
              <w:t>楼视频监控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7</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sz w:val="28"/>
                <w:szCs w:val="28"/>
                <w:lang w:val="en-US" w:eastAsia="zh-CN" w:bidi="ar"/>
              </w:rPr>
              <w:t>计费系统（用户侧设备状态、冷费冷站计量）</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zh-CN" w:bidi="ar"/>
              </w:rPr>
              <w:t>用户侧末端计费计量数据统计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8</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676767"/>
                <w:sz w:val="28"/>
                <w:szCs w:val="28"/>
                <w:lang w:val="en-US" w:eastAsia="zh-CN" w:bidi="ar"/>
              </w:rPr>
            </w:pPr>
            <w:r>
              <w:rPr>
                <w:rFonts w:hint="eastAsia" w:ascii="仿宋" w:hAnsi="仿宋" w:eastAsia="仿宋" w:cs="仿宋"/>
                <w:color w:val="676767"/>
                <w:w w:val="110"/>
                <w:sz w:val="28"/>
                <w:szCs w:val="28"/>
                <w:lang w:val="en-US" w:eastAsia="en-US" w:bidi="ar"/>
              </w:rPr>
              <w:t>各冷站数据监测系统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en-US" w:bidi="ar"/>
              </w:rPr>
              <w:t>各冷站数据监测统计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9</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676767"/>
                <w:w w:val="110"/>
                <w:sz w:val="28"/>
                <w:szCs w:val="28"/>
                <w:lang w:val="en-US" w:eastAsia="en-US" w:bidi="ar"/>
              </w:rPr>
            </w:pPr>
            <w:r>
              <w:rPr>
                <w:rFonts w:hint="eastAsia" w:ascii="仿宋" w:hAnsi="仿宋" w:eastAsia="仿宋" w:cs="仿宋"/>
                <w:color w:val="676767"/>
                <w:w w:val="110"/>
                <w:sz w:val="28"/>
                <w:szCs w:val="28"/>
                <w:lang w:val="en-US" w:eastAsia="en-US" w:bidi="ar"/>
              </w:rPr>
              <w:t>热水监测系统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en-US" w:bidi="ar"/>
              </w:rPr>
              <w:t>公司热站数据监测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10</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676767"/>
                <w:w w:val="110"/>
                <w:sz w:val="28"/>
                <w:szCs w:val="28"/>
                <w:lang w:val="en-US" w:eastAsia="en-US" w:bidi="ar"/>
              </w:rPr>
            </w:pPr>
            <w:r>
              <w:rPr>
                <w:rFonts w:hint="eastAsia" w:ascii="仿宋" w:hAnsi="仿宋" w:eastAsia="仿宋" w:cs="仿宋"/>
                <w:color w:val="676767"/>
                <w:w w:val="110"/>
                <w:sz w:val="28"/>
                <w:szCs w:val="28"/>
                <w:lang w:val="en-US" w:eastAsia="en-US" w:bidi="ar"/>
              </w:rPr>
              <w:t>网络电话中继系统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676767"/>
                <w:w w:val="110"/>
                <w:sz w:val="28"/>
                <w:szCs w:val="28"/>
                <w:lang w:val="en-US" w:eastAsia="zh-CN" w:bidi="ar"/>
              </w:rPr>
              <w:t>城投综合能源公司</w:t>
            </w:r>
            <w:r>
              <w:rPr>
                <w:rFonts w:hint="eastAsia" w:ascii="仿宋" w:hAnsi="仿宋" w:eastAsia="仿宋" w:cs="仿宋"/>
                <w:color w:val="676767"/>
                <w:w w:val="110"/>
                <w:sz w:val="28"/>
                <w:szCs w:val="28"/>
                <w:lang w:val="en-US" w:eastAsia="en-US" w:bidi="ar"/>
              </w:rPr>
              <w:t>固话网络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11</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default" w:ascii="仿宋" w:hAnsi="仿宋" w:eastAsia="仿宋" w:cs="仿宋"/>
                <w:color w:val="676767"/>
                <w:w w:val="110"/>
                <w:sz w:val="28"/>
                <w:szCs w:val="28"/>
                <w:lang w:val="en-US" w:eastAsia="zh-CN" w:bidi="ar"/>
              </w:rPr>
            </w:pPr>
            <w:r>
              <w:rPr>
                <w:rFonts w:hint="eastAsia" w:ascii="仿宋" w:hAnsi="仿宋" w:eastAsia="仿宋" w:cs="仿宋"/>
                <w:color w:val="676767"/>
                <w:w w:val="110"/>
                <w:sz w:val="28"/>
                <w:szCs w:val="28"/>
                <w:lang w:val="en-US" w:eastAsia="zh-CN" w:bidi="ar"/>
              </w:rPr>
              <w:t>OA系统</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default" w:ascii="仿宋" w:hAnsi="仿宋" w:eastAsia="仿宋" w:cs="仿宋"/>
                <w:color w:val="676767"/>
                <w:w w:val="110"/>
                <w:sz w:val="28"/>
                <w:szCs w:val="28"/>
                <w:lang w:val="en-US" w:eastAsia="zh-CN" w:bidi="ar"/>
              </w:rPr>
            </w:pPr>
            <w:r>
              <w:rPr>
                <w:rFonts w:hint="eastAsia" w:ascii="仿宋" w:hAnsi="仿宋" w:eastAsia="仿宋" w:cs="仿宋"/>
                <w:color w:val="676767"/>
                <w:w w:val="110"/>
                <w:sz w:val="28"/>
                <w:szCs w:val="28"/>
                <w:lang w:val="en-US" w:eastAsia="zh-CN" w:bidi="ar"/>
              </w:rPr>
              <w:t>公司办公系统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default" w:ascii="仿宋" w:hAnsi="仿宋" w:eastAsia="仿宋" w:cs="仿宋"/>
                <w:bCs/>
                <w:color w:val="auto"/>
                <w:kern w:val="0"/>
                <w:sz w:val="28"/>
                <w:szCs w:val="28"/>
                <w:vertAlign w:val="baseline"/>
                <w:lang w:val="en-US" w:eastAsia="zh-CN"/>
              </w:rPr>
            </w:pPr>
            <w:r>
              <w:rPr>
                <w:rFonts w:hint="eastAsia" w:ascii="仿宋" w:hAnsi="仿宋" w:eastAsia="仿宋" w:cs="仿宋"/>
                <w:bCs/>
                <w:color w:val="auto"/>
                <w:kern w:val="0"/>
                <w:sz w:val="28"/>
                <w:szCs w:val="28"/>
                <w:vertAlign w:val="baseline"/>
                <w:lang w:val="en-US" w:eastAsia="zh-CN"/>
              </w:rPr>
              <w:t>12</w:t>
            </w:r>
          </w:p>
        </w:tc>
        <w:tc>
          <w:tcPr>
            <w:tcW w:w="312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676767"/>
                <w:w w:val="110"/>
                <w:sz w:val="28"/>
                <w:szCs w:val="28"/>
                <w:lang w:val="en-US" w:eastAsia="zh-CN" w:bidi="ar"/>
              </w:rPr>
            </w:pPr>
            <w:r>
              <w:rPr>
                <w:rFonts w:hint="eastAsia" w:ascii="仿宋" w:hAnsi="仿宋" w:eastAsia="仿宋" w:cs="仿宋"/>
                <w:color w:val="676767"/>
                <w:w w:val="110"/>
                <w:sz w:val="28"/>
                <w:szCs w:val="28"/>
                <w:lang w:val="en-US" w:eastAsia="zh-CN" w:bidi="ar"/>
              </w:rPr>
              <w:t>杀毒软件服务器</w:t>
            </w:r>
          </w:p>
        </w:tc>
        <w:tc>
          <w:tcPr>
            <w:tcW w:w="915"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1套</w:t>
            </w:r>
          </w:p>
        </w:tc>
        <w:tc>
          <w:tcPr>
            <w:tcW w:w="3570" w:type="dxa"/>
            <w:vAlign w:val="center"/>
          </w:tcPr>
          <w:p>
            <w:pPr>
              <w:pStyle w:val="25"/>
              <w:keepNext w:val="0"/>
              <w:keepLines w:val="0"/>
              <w:numPr>
                <w:ilvl w:val="0"/>
                <w:numId w:val="0"/>
              </w:numPr>
              <w:suppressLineNumbers w:val="0"/>
              <w:snapToGrid w:val="0"/>
              <w:spacing w:before="0" w:beforeAutospacing="0" w:after="0" w:afterAutospacing="0" w:line="580" w:lineRule="exact"/>
              <w:ind w:left="0" w:leftChars="0" w:right="0" w:rightChars="0" w:firstLine="0" w:firstLineChars="0"/>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杀毒软件</w:t>
            </w:r>
          </w:p>
        </w:tc>
      </w:tr>
    </w:tbl>
    <w:p>
      <w:pPr>
        <w:pStyle w:val="7"/>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附件3：网络安全、应用系统服务评分考核表</w:t>
      </w:r>
    </w:p>
    <w:tbl>
      <w:tblPr>
        <w:tblStyle w:val="15"/>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959"/>
        <w:gridCol w:w="1904"/>
        <w:gridCol w:w="1004"/>
        <w:gridCol w:w="2114"/>
        <w:gridCol w:w="1124"/>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序号</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考核指标</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权重</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评分标准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得分</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故障处理</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对问题反馈响应及时</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响应事件小于1小时不扣分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处理事件效率</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15</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8小时内或按要求时间内完成不扣分，超时完成，每1次扣1分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处理事件效果</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15</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完全处理问题不扣分，未能完全解决问题每次扣0.5分，未能完成每次扣1分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网络系统服务器设备管理</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网络系统设备数据备份完整性</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每次检查有不完整现象扣4分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关键网络设备与服务器巡检（如漏洞、病毒库更新等）服务的完整性</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每月巡检超期少于15天不扣分，滞后两天扣1分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网络系统安全管理</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网络、系统安全事件发生次数</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每月少于1次不扣分，每增加一次扣4分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网络、系统服务正常运行情况</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每季度运行停止少于1次不扣分，每增加一次扣4分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服务管理</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出勤次数</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按照合同规定出勤，每少一次扣一分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主动及时跟进日常维护及提供相关报告</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相关报表超期少于20天不扣分，滞后3天扣1分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8"/>
                <w:szCs w:val="28"/>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工作态度</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被投诉1次扣1分</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考核说明</w:t>
            </w:r>
          </w:p>
        </w:tc>
        <w:tc>
          <w:tcPr>
            <w:tcW w:w="6858"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总分大于等于90为优；大于等于75，小于90为良；大于等于60小于75为一般；小于60为差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考核结果</w:t>
            </w:r>
          </w:p>
        </w:tc>
        <w:tc>
          <w:tcPr>
            <w:tcW w:w="6858"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被考核方签字</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考核人签字</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审核人签字</w:t>
            </w:r>
          </w:p>
        </w:tc>
        <w:tc>
          <w:tcPr>
            <w:tcW w:w="7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lang w:val="en-US"/>
              </w:rPr>
            </w:pPr>
          </w:p>
        </w:tc>
      </w:tr>
    </w:tbl>
    <w:p>
      <w:pPr>
        <w:pStyle w:val="7"/>
        <w:rPr>
          <w:rFonts w:hint="default" w:ascii="仿宋" w:hAnsi="仿宋" w:eastAsia="仿宋" w:cs="仿宋"/>
          <w:color w:val="auto"/>
          <w:sz w:val="28"/>
          <w:szCs w:val="28"/>
          <w:lang w:val="en-US" w:eastAsia="zh-CN"/>
        </w:rPr>
      </w:pPr>
    </w:p>
    <w:p>
      <w:pPr>
        <w:pStyle w:val="25"/>
        <w:snapToGrid w:val="0"/>
        <w:spacing w:line="580" w:lineRule="exact"/>
        <w:ind w:left="420" w:leftChars="200" w:firstLine="0" w:firstLineChars="0"/>
        <w:rPr>
          <w:rFonts w:ascii="宋体" w:hAnsi="宋体" w:eastAsia="宋体" w:cs="仿宋"/>
          <w:bCs/>
          <w:kern w:val="0"/>
          <w:sz w:val="24"/>
          <w:szCs w:val="24"/>
        </w:rPr>
      </w:pPr>
      <w:bookmarkStart w:id="8" w:name="_GoBack"/>
      <w:bookmarkEnd w:id="8"/>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AD6DD639"/>
    <w:multiLevelType w:val="singleLevel"/>
    <w:tmpl w:val="AD6DD639"/>
    <w:lvl w:ilvl="0" w:tentative="0">
      <w:start w:val="1"/>
      <w:numFmt w:val="chineseCounting"/>
      <w:suff w:val="nothing"/>
      <w:lvlText w:val="（%1）"/>
      <w:lvlJc w:val="left"/>
      <w:pPr>
        <w:ind w:left="0" w:firstLine="420"/>
      </w:pPr>
      <w:rPr>
        <w:rFonts w:hint="eastAsia"/>
      </w:rPr>
    </w:lvl>
  </w:abstractNum>
  <w:abstractNum w:abstractNumId="2">
    <w:nsid w:val="E097C776"/>
    <w:multiLevelType w:val="singleLevel"/>
    <w:tmpl w:val="E097C776"/>
    <w:lvl w:ilvl="0" w:tentative="0">
      <w:start w:val="2"/>
      <w:numFmt w:val="chineseCounting"/>
      <w:suff w:val="nothing"/>
      <w:lvlText w:val="%1、"/>
      <w:lvlJc w:val="left"/>
      <w:rPr>
        <w:rFonts w:hint="eastAsia"/>
      </w:rPr>
    </w:lvl>
  </w:abstractNum>
  <w:abstractNum w:abstractNumId="3">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5"/>
  </w:num>
  <w:num w:numId="2">
    <w:abstractNumId w:val="10"/>
  </w:num>
  <w:num w:numId="3">
    <w:abstractNumId w:val="7"/>
  </w:num>
  <w:num w:numId="4">
    <w:abstractNumId w:val="6"/>
  </w:num>
  <w:num w:numId="5">
    <w:abstractNumId w:val="8"/>
  </w:num>
  <w:num w:numId="6">
    <w:abstractNumId w:val="13"/>
  </w:num>
  <w:num w:numId="7">
    <w:abstractNumId w:val="12"/>
  </w:num>
  <w:num w:numId="8">
    <w:abstractNumId w:val="3"/>
  </w:num>
  <w:num w:numId="9">
    <w:abstractNumId w:val="4"/>
  </w:num>
  <w:num w:numId="10">
    <w:abstractNumId w:val="9"/>
  </w:num>
  <w:num w:numId="11">
    <w:abstractNumId w:val="11"/>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F86316"/>
    <w:rsid w:val="125F0689"/>
    <w:rsid w:val="134E0870"/>
    <w:rsid w:val="158323EE"/>
    <w:rsid w:val="16665289"/>
    <w:rsid w:val="16830367"/>
    <w:rsid w:val="1D833EC6"/>
    <w:rsid w:val="1EA13673"/>
    <w:rsid w:val="23995D5D"/>
    <w:rsid w:val="25A94091"/>
    <w:rsid w:val="28DA0C5E"/>
    <w:rsid w:val="2E724789"/>
    <w:rsid w:val="2EBC3A5E"/>
    <w:rsid w:val="2F857BF3"/>
    <w:rsid w:val="312D0810"/>
    <w:rsid w:val="31767974"/>
    <w:rsid w:val="333A27A9"/>
    <w:rsid w:val="34055FBD"/>
    <w:rsid w:val="34344382"/>
    <w:rsid w:val="36167037"/>
    <w:rsid w:val="36223A49"/>
    <w:rsid w:val="3CA332B6"/>
    <w:rsid w:val="3CCE2345"/>
    <w:rsid w:val="4511201A"/>
    <w:rsid w:val="47F57C03"/>
    <w:rsid w:val="48C42BE8"/>
    <w:rsid w:val="4C1C4AA3"/>
    <w:rsid w:val="4C3105FD"/>
    <w:rsid w:val="4EF9551E"/>
    <w:rsid w:val="5563477D"/>
    <w:rsid w:val="57271F06"/>
    <w:rsid w:val="5BE7336E"/>
    <w:rsid w:val="5BF14CC0"/>
    <w:rsid w:val="5C7B5150"/>
    <w:rsid w:val="5E191EDB"/>
    <w:rsid w:val="5F6D6512"/>
    <w:rsid w:val="601C50E4"/>
    <w:rsid w:val="62E430E9"/>
    <w:rsid w:val="63131AA4"/>
    <w:rsid w:val="691C4326"/>
    <w:rsid w:val="752909C8"/>
    <w:rsid w:val="78A920BF"/>
    <w:rsid w:val="78D6025D"/>
    <w:rsid w:val="7AA10751"/>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Normal Indent"/>
    <w:basedOn w:val="1"/>
    <w:link w:val="31"/>
    <w:qFormat/>
    <w:uiPriority w:val="0"/>
    <w:pPr>
      <w:ind w:firstLine="420"/>
    </w:pPr>
    <w:rPr>
      <w:kern w:val="0"/>
      <w:szCs w:val="20"/>
    </w:rPr>
  </w:style>
  <w:style w:type="paragraph" w:styleId="4">
    <w:name w:val="annotation text"/>
    <w:basedOn w:val="1"/>
    <w:link w:val="27"/>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4"/>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3"/>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26</Pages>
  <Words>8644</Words>
  <Characters>9036</Characters>
  <Lines>55</Lines>
  <Paragraphs>15</Paragraphs>
  <TotalTime>143</TotalTime>
  <ScaleCrop>false</ScaleCrop>
  <LinksUpToDate>false</LinksUpToDate>
  <CharactersWithSpaces>9220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2016-11-01T08:05:00Z</cp:lastPrinted>
  <dcterms:modified xsi:type="dcterms:W3CDTF">2023-04-24T03:39:18Z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3E3C520A988243F6ADADDE0B83D991C7_13</vt:lpwstr>
  </property>
</Properties>
</file>