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b/>
          <w:bCs/>
          <w:sz w:val="28"/>
          <w:szCs w:val="28"/>
        </w:rPr>
      </w:pPr>
      <w:r>
        <w:rPr>
          <w:rFonts w:hint="eastAsia" w:ascii="宋体" w:hAnsi="宋体" w:eastAsia="宋体"/>
          <w:b/>
          <w:bCs/>
          <w:sz w:val="28"/>
          <w:szCs w:val="28"/>
        </w:rPr>
        <w:t>广州</w:t>
      </w:r>
      <w:r>
        <w:rPr>
          <w:rFonts w:hint="eastAsia" w:ascii="宋体" w:hAnsi="宋体"/>
          <w:b/>
          <w:bCs/>
          <w:sz w:val="28"/>
          <w:szCs w:val="28"/>
          <w:lang w:val="en-US" w:eastAsia="zh-CN"/>
        </w:rPr>
        <w:t>大学城能源发展</w:t>
      </w:r>
      <w:r>
        <w:rPr>
          <w:rFonts w:hint="eastAsia" w:ascii="宋体" w:hAnsi="宋体" w:eastAsia="宋体"/>
          <w:b/>
          <w:bCs/>
          <w:sz w:val="28"/>
          <w:szCs w:val="28"/>
        </w:rPr>
        <w:t>有限公司</w:t>
      </w:r>
    </w:p>
    <w:p>
      <w:pPr>
        <w:tabs>
          <w:tab w:val="left" w:pos="720"/>
        </w:tabs>
        <w:spacing w:before="120" w:beforeLines="50" w:after="120" w:afterLines="50" w:line="360" w:lineRule="auto"/>
        <w:jc w:val="center"/>
        <w:rPr>
          <w:b/>
          <w:sz w:val="28"/>
          <w:szCs w:val="28"/>
        </w:rPr>
      </w:pPr>
      <w:r>
        <w:rPr>
          <w:rFonts w:hint="eastAsia" w:ascii="宋体" w:hAnsi="宋体"/>
          <w:b/>
          <w:bCs/>
          <w:sz w:val="28"/>
          <w:szCs w:val="28"/>
          <w:lang w:val="en-US" w:eastAsia="zh-CN"/>
        </w:rPr>
        <w:t>过江隧道北岸竖井周边降水工程</w:t>
      </w:r>
      <w:r>
        <w:rPr>
          <w:rFonts w:hint="eastAsia"/>
          <w:b/>
          <w:sz w:val="28"/>
          <w:szCs w:val="28"/>
        </w:rPr>
        <w:t>竞选文件</w:t>
      </w:r>
    </w:p>
    <w:p>
      <w:pPr>
        <w:numPr>
          <w:ilvl w:val="0"/>
          <w:numId w:val="1"/>
        </w:numPr>
        <w:spacing w:before="120" w:beforeLines="50" w:after="120" w:afterLines="50" w:line="360" w:lineRule="auto"/>
        <w:ind w:left="0" w:firstLine="482" w:firstLineChars="200"/>
        <w:rPr>
          <w:b/>
          <w:bCs/>
          <w:sz w:val="24"/>
        </w:rPr>
      </w:pPr>
      <w:r>
        <w:rPr>
          <w:rFonts w:hint="eastAsia"/>
          <w:b/>
          <w:bCs/>
          <w:sz w:val="24"/>
        </w:rPr>
        <w:t>项目基本情况</w:t>
      </w:r>
    </w:p>
    <w:p>
      <w:pPr>
        <w:pStyle w:val="35"/>
        <w:numPr>
          <w:ilvl w:val="0"/>
          <w:numId w:val="2"/>
        </w:numPr>
        <w:spacing w:line="360" w:lineRule="auto"/>
        <w:ind w:firstLineChars="0"/>
        <w:rPr>
          <w:sz w:val="24"/>
        </w:rPr>
      </w:pPr>
      <w:r>
        <w:rPr>
          <w:rFonts w:hint="eastAsia"/>
          <w:sz w:val="24"/>
        </w:rPr>
        <w:t>项目名称：</w:t>
      </w:r>
      <w:r>
        <w:rPr>
          <w:rFonts w:hint="eastAsia" w:ascii="宋体" w:hAnsi="宋体" w:eastAsia="宋体"/>
          <w:sz w:val="24"/>
          <w:szCs w:val="24"/>
          <w:lang w:val="en-US" w:eastAsia="zh-CN"/>
        </w:rPr>
        <w:t>过江隧道北岸竖井周边降水工程</w:t>
      </w:r>
    </w:p>
    <w:p>
      <w:pPr>
        <w:numPr>
          <w:ilvl w:val="0"/>
          <w:numId w:val="0"/>
        </w:numPr>
        <w:spacing w:before="120" w:beforeLines="50" w:after="120" w:afterLines="50" w:line="360" w:lineRule="auto"/>
        <w:ind w:leftChars="200"/>
        <w:rPr>
          <w:sz w:val="24"/>
        </w:rPr>
      </w:pPr>
      <w:r>
        <w:rPr>
          <w:rFonts w:hint="eastAsia"/>
          <w:sz w:val="24"/>
          <w:lang w:eastAsia="zh-CN"/>
        </w:rPr>
        <w:t>（</w:t>
      </w:r>
      <w:r>
        <w:rPr>
          <w:rFonts w:hint="eastAsia"/>
          <w:sz w:val="24"/>
          <w:lang w:val="en-US" w:eastAsia="zh-CN"/>
        </w:rPr>
        <w:t>二）</w:t>
      </w:r>
      <w:r>
        <w:rPr>
          <w:rFonts w:hint="eastAsia"/>
          <w:sz w:val="24"/>
        </w:rPr>
        <w:t>项目地点：</w:t>
      </w:r>
      <w:r>
        <w:rPr>
          <w:rFonts w:hint="eastAsia"/>
          <w:sz w:val="24"/>
          <w:lang w:val="en-US" w:eastAsia="zh-CN"/>
        </w:rPr>
        <w:t>过江隧道北岸</w:t>
      </w:r>
    </w:p>
    <w:p>
      <w:pPr>
        <w:numPr>
          <w:ilvl w:val="0"/>
          <w:numId w:val="0"/>
        </w:numPr>
        <w:spacing w:before="120" w:beforeLines="50" w:after="120" w:afterLines="50" w:line="360" w:lineRule="auto"/>
        <w:ind w:leftChars="200"/>
        <w:rPr>
          <w:sz w:val="24"/>
        </w:rPr>
      </w:pPr>
      <w:r>
        <w:rPr>
          <w:rFonts w:hint="eastAsia"/>
          <w:sz w:val="24"/>
          <w:lang w:eastAsia="zh-CN"/>
        </w:rPr>
        <w:t>（</w:t>
      </w:r>
      <w:r>
        <w:rPr>
          <w:rFonts w:hint="eastAsia"/>
          <w:sz w:val="24"/>
          <w:lang w:val="en-US" w:eastAsia="zh-CN"/>
        </w:rPr>
        <w:t>三）</w:t>
      </w:r>
      <w:r>
        <w:rPr>
          <w:rFonts w:hint="eastAsia"/>
          <w:sz w:val="24"/>
        </w:rPr>
        <w:t>采购限价：人民币</w:t>
      </w:r>
      <w:r>
        <w:rPr>
          <w:rFonts w:hint="eastAsia"/>
          <w:sz w:val="24"/>
          <w:lang w:val="en-US" w:eastAsia="zh-CN"/>
        </w:rPr>
        <w:t>17</w:t>
      </w:r>
      <w:r>
        <w:rPr>
          <w:rFonts w:hint="eastAsia"/>
          <w:sz w:val="24"/>
        </w:rPr>
        <w:t>万元（投标报价超过采购限价为无效投标）。</w:t>
      </w:r>
    </w:p>
    <w:p>
      <w:pPr>
        <w:numPr>
          <w:ilvl w:val="0"/>
          <w:numId w:val="0"/>
        </w:numPr>
        <w:spacing w:before="120" w:beforeLines="50" w:after="120" w:afterLines="50" w:line="360" w:lineRule="auto"/>
        <w:ind w:leftChars="200"/>
        <w:rPr>
          <w:sz w:val="24"/>
        </w:rPr>
      </w:pPr>
      <w:r>
        <w:rPr>
          <w:rFonts w:hint="eastAsia"/>
          <w:sz w:val="24"/>
          <w:lang w:eastAsia="zh-CN"/>
        </w:rPr>
        <w:t>（</w:t>
      </w:r>
      <w:r>
        <w:rPr>
          <w:rFonts w:hint="eastAsia"/>
          <w:sz w:val="24"/>
          <w:lang w:val="en-US" w:eastAsia="zh-CN"/>
        </w:rPr>
        <w:t>四）</w:t>
      </w:r>
      <w:r>
        <w:rPr>
          <w:rFonts w:hint="eastAsia"/>
          <w:sz w:val="24"/>
        </w:rPr>
        <w:t>项目概况</w:t>
      </w:r>
    </w:p>
    <w:p>
      <w:pPr>
        <w:spacing w:line="360" w:lineRule="auto"/>
        <w:ind w:firstLine="660"/>
        <w:jc w:val="left"/>
        <w:rPr>
          <w:rFonts w:ascii="宋体" w:hAnsi="宋体" w:eastAsia="宋体"/>
          <w:b w:val="0"/>
          <w:bCs w:val="0"/>
          <w:sz w:val="24"/>
          <w:szCs w:val="24"/>
        </w:rPr>
      </w:pPr>
      <w:r>
        <w:rPr>
          <w:rFonts w:hint="eastAsia" w:ascii="宋体" w:hAnsi="宋体" w:eastAsia="宋体"/>
          <w:b w:val="0"/>
          <w:bCs w:val="0"/>
          <w:sz w:val="24"/>
          <w:szCs w:val="24"/>
        </w:rPr>
        <w:t>按采购人提供的竞选文件、工程量清单和图纸等资料，</w:t>
      </w:r>
      <w:r>
        <w:rPr>
          <w:rFonts w:hint="eastAsia" w:ascii="宋体" w:hAnsi="宋体" w:eastAsia="宋体"/>
          <w:b w:val="0"/>
          <w:bCs w:val="0"/>
          <w:sz w:val="24"/>
          <w:szCs w:val="24"/>
          <w:lang w:val="en-US" w:eastAsia="zh-CN"/>
        </w:rPr>
        <w:t>解决过江隧道北岸竖井及通风亭渗水工程，</w:t>
      </w:r>
      <w:r>
        <w:rPr>
          <w:rFonts w:hint="eastAsia" w:ascii="宋体" w:hAnsi="宋体" w:eastAsia="宋体"/>
          <w:b w:val="0"/>
          <w:bCs w:val="0"/>
          <w:sz w:val="24"/>
          <w:szCs w:val="24"/>
        </w:rPr>
        <w:t>具体以竞选文件及相关资料为准。</w:t>
      </w:r>
    </w:p>
    <w:p>
      <w:pPr>
        <w:spacing w:before="120" w:beforeLines="50" w:after="120" w:afterLines="50" w:line="360" w:lineRule="auto"/>
        <w:ind w:firstLine="480" w:firstLineChars="200"/>
        <w:rPr>
          <w:sz w:val="24"/>
        </w:rPr>
      </w:pPr>
      <w:r>
        <w:rPr>
          <w:sz w:val="24"/>
        </w:rPr>
        <w:t>注：</w:t>
      </w:r>
      <w:r>
        <w:rPr>
          <w:rFonts w:hint="eastAsia"/>
          <w:sz w:val="24"/>
        </w:rPr>
        <w:t>本文件中甲方特指采购人，乙方特指中标单位。</w:t>
      </w:r>
    </w:p>
    <w:p>
      <w:pPr>
        <w:numPr>
          <w:ilvl w:val="0"/>
          <w:numId w:val="1"/>
        </w:numPr>
        <w:spacing w:before="120" w:beforeLines="50" w:after="120" w:afterLines="50" w:line="360" w:lineRule="auto"/>
        <w:ind w:left="0" w:firstLine="482" w:firstLineChars="200"/>
        <w:rPr>
          <w:b/>
          <w:bCs/>
          <w:sz w:val="24"/>
        </w:rPr>
      </w:pPr>
      <w:r>
        <w:rPr>
          <w:rFonts w:hint="eastAsia"/>
          <w:b/>
          <w:bCs/>
          <w:sz w:val="24"/>
        </w:rPr>
        <w:t>合格投标人资格要求</w:t>
      </w:r>
    </w:p>
    <w:p>
      <w:pPr>
        <w:pStyle w:val="35"/>
        <w:numPr>
          <w:ilvl w:val="0"/>
          <w:numId w:val="3"/>
        </w:numPr>
        <w:spacing w:line="360" w:lineRule="auto"/>
        <w:ind w:left="0" w:firstLine="560" w:firstLineChars="0"/>
        <w:rPr>
          <w:rFonts w:hint="eastAsia" w:ascii="宋体" w:hAnsi="宋体" w:eastAsia="宋体"/>
          <w:sz w:val="24"/>
          <w:szCs w:val="24"/>
        </w:rPr>
      </w:pPr>
      <w:r>
        <w:rPr>
          <w:rFonts w:hint="eastAsia" w:ascii="宋体" w:hAnsi="宋体" w:eastAsia="宋体"/>
          <w:sz w:val="24"/>
          <w:szCs w:val="24"/>
        </w:rPr>
        <w:t xml:space="preserve">必须是具有独立承担民事责任能力的在中华人民共和国境内注册的法人，具备有效的工商营业执照、企业法人组织机构代码证书、税务登记证书（或三证合一），按国家法律经营。 </w:t>
      </w:r>
    </w:p>
    <w:p>
      <w:pPr>
        <w:pStyle w:val="35"/>
        <w:numPr>
          <w:ilvl w:val="0"/>
          <w:numId w:val="3"/>
        </w:numPr>
        <w:spacing w:line="360" w:lineRule="auto"/>
        <w:ind w:left="0" w:firstLine="560" w:firstLineChars="0"/>
        <w:rPr>
          <w:rFonts w:hint="eastAsia" w:ascii="宋体" w:hAnsi="宋体" w:eastAsia="宋体"/>
          <w:sz w:val="24"/>
          <w:szCs w:val="24"/>
        </w:rPr>
      </w:pPr>
      <w:r>
        <w:rPr>
          <w:rFonts w:hint="eastAsia" w:ascii="宋体" w:hAnsi="宋体" w:eastAsia="宋体"/>
          <w:sz w:val="24"/>
          <w:szCs w:val="24"/>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pPr>
        <w:pStyle w:val="35"/>
        <w:numPr>
          <w:ilvl w:val="0"/>
          <w:numId w:val="3"/>
        </w:numPr>
        <w:spacing w:line="360" w:lineRule="auto"/>
        <w:ind w:left="0" w:firstLine="560" w:firstLineChars="0"/>
        <w:rPr>
          <w:rFonts w:hint="eastAsia" w:ascii="宋体" w:hAnsi="宋体" w:eastAsia="宋体"/>
          <w:sz w:val="24"/>
          <w:szCs w:val="24"/>
        </w:rPr>
      </w:pPr>
      <w:r>
        <w:rPr>
          <w:rFonts w:hint="eastAsia" w:ascii="宋体" w:hAnsi="宋体" w:eastAsia="宋体"/>
          <w:sz w:val="24"/>
          <w:szCs w:val="24"/>
        </w:rPr>
        <w:t>投标人20</w:t>
      </w:r>
      <w:r>
        <w:rPr>
          <w:rFonts w:hint="eastAsia" w:ascii="宋体" w:hAnsi="宋体" w:eastAsia="宋体"/>
          <w:sz w:val="24"/>
          <w:szCs w:val="24"/>
          <w:lang w:val="en-US" w:eastAsia="zh-CN"/>
        </w:rPr>
        <w:t>20</w:t>
      </w:r>
      <w:r>
        <w:rPr>
          <w:rFonts w:hint="eastAsia" w:ascii="宋体" w:hAnsi="宋体" w:eastAsia="宋体"/>
          <w:sz w:val="24"/>
          <w:szCs w:val="24"/>
        </w:rPr>
        <w:t>年1月1日至今完成过质量合格的类似项目业绩（需提供合同和验收报告等相关证明材料复印件，完成时间以竣工验收时间为准）</w:t>
      </w:r>
      <w:r>
        <w:rPr>
          <w:rFonts w:hint="eastAsia" w:ascii="宋体" w:hAnsi="宋体" w:eastAsia="宋体"/>
          <w:sz w:val="24"/>
          <w:szCs w:val="24"/>
          <w:lang w:eastAsia="zh-CN"/>
        </w:rPr>
        <w:t>。</w:t>
      </w:r>
    </w:p>
    <w:p>
      <w:pPr>
        <w:pStyle w:val="35"/>
        <w:numPr>
          <w:ilvl w:val="0"/>
          <w:numId w:val="3"/>
        </w:numPr>
        <w:spacing w:line="360" w:lineRule="auto"/>
        <w:ind w:firstLineChars="0"/>
        <w:rPr>
          <w:rFonts w:hint="eastAsia" w:ascii="宋体" w:hAnsi="宋体" w:eastAsia="宋体"/>
          <w:sz w:val="24"/>
          <w:szCs w:val="24"/>
        </w:rPr>
      </w:pPr>
      <w:r>
        <w:rPr>
          <w:rFonts w:hint="eastAsia" w:ascii="宋体" w:hAnsi="宋体" w:eastAsia="宋体"/>
          <w:sz w:val="24"/>
          <w:szCs w:val="24"/>
        </w:rPr>
        <w:t>具备</w:t>
      </w:r>
      <w:r>
        <w:rPr>
          <w:rFonts w:hint="eastAsia" w:ascii="宋体" w:hAnsi="宋体" w:eastAsia="宋体"/>
          <w:sz w:val="24"/>
          <w:szCs w:val="24"/>
          <w:lang w:val="en-US" w:eastAsia="zh-CN"/>
        </w:rPr>
        <w:t>以下资质之一：</w:t>
      </w:r>
    </w:p>
    <w:p>
      <w:pPr>
        <w:pStyle w:val="35"/>
        <w:numPr>
          <w:ilvl w:val="0"/>
          <w:numId w:val="4"/>
        </w:numPr>
        <w:spacing w:line="360" w:lineRule="auto"/>
        <w:ind w:left="420" w:leftChars="0" w:firstLineChars="0"/>
        <w:rPr>
          <w:rFonts w:hint="eastAsia" w:ascii="宋体" w:hAnsi="宋体" w:eastAsia="宋体"/>
          <w:sz w:val="24"/>
          <w:szCs w:val="24"/>
          <w:lang w:eastAsia="zh-CN"/>
        </w:rPr>
      </w:pPr>
      <w:r>
        <w:rPr>
          <w:rFonts w:hint="eastAsia" w:ascii="宋体" w:hAnsi="宋体" w:eastAsia="宋体"/>
          <w:sz w:val="24"/>
          <w:szCs w:val="24"/>
          <w:lang w:val="en-US" w:eastAsia="zh-CN"/>
        </w:rPr>
        <w:t>建筑工程施工总承包三级资质或以上资质。</w:t>
      </w:r>
    </w:p>
    <w:p>
      <w:pPr>
        <w:pStyle w:val="35"/>
        <w:numPr>
          <w:ilvl w:val="0"/>
          <w:numId w:val="0"/>
        </w:numPr>
        <w:spacing w:line="360" w:lineRule="auto"/>
        <w:ind w:left="560" w:leftChars="0" w:firstLine="240" w:firstLineChars="100"/>
        <w:rPr>
          <w:rFonts w:hint="eastAsia" w:ascii="宋体" w:hAnsi="宋体" w:eastAsia="宋体"/>
          <w:sz w:val="24"/>
          <w:szCs w:val="24"/>
        </w:rPr>
      </w:pPr>
      <w:r>
        <w:rPr>
          <w:rFonts w:hint="eastAsia" w:ascii="宋体" w:hAnsi="宋体" w:eastAsia="宋体"/>
          <w:sz w:val="24"/>
          <w:szCs w:val="24"/>
          <w:lang w:val="en-US" w:eastAsia="zh-CN"/>
        </w:rPr>
        <w:t>2、建筑装修装饰工程专业承包资质二级或以上资质。</w:t>
      </w:r>
    </w:p>
    <w:p>
      <w:pPr>
        <w:pStyle w:val="35"/>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不接受联合体报价。</w:t>
      </w:r>
    </w:p>
    <w:p>
      <w:pPr>
        <w:numPr>
          <w:ilvl w:val="0"/>
          <w:numId w:val="1"/>
        </w:numPr>
        <w:spacing w:before="120" w:beforeLines="50" w:after="120" w:afterLines="50" w:line="360" w:lineRule="auto"/>
        <w:ind w:left="0" w:firstLine="482" w:firstLineChars="200"/>
        <w:rPr>
          <w:rFonts w:hint="eastAsia"/>
          <w:b/>
          <w:bCs/>
          <w:sz w:val="24"/>
          <w:lang w:val="en-US" w:eastAsia="zh-CN"/>
        </w:rPr>
      </w:pPr>
      <w:r>
        <w:rPr>
          <w:rFonts w:hint="eastAsia"/>
          <w:b/>
          <w:bCs/>
          <w:sz w:val="24"/>
        </w:rPr>
        <w:t>项目内容</w:t>
      </w:r>
    </w:p>
    <w:p>
      <w:pPr>
        <w:numPr>
          <w:ilvl w:val="0"/>
          <w:numId w:val="0"/>
        </w:numPr>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东西南三侧排水明沟（开挖）。排水明沟需要做挡土墙，外墙与竖井顶板交界处深1.6m，排水沟深度1.9m，开挖深度2.2m（8cm垫层+20cm混凝土）,挡土墙高度2.1m，四周长度共约60m；高压电缆深3.05m，建议集水井深度4m（放坡开挖）。</w:t>
      </w:r>
    </w:p>
    <w:p>
      <w:pPr>
        <w:numPr>
          <w:ilvl w:val="0"/>
          <w:numId w:val="0"/>
        </w:numPr>
        <w:jc w:val="center"/>
        <w:rPr>
          <w:rFonts w:hint="eastAsia" w:ascii="宋体" w:hAnsi="宋体" w:eastAsia="宋体" w:cs="宋体"/>
          <w:color w:val="000000"/>
          <w:sz w:val="24"/>
          <w:szCs w:val="24"/>
          <w:lang w:val="en-US" w:eastAsia="zh-CN"/>
        </w:rPr>
      </w:pPr>
      <w:r>
        <w:rPr>
          <w:rFonts w:hint="eastAsia" w:ascii="宋体" w:hAnsi="宋体" w:eastAsia="宋体" w:cs="宋体"/>
          <w:sz w:val="24"/>
          <w:szCs w:val="24"/>
        </w:rPr>
        <w:drawing>
          <wp:inline distT="0" distB="0" distL="114300" distR="114300">
            <wp:extent cx="1657350" cy="2072005"/>
            <wp:effectExtent l="0" t="0" r="0" b="444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4"/>
                    <a:stretch>
                      <a:fillRect/>
                    </a:stretch>
                  </pic:blipFill>
                  <pic:spPr>
                    <a:xfrm>
                      <a:off x="0" y="0"/>
                      <a:ext cx="1657350" cy="207200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647190" cy="2095500"/>
            <wp:effectExtent l="0" t="0" r="10160" b="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5"/>
                    <a:stretch>
                      <a:fillRect/>
                    </a:stretch>
                  </pic:blipFill>
                  <pic:spPr>
                    <a:xfrm>
                      <a:off x="0" y="0"/>
                      <a:ext cx="1647190" cy="209550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551940" cy="2075815"/>
            <wp:effectExtent l="0" t="0" r="10160" b="63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6"/>
                    <a:stretch>
                      <a:fillRect/>
                    </a:stretch>
                  </pic:blipFill>
                  <pic:spPr>
                    <a:xfrm>
                      <a:off x="0" y="0"/>
                      <a:ext cx="1551940" cy="2075815"/>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排水明沟大致位置</w:t>
      </w:r>
    </w:p>
    <w:p>
      <w:pPr>
        <w:numPr>
          <w:ilvl w:val="0"/>
          <w:numId w:val="0"/>
        </w:numPr>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0500" cy="4406900"/>
            <wp:effectExtent l="0" t="0" r="6350" b="1270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7"/>
                    <a:stretch>
                      <a:fillRect/>
                    </a:stretch>
                  </pic:blipFill>
                  <pic:spPr>
                    <a:xfrm>
                      <a:off x="0" y="0"/>
                      <a:ext cx="5270500" cy="4406900"/>
                    </a:xfrm>
                    <a:prstGeom prst="rect">
                      <a:avLst/>
                    </a:prstGeom>
                    <a:noFill/>
                    <a:ln>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排水沟平面图</w:t>
      </w:r>
    </w:p>
    <w:p>
      <w:pPr>
        <w:numPr>
          <w:ilvl w:val="0"/>
          <w:numId w:val="0"/>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2、排水沟详图</w:t>
      </w:r>
    </w:p>
    <w:p>
      <w:pPr>
        <w:numPr>
          <w:ilvl w:val="0"/>
          <w:numId w:val="0"/>
        </w:numPr>
        <w:jc w:val="center"/>
        <w:rPr>
          <w:rFonts w:hint="eastAsia" w:ascii="宋体" w:hAnsi="宋体" w:eastAsia="宋体" w:cs="宋体"/>
          <w:color w:val="FF0000"/>
          <w:sz w:val="24"/>
          <w:szCs w:val="24"/>
          <w:lang w:val="en-US" w:eastAsia="zh-CN"/>
        </w:rPr>
      </w:pPr>
      <w:r>
        <w:rPr>
          <w:rFonts w:hint="eastAsia" w:ascii="宋体" w:hAnsi="宋体" w:eastAsia="宋体" w:cs="宋体"/>
          <w:sz w:val="24"/>
          <w:szCs w:val="24"/>
        </w:rPr>
        <w:drawing>
          <wp:inline distT="0" distB="0" distL="114300" distR="114300">
            <wp:extent cx="5262880" cy="3555365"/>
            <wp:effectExtent l="0" t="0" r="13970" b="698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8"/>
                    <a:stretch>
                      <a:fillRect/>
                    </a:stretch>
                  </pic:blipFill>
                  <pic:spPr>
                    <a:xfrm>
                      <a:off x="0" y="0"/>
                      <a:ext cx="5262880" cy="3555365"/>
                    </a:xfrm>
                    <a:prstGeom prst="rect">
                      <a:avLst/>
                    </a:prstGeom>
                    <a:noFill/>
                    <a:ln>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放坡开挖剖面图</w:t>
      </w:r>
    </w:p>
    <w:p>
      <w:pPr>
        <w:numPr>
          <w:ilvl w:val="0"/>
          <w:numId w:val="0"/>
        </w:numPr>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5420" cy="3850640"/>
            <wp:effectExtent l="0" t="0" r="11430" b="1651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9"/>
                    <a:stretch>
                      <a:fillRect/>
                    </a:stretch>
                  </pic:blipFill>
                  <pic:spPr>
                    <a:xfrm>
                      <a:off x="0" y="0"/>
                      <a:ext cx="5265420" cy="3850640"/>
                    </a:xfrm>
                    <a:prstGeom prst="rect">
                      <a:avLst/>
                    </a:prstGeom>
                    <a:noFill/>
                    <a:ln>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排水沟（挡土墙）大样图</w:t>
      </w:r>
    </w:p>
    <w:p>
      <w:pPr>
        <w:numPr>
          <w:ilvl w:val="0"/>
          <w:numId w:val="0"/>
        </w:numPr>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挡土墙钢筋混凝土参数。基本参数：混凝土强度等级C30，靠土体侧混凝土保护层最小厚度为50mm（其余不少于30mm），防水混凝土设计抗渗等级P6,垫层混凝土强度等级不应小于C15，厚度不应小于100mm,钢筋选用HRB400级热轧钢筋。钢盖板的面板宜用花纹钢板或采取其他防滑措施。配筋依据挡土墙大样图尺寸，按照钢筋混凝土地沟详图配筋布置</w:t>
      </w:r>
    </w:p>
    <w:p>
      <w:pPr>
        <w:numPr>
          <w:ilvl w:val="0"/>
          <w:numId w:val="0"/>
        </w:numPr>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600325" cy="2948305"/>
            <wp:effectExtent l="0" t="0" r="9525" b="4445"/>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10"/>
                    <a:stretch>
                      <a:fillRect/>
                    </a:stretch>
                  </pic:blipFill>
                  <pic:spPr>
                    <a:xfrm>
                      <a:off x="0" y="0"/>
                      <a:ext cx="2600325" cy="294830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4378960" cy="1258570"/>
            <wp:effectExtent l="0" t="0" r="2540" b="1778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11"/>
                    <a:stretch>
                      <a:fillRect/>
                    </a:stretch>
                  </pic:blipFill>
                  <pic:spPr>
                    <a:xfrm>
                      <a:off x="0" y="0"/>
                      <a:ext cx="4378960" cy="1258570"/>
                    </a:xfrm>
                    <a:prstGeom prst="rect">
                      <a:avLst/>
                    </a:prstGeom>
                    <a:noFill/>
                    <a:ln>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钢筋布置参数（供参考）</w:t>
      </w:r>
    </w:p>
    <w:p>
      <w:pPr>
        <w:numPr>
          <w:ilvl w:val="0"/>
          <w:numId w:val="0"/>
        </w:numPr>
        <w:ind w:firstLine="480" w:firstLineChars="2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集水井参数。该集水井深4m，参考图集如下。井深2m-4m处内壁无需抹防水砂浆，外围填铺透水细石材料，井外水渗透至井内。集水井砖砌部位环形10cm垫层，集水井内单独制作圆形混凝土板，避免水流冲刷。其余参考图集</w:t>
      </w:r>
    </w:p>
    <w:p>
      <w:pPr>
        <w:numPr>
          <w:ilvl w:val="0"/>
          <w:numId w:val="0"/>
        </w:numPr>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0340" cy="3669665"/>
            <wp:effectExtent l="0" t="0" r="16510" b="698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12"/>
                    <a:stretch>
                      <a:fillRect/>
                    </a:stretch>
                  </pic:blipFill>
                  <pic:spPr>
                    <a:xfrm>
                      <a:off x="0" y="0"/>
                      <a:ext cx="5260340" cy="3669665"/>
                    </a:xfrm>
                    <a:prstGeom prst="rect">
                      <a:avLst/>
                    </a:prstGeom>
                    <a:noFill/>
                    <a:ln>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集水井图集</w:t>
      </w:r>
    </w:p>
    <w:p>
      <w:pPr>
        <w:numPr>
          <w:ilvl w:val="0"/>
          <w:numId w:val="0"/>
        </w:numPr>
        <w:ind w:firstLine="480" w:firstLineChars="2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5、水沟盖板。单个尺寸600*300，定制。</w:t>
      </w:r>
    </w:p>
    <w:p>
      <w:pPr>
        <w:numPr>
          <w:ilvl w:val="0"/>
          <w:numId w:val="0"/>
        </w:numPr>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080385" cy="1943735"/>
            <wp:effectExtent l="0" t="0" r="5715" b="1841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13"/>
                    <a:stretch>
                      <a:fillRect/>
                    </a:stretch>
                  </pic:blipFill>
                  <pic:spPr>
                    <a:xfrm>
                      <a:off x="0" y="0"/>
                      <a:ext cx="3080385" cy="194373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3086100" cy="1517650"/>
            <wp:effectExtent l="0" t="0" r="0" b="635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14"/>
                    <a:stretch>
                      <a:fillRect/>
                    </a:stretch>
                  </pic:blipFill>
                  <pic:spPr>
                    <a:xfrm>
                      <a:off x="0" y="0"/>
                      <a:ext cx="3086100" cy="1517650"/>
                    </a:xfrm>
                    <a:prstGeom prst="rect">
                      <a:avLst/>
                    </a:prstGeom>
                    <a:noFill/>
                    <a:ln>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盖板供参考</w:t>
      </w:r>
    </w:p>
    <w:p>
      <w:pPr>
        <w:numPr>
          <w:ilvl w:val="0"/>
          <w:numId w:val="0"/>
        </w:numPr>
        <w:ind w:firstLine="480" w:firstLineChars="2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6、潜水泵。采用肯富来品牌</w:t>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811145" cy="3748405"/>
            <wp:effectExtent l="0" t="0" r="4445" b="8255"/>
            <wp:docPr id="49" name="图片 22" descr="ed572580915bbdf151aa5bcc83a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descr="ed572580915bbdf151aa5bcc83a6809"/>
                    <pic:cNvPicPr>
                      <a:picLocks noChangeAspect="1"/>
                    </pic:cNvPicPr>
                  </pic:nvPicPr>
                  <pic:blipFill>
                    <a:blip r:embed="rId15"/>
                    <a:stretch>
                      <a:fillRect/>
                    </a:stretch>
                  </pic:blipFill>
                  <pic:spPr>
                    <a:xfrm rot="5400000">
                      <a:off x="0" y="0"/>
                      <a:ext cx="2811145" cy="3748405"/>
                    </a:xfrm>
                    <a:prstGeom prst="rect">
                      <a:avLst/>
                    </a:prstGeom>
                    <a:noFill/>
                    <a:ln>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潜水泵供参考</w:t>
      </w:r>
    </w:p>
    <w:p>
      <w:pPr>
        <w:numPr>
          <w:ilvl w:val="0"/>
          <w:numId w:val="0"/>
        </w:numPr>
        <w:spacing w:before="120" w:beforeLines="50" w:after="120" w:afterLines="50" w:line="360" w:lineRule="auto"/>
        <w:ind w:leftChars="200"/>
        <w:rPr>
          <w:rFonts w:hint="eastAsia" w:ascii="宋体" w:hAnsi="宋体" w:eastAsia="宋体" w:cs="宋体"/>
          <w:b/>
          <w:bCs/>
          <w:sz w:val="24"/>
          <w:szCs w:val="24"/>
          <w:lang w:val="en-US" w:eastAsia="zh-CN"/>
        </w:rPr>
      </w:pP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工程量及材料说明</w:t>
      </w:r>
    </w:p>
    <w:p>
      <w:pPr>
        <w:numPr>
          <w:ilvl w:val="0"/>
          <w:numId w:val="5"/>
        </w:numPr>
        <w:spacing w:before="120" w:beforeLines="50" w:after="120" w:afterLines="50" w:line="360" w:lineRule="auto"/>
        <w:ind w:firstLine="482" w:firstLineChars="200"/>
        <w:rPr>
          <w:rFonts w:hint="eastAsia" w:ascii="宋体" w:hAnsi="宋体"/>
          <w:b/>
          <w:sz w:val="24"/>
          <w:lang w:val="en-US" w:eastAsia="zh-CN"/>
        </w:rPr>
      </w:pPr>
      <w:r>
        <w:rPr>
          <w:rFonts w:hint="eastAsia" w:ascii="宋体" w:hAnsi="宋体"/>
          <w:b/>
          <w:sz w:val="24"/>
          <w:lang w:val="en-US" w:eastAsia="zh-CN"/>
        </w:rPr>
        <w:t>工程量</w:t>
      </w:r>
    </w:p>
    <w:p>
      <w:pPr>
        <w:numPr>
          <w:ilvl w:val="0"/>
          <w:numId w:val="0"/>
        </w:numPr>
        <w:spacing w:before="120" w:beforeLines="50" w:after="120" w:afterLines="50" w:line="360" w:lineRule="auto"/>
        <w:ind w:firstLine="480" w:firstLineChars="200"/>
        <w:rPr>
          <w:rFonts w:hint="eastAsia" w:ascii="宋体" w:hAnsi="宋体"/>
          <w:sz w:val="24"/>
        </w:rPr>
      </w:pPr>
      <w:r>
        <w:rPr>
          <w:rFonts w:hint="eastAsia" w:ascii="宋体" w:hAnsi="宋体"/>
          <w:sz w:val="24"/>
        </w:rPr>
        <w:t>以下工程量仅作参考，本项目由投标人包工包料（注明甲供材料除外），投标人勘踏现场后，应根据下表及结合现场实际情况综合考虑再进行报价。</w:t>
      </w:r>
    </w:p>
    <w:tbl>
      <w:tblPr>
        <w:tblStyle w:val="17"/>
        <w:tblpPr w:leftFromText="180" w:rightFromText="180" w:vertAnchor="text" w:horzAnchor="page" w:tblpXSpec="center" w:tblpY="212"/>
        <w:tblOverlap w:val="never"/>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889"/>
        <w:gridCol w:w="4474"/>
        <w:gridCol w:w="962"/>
        <w:gridCol w:w="97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6"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bidi="ar"/>
              </w:rPr>
              <w:t>序号</w:t>
            </w:r>
          </w:p>
        </w:tc>
        <w:tc>
          <w:tcPr>
            <w:tcW w:w="889"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项目名称</w:t>
            </w:r>
          </w:p>
        </w:tc>
        <w:tc>
          <w:tcPr>
            <w:tcW w:w="4474"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项目特征</w:t>
            </w:r>
          </w:p>
        </w:tc>
        <w:tc>
          <w:tcPr>
            <w:tcW w:w="96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计量单位</w:t>
            </w:r>
          </w:p>
        </w:tc>
        <w:tc>
          <w:tcPr>
            <w:tcW w:w="977"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val="en-US" w:eastAsia="zh-CN" w:bidi="ar"/>
              </w:rPr>
              <w:t>原</w:t>
            </w:r>
            <w:r>
              <w:rPr>
                <w:rFonts w:hint="eastAsia" w:ascii="宋体" w:hAnsi="宋体" w:cs="宋体"/>
                <w:color w:val="000000"/>
                <w:kern w:val="0"/>
                <w:sz w:val="24"/>
                <w:szCs w:val="24"/>
                <w:lang w:bidi="ar"/>
              </w:rPr>
              <w:t>工程量</w:t>
            </w:r>
          </w:p>
        </w:tc>
        <w:tc>
          <w:tcPr>
            <w:tcW w:w="977" w:type="dxa"/>
            <w:noWrap w:val="0"/>
            <w:vAlign w:val="center"/>
          </w:tcPr>
          <w:p>
            <w:pPr>
              <w:widowControl/>
              <w:spacing w:line="0" w:lineRule="atLeast"/>
              <w:jc w:val="left"/>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1</w:t>
            </w:r>
          </w:p>
        </w:tc>
        <w:tc>
          <w:tcPr>
            <w:tcW w:w="889"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地表清理</w:t>
            </w:r>
          </w:p>
        </w:tc>
        <w:tc>
          <w:tcPr>
            <w:tcW w:w="4474"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1、根据施工需要，清理地表杂草、枯枝等</w:t>
            </w:r>
          </w:p>
        </w:tc>
        <w:tc>
          <w:tcPr>
            <w:tcW w:w="962" w:type="dxa"/>
            <w:noWrap w:val="0"/>
            <w:vAlign w:val="center"/>
          </w:tcPr>
          <w:p>
            <w:pPr>
              <w:widowControl/>
              <w:spacing w:line="0" w:lineRule="atLeast"/>
              <w:jc w:val="center"/>
              <w:textAlignment w:val="center"/>
              <w:rPr>
                <w:rFonts w:hint="eastAsia" w:ascii="仿宋" w:hAnsi="仿宋" w:eastAsia="仿宋"/>
                <w:sz w:val="30"/>
                <w:szCs w:val="30"/>
                <w:lang w:val="en-US" w:eastAsia="zh-CN"/>
              </w:rPr>
            </w:pPr>
            <w:r>
              <w:rPr>
                <w:rFonts w:hint="eastAsia" w:ascii="宋体" w:hAnsi="宋体" w:cs="宋体"/>
                <w:sz w:val="24"/>
                <w:szCs w:val="24"/>
                <w:lang w:val="en-US" w:eastAsia="zh-CN"/>
              </w:rPr>
              <w:t>㎡</w:t>
            </w:r>
          </w:p>
        </w:tc>
        <w:tc>
          <w:tcPr>
            <w:tcW w:w="977"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80</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2</w:t>
            </w:r>
          </w:p>
        </w:tc>
        <w:tc>
          <w:tcPr>
            <w:tcW w:w="889"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土方开挖</w:t>
            </w:r>
          </w:p>
        </w:tc>
        <w:tc>
          <w:tcPr>
            <w:tcW w:w="4474" w:type="dxa"/>
            <w:noWrap w:val="0"/>
            <w:vAlign w:val="center"/>
          </w:tcPr>
          <w:p>
            <w:pPr>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根据施工需求，原竖井外围施工遗留的钢筋混凝土导墙拆除</w:t>
            </w:r>
            <w:r>
              <w:rPr>
                <w:rFonts w:hint="eastAsia" w:ascii="宋体" w:hAnsi="宋体" w:cs="宋体"/>
                <w:sz w:val="24"/>
                <w:szCs w:val="24"/>
              </w:rPr>
              <w:t>。</w:t>
            </w:r>
          </w:p>
          <w:p>
            <w:pPr>
              <w:rPr>
                <w:rFonts w:hint="eastAsia" w:ascii="宋体" w:hAnsi="宋体" w:cs="宋体"/>
                <w:sz w:val="24"/>
                <w:szCs w:val="24"/>
                <w:lang w:val="en-US" w:eastAsia="zh-CN"/>
              </w:rPr>
            </w:pPr>
            <w:r>
              <w:rPr>
                <w:rFonts w:hint="eastAsia" w:ascii="宋体" w:hAnsi="宋体" w:cs="宋体"/>
                <w:sz w:val="24"/>
                <w:szCs w:val="24"/>
              </w:rPr>
              <w:t>2、</w:t>
            </w:r>
            <w:r>
              <w:rPr>
                <w:rFonts w:hint="eastAsia" w:ascii="宋体" w:hAnsi="宋体" w:cs="宋体"/>
                <w:sz w:val="24"/>
                <w:szCs w:val="24"/>
                <w:lang w:val="en-US" w:eastAsia="zh-CN"/>
              </w:rPr>
              <w:t>放坡开挖1:1。</w:t>
            </w:r>
          </w:p>
          <w:p>
            <w:pPr>
              <w:rPr>
                <w:rFonts w:hint="eastAsia" w:ascii="宋体" w:hAnsi="宋体" w:cs="宋体"/>
                <w:sz w:val="24"/>
                <w:szCs w:val="24"/>
                <w:lang w:val="en-US" w:eastAsia="zh-CN"/>
              </w:rPr>
            </w:pPr>
            <w:r>
              <w:rPr>
                <w:rFonts w:hint="eastAsia" w:ascii="宋体" w:hAnsi="宋体" w:cs="宋体"/>
                <w:sz w:val="24"/>
                <w:szCs w:val="24"/>
              </w:rPr>
              <w:t>3、</w:t>
            </w:r>
            <w:r>
              <w:rPr>
                <w:rFonts w:hint="eastAsia" w:ascii="宋体" w:hAnsi="宋体" w:cs="宋体"/>
                <w:sz w:val="24"/>
                <w:szCs w:val="24"/>
                <w:lang w:val="en-US" w:eastAsia="zh-CN"/>
              </w:rPr>
              <w:t>土方堆放离土方开挖边沿线距离不少于开挖深度。</w:t>
            </w:r>
          </w:p>
          <w:p>
            <w:pPr>
              <w:rPr>
                <w:rFonts w:hint="eastAsia" w:ascii="宋体" w:hAnsi="宋体" w:cs="宋体"/>
                <w:sz w:val="24"/>
                <w:szCs w:val="24"/>
                <w:lang w:val="en-US" w:eastAsia="zh-CN"/>
              </w:rPr>
            </w:pPr>
            <w:r>
              <w:rPr>
                <w:rFonts w:hint="eastAsia" w:ascii="宋体" w:hAnsi="宋体" w:cs="宋体"/>
                <w:sz w:val="24"/>
                <w:szCs w:val="24"/>
                <w:lang w:val="en-US" w:eastAsia="zh-CN"/>
              </w:rPr>
              <w:t>4、不破坏原有阀门井、板房、周边树木，需采取有效保护措施，如有损坏则修复（不低于原标准）</w:t>
            </w:r>
          </w:p>
          <w:p>
            <w:pPr>
              <w:rPr>
                <w:rFonts w:hint="default" w:ascii="宋体" w:hAnsi="宋体" w:cs="宋体"/>
                <w:sz w:val="24"/>
                <w:szCs w:val="24"/>
                <w:lang w:val="en-US" w:eastAsia="zh-CN"/>
              </w:rPr>
            </w:pPr>
            <w:r>
              <w:rPr>
                <w:rFonts w:hint="eastAsia" w:ascii="宋体" w:hAnsi="宋体" w:cs="宋体"/>
                <w:sz w:val="24"/>
                <w:szCs w:val="24"/>
                <w:lang w:val="en-US" w:eastAsia="zh-CN"/>
              </w:rPr>
              <w:t>5、含场地内土方临时周转及绿网覆盖</w:t>
            </w:r>
          </w:p>
        </w:tc>
        <w:tc>
          <w:tcPr>
            <w:tcW w:w="962"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eastAsia="zh-CN" w:bidi="ar"/>
              </w:rPr>
            </w:pPr>
            <w:r>
              <w:rPr>
                <w:rFonts w:hint="eastAsia" w:ascii="仿宋" w:hAnsi="仿宋" w:eastAsia="仿宋"/>
                <w:sz w:val="30"/>
                <w:szCs w:val="30"/>
                <w:lang w:val="en-US" w:eastAsia="zh-CN"/>
              </w:rPr>
              <w:t>m³</w:t>
            </w:r>
          </w:p>
        </w:tc>
        <w:tc>
          <w:tcPr>
            <w:tcW w:w="977"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250</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3</w:t>
            </w:r>
          </w:p>
        </w:tc>
        <w:tc>
          <w:tcPr>
            <w:tcW w:w="889"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排水措施</w:t>
            </w:r>
          </w:p>
        </w:tc>
        <w:tc>
          <w:tcPr>
            <w:tcW w:w="4474" w:type="dxa"/>
            <w:noWrap w:val="0"/>
            <w:vAlign w:val="center"/>
          </w:tcPr>
          <w:p>
            <w:pPr>
              <w:rPr>
                <w:rFonts w:hint="eastAsia" w:ascii="宋体" w:hAnsi="宋体" w:cs="宋体"/>
                <w:sz w:val="24"/>
                <w:szCs w:val="24"/>
                <w:lang w:val="en-US" w:eastAsia="zh-CN"/>
              </w:rPr>
            </w:pPr>
            <w:r>
              <w:rPr>
                <w:rFonts w:hint="eastAsia" w:ascii="宋体" w:hAnsi="宋体" w:cs="宋体"/>
                <w:sz w:val="24"/>
                <w:szCs w:val="24"/>
                <w:lang w:val="en-US" w:eastAsia="zh-CN"/>
              </w:rPr>
              <w:t>1、开挖后，及时抽排水，满足正常施工用要求</w:t>
            </w:r>
          </w:p>
          <w:p>
            <w:pPr>
              <w:rPr>
                <w:rFonts w:hint="default" w:ascii="宋体" w:hAnsi="宋体" w:cs="宋体"/>
                <w:sz w:val="24"/>
                <w:szCs w:val="24"/>
                <w:lang w:val="en-US" w:eastAsia="zh-CN"/>
              </w:rPr>
            </w:pPr>
            <w:r>
              <w:rPr>
                <w:rFonts w:hint="eastAsia" w:ascii="宋体" w:hAnsi="宋体" w:cs="宋体"/>
                <w:sz w:val="24"/>
                <w:szCs w:val="24"/>
                <w:lang w:val="en-US" w:eastAsia="zh-CN"/>
              </w:rPr>
              <w:t>2、排水沟内水位低于混凝土基础面不少于100mm</w:t>
            </w:r>
          </w:p>
        </w:tc>
        <w:tc>
          <w:tcPr>
            <w:tcW w:w="962" w:type="dxa"/>
            <w:noWrap w:val="0"/>
            <w:vAlign w:val="center"/>
          </w:tcPr>
          <w:p>
            <w:pPr>
              <w:widowControl/>
              <w:spacing w:line="0" w:lineRule="atLeast"/>
              <w:jc w:val="center"/>
              <w:textAlignment w:val="center"/>
              <w:rPr>
                <w:rFonts w:hint="default" w:ascii="仿宋" w:hAnsi="仿宋" w:eastAsia="仿宋"/>
                <w:sz w:val="30"/>
                <w:szCs w:val="30"/>
                <w:lang w:val="en-US" w:eastAsia="zh-CN"/>
              </w:rPr>
            </w:pPr>
            <w:r>
              <w:rPr>
                <w:rFonts w:hint="eastAsia" w:ascii="仿宋" w:hAnsi="仿宋" w:eastAsia="仿宋"/>
                <w:sz w:val="30"/>
                <w:szCs w:val="30"/>
                <w:lang w:val="en-US" w:eastAsia="zh-CN"/>
              </w:rPr>
              <w:t>项</w:t>
            </w:r>
          </w:p>
        </w:tc>
        <w:tc>
          <w:tcPr>
            <w:tcW w:w="977"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4</w:t>
            </w:r>
          </w:p>
        </w:tc>
        <w:tc>
          <w:tcPr>
            <w:tcW w:w="889"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钢管支护</w:t>
            </w:r>
          </w:p>
        </w:tc>
        <w:tc>
          <w:tcPr>
            <w:tcW w:w="4474" w:type="dxa"/>
            <w:noWrap w:val="0"/>
            <w:vAlign w:val="center"/>
          </w:tcPr>
          <w:p>
            <w:pPr>
              <w:numPr>
                <w:ilvl w:val="0"/>
                <w:numId w:val="6"/>
              </w:numPr>
              <w:rPr>
                <w:rFonts w:hint="eastAsia" w:ascii="宋体" w:hAnsi="宋体" w:cs="宋体"/>
                <w:sz w:val="24"/>
                <w:szCs w:val="24"/>
                <w:lang w:val="en-US" w:eastAsia="zh-CN"/>
              </w:rPr>
            </w:pPr>
            <w:r>
              <w:rPr>
                <w:rFonts w:hint="eastAsia" w:ascii="宋体" w:hAnsi="宋体" w:cs="宋体"/>
                <w:sz w:val="24"/>
                <w:szCs w:val="24"/>
                <w:lang w:val="en-US" w:eastAsia="zh-CN"/>
              </w:rPr>
              <w:t>采用钢管脚手架（长度6m，无弯曲变形，无锈蚀）按竹排（间距不大于钢管直径）形式搭设支护，钢管入土深度不少于1.5m、且低于基坑底部不少于1m，竖杆间距不大于6cm，横杆间距不大于0.4m，采用钢管斜撑梅花形、间距1m，采用扣件与竖杆连接。</w:t>
            </w:r>
          </w:p>
          <w:p>
            <w:pPr>
              <w:numPr>
                <w:ilvl w:val="0"/>
                <w:numId w:val="6"/>
              </w:numPr>
              <w:rPr>
                <w:rFonts w:hint="eastAsia" w:ascii="宋体" w:hAnsi="宋体" w:cs="宋体"/>
                <w:sz w:val="24"/>
                <w:szCs w:val="24"/>
                <w:lang w:val="en-US" w:eastAsia="zh-CN"/>
              </w:rPr>
            </w:pPr>
            <w:r>
              <w:rPr>
                <w:rFonts w:hint="eastAsia" w:ascii="宋体" w:hAnsi="宋体" w:cs="宋体"/>
                <w:sz w:val="24"/>
                <w:szCs w:val="24"/>
                <w:lang w:val="en-US" w:eastAsia="zh-CN"/>
              </w:rPr>
              <w:t>钢管采用静压或锤击方式贯入土体内，</w:t>
            </w:r>
          </w:p>
        </w:tc>
        <w:tc>
          <w:tcPr>
            <w:tcW w:w="962"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m</w:t>
            </w:r>
          </w:p>
        </w:tc>
        <w:tc>
          <w:tcPr>
            <w:tcW w:w="977"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5</w:t>
            </w:r>
          </w:p>
        </w:tc>
        <w:tc>
          <w:tcPr>
            <w:tcW w:w="889"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挡土墙下碎石回填</w:t>
            </w:r>
          </w:p>
        </w:tc>
        <w:tc>
          <w:tcPr>
            <w:tcW w:w="4474" w:type="dxa"/>
            <w:noWrap w:val="0"/>
            <w:vAlign w:val="center"/>
          </w:tcPr>
          <w:p>
            <w:pPr>
              <w:numPr>
                <w:ilvl w:val="0"/>
                <w:numId w:val="7"/>
              </w:numPr>
              <w:rPr>
                <w:rFonts w:hint="eastAsia" w:ascii="宋体" w:hAnsi="宋体" w:cs="宋体"/>
                <w:sz w:val="24"/>
                <w:szCs w:val="24"/>
                <w:lang w:val="en-US" w:eastAsia="zh-CN"/>
              </w:rPr>
            </w:pPr>
            <w:r>
              <w:rPr>
                <w:rFonts w:hint="eastAsia" w:ascii="宋体" w:hAnsi="宋体" w:cs="宋体"/>
                <w:sz w:val="24"/>
                <w:szCs w:val="24"/>
                <w:lang w:val="en-US" w:eastAsia="zh-CN"/>
              </w:rPr>
              <w:t>石灰岩粗石，颗粒规格基本统一，粒径不大于60mm</w:t>
            </w:r>
          </w:p>
          <w:p>
            <w:pPr>
              <w:numPr>
                <w:ilvl w:val="0"/>
                <w:numId w:val="7"/>
              </w:numPr>
              <w:rPr>
                <w:rFonts w:hint="default" w:ascii="宋体" w:hAnsi="宋体" w:cs="宋体"/>
                <w:sz w:val="24"/>
                <w:szCs w:val="24"/>
                <w:lang w:val="en-US" w:eastAsia="zh-CN"/>
              </w:rPr>
            </w:pPr>
            <w:r>
              <w:rPr>
                <w:rFonts w:hint="eastAsia" w:ascii="宋体" w:hAnsi="宋体" w:cs="宋体"/>
                <w:sz w:val="24"/>
                <w:szCs w:val="24"/>
                <w:lang w:val="en-US" w:eastAsia="zh-CN"/>
              </w:rPr>
              <w:t>铺平并实、振捣密实，厚度不小于10cm</w:t>
            </w:r>
          </w:p>
        </w:tc>
        <w:tc>
          <w:tcPr>
            <w:tcW w:w="962" w:type="dxa"/>
            <w:noWrap w:val="0"/>
            <w:vAlign w:val="center"/>
          </w:tcPr>
          <w:p>
            <w:pPr>
              <w:widowControl/>
              <w:spacing w:line="0" w:lineRule="atLeast"/>
              <w:jc w:val="center"/>
              <w:textAlignment w:val="center"/>
              <w:rPr>
                <w:rFonts w:hint="default" w:ascii="仿宋" w:hAnsi="仿宋" w:eastAsia="仿宋"/>
                <w:sz w:val="30"/>
                <w:szCs w:val="30"/>
                <w:lang w:val="en-US" w:eastAsia="zh-CN"/>
              </w:rPr>
            </w:pPr>
            <w:r>
              <w:rPr>
                <w:rFonts w:hint="eastAsia" w:ascii="仿宋" w:hAnsi="仿宋" w:eastAsia="仿宋"/>
                <w:sz w:val="30"/>
                <w:szCs w:val="30"/>
                <w:lang w:val="en-US" w:eastAsia="zh-CN"/>
              </w:rPr>
              <w:t>m³</w:t>
            </w:r>
          </w:p>
        </w:tc>
        <w:tc>
          <w:tcPr>
            <w:tcW w:w="977"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4.5</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6</w:t>
            </w:r>
          </w:p>
        </w:tc>
        <w:tc>
          <w:tcPr>
            <w:tcW w:w="889" w:type="dxa"/>
            <w:noWrap w:val="0"/>
            <w:vAlign w:val="center"/>
          </w:tcPr>
          <w:p>
            <w:pPr>
              <w:rPr>
                <w:rFonts w:hint="default" w:ascii="宋体" w:hAnsi="宋体" w:cs="宋体"/>
                <w:sz w:val="24"/>
                <w:szCs w:val="24"/>
                <w:lang w:val="en-US"/>
              </w:rPr>
            </w:pPr>
            <w:r>
              <w:rPr>
                <w:rFonts w:hint="eastAsia" w:ascii="宋体" w:hAnsi="宋体" w:cs="宋体"/>
                <w:sz w:val="24"/>
                <w:szCs w:val="24"/>
                <w:lang w:val="en-US" w:eastAsia="zh-CN"/>
              </w:rPr>
              <w:t>混凝土垫层</w:t>
            </w:r>
          </w:p>
        </w:tc>
        <w:tc>
          <w:tcPr>
            <w:tcW w:w="4474" w:type="dxa"/>
            <w:noWrap w:val="0"/>
            <w:vAlign w:val="center"/>
          </w:tcPr>
          <w:p>
            <w:pPr>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、垫层混凝土强度等级不应小于C15，厚度不应小于100mm</w:t>
            </w:r>
          </w:p>
        </w:tc>
        <w:tc>
          <w:tcPr>
            <w:tcW w:w="96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仿宋" w:hAnsi="仿宋" w:eastAsia="仿宋"/>
                <w:sz w:val="30"/>
                <w:szCs w:val="30"/>
                <w:lang w:val="en-US" w:eastAsia="zh-CN"/>
              </w:rPr>
              <w:t>m³</w:t>
            </w:r>
          </w:p>
        </w:tc>
        <w:tc>
          <w:tcPr>
            <w:tcW w:w="977" w:type="dxa"/>
            <w:noWrap w:val="0"/>
            <w:vAlign w:val="center"/>
          </w:tcPr>
          <w:p>
            <w:pPr>
              <w:widowControl/>
              <w:spacing w:line="0" w:lineRule="atLeast"/>
              <w:jc w:val="center"/>
              <w:textAlignment w:val="center"/>
              <w:rPr>
                <w:rFonts w:hint="default" w:ascii="宋体" w:hAnsi="宋体" w:cs="宋体"/>
                <w:color w:val="000000"/>
                <w:kern w:val="0"/>
                <w:sz w:val="24"/>
                <w:szCs w:val="24"/>
                <w:lang w:val="en-US" w:bidi="ar"/>
              </w:rPr>
            </w:pPr>
            <w:r>
              <w:rPr>
                <w:rFonts w:hint="eastAsia" w:ascii="宋体" w:hAnsi="宋体" w:cs="宋体"/>
                <w:color w:val="000000"/>
                <w:kern w:val="0"/>
                <w:sz w:val="24"/>
                <w:szCs w:val="24"/>
                <w:lang w:val="en-US" w:eastAsia="zh-CN" w:bidi="ar"/>
              </w:rPr>
              <w:t>4.5</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889"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混凝土（钢筋混凝土挡土墙）</w:t>
            </w:r>
          </w:p>
        </w:tc>
        <w:tc>
          <w:tcPr>
            <w:tcW w:w="4474" w:type="dxa"/>
            <w:noWrap w:val="0"/>
            <w:vAlign w:val="center"/>
          </w:tcPr>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1、混凝土强度等级C30，振捣密实，无蜂窝麻面，表面平整</w:t>
            </w:r>
          </w:p>
          <w:p>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2、图形依照剖面图，明沟上部每米一处支撑（300*300*600，配构造钢筋），预埋爬梯2处（直径16螺纹钢材质、表面油漆防腐）</w:t>
            </w:r>
          </w:p>
          <w:p>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3、排水坡度1%</w:t>
            </w:r>
          </w:p>
          <w:p>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4、混凝土洒水养护不少于14天</w:t>
            </w:r>
          </w:p>
        </w:tc>
        <w:tc>
          <w:tcPr>
            <w:tcW w:w="962" w:type="dxa"/>
            <w:noWrap w:val="0"/>
            <w:vAlign w:val="center"/>
          </w:tcPr>
          <w:p>
            <w:pPr>
              <w:jc w:val="center"/>
              <w:rPr>
                <w:rFonts w:ascii="宋体" w:hAnsi="宋体" w:cs="宋体"/>
                <w:sz w:val="24"/>
                <w:szCs w:val="24"/>
              </w:rPr>
            </w:pPr>
            <w:r>
              <w:rPr>
                <w:rFonts w:hint="eastAsia" w:ascii="仿宋" w:hAnsi="仿宋" w:eastAsia="仿宋"/>
                <w:sz w:val="30"/>
                <w:szCs w:val="30"/>
                <w:lang w:val="en-US" w:eastAsia="zh-CN"/>
              </w:rPr>
              <w:t>m³</w:t>
            </w:r>
          </w:p>
        </w:tc>
        <w:tc>
          <w:tcPr>
            <w:tcW w:w="977"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34</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8</w:t>
            </w:r>
          </w:p>
        </w:tc>
        <w:tc>
          <w:tcPr>
            <w:tcW w:w="889" w:type="dxa"/>
            <w:noWrap w:val="0"/>
            <w:vAlign w:val="center"/>
          </w:tcPr>
          <w:p>
            <w:p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钢筋（钢筋混凝土挡土墙）</w:t>
            </w:r>
          </w:p>
        </w:tc>
        <w:tc>
          <w:tcPr>
            <w:tcW w:w="4474" w:type="dxa"/>
            <w:noWrap w:val="0"/>
            <w:vAlign w:val="center"/>
          </w:tcPr>
          <w:p>
            <w:pPr>
              <w:numPr>
                <w:ilvl w:val="0"/>
                <w:numId w:val="8"/>
              </w:numPr>
              <w:rPr>
                <w:rFonts w:hint="eastAsia" w:ascii="宋体" w:hAnsi="宋体" w:cs="宋体"/>
                <w:sz w:val="24"/>
                <w:szCs w:val="24"/>
                <w:lang w:val="en-US" w:eastAsia="zh-CN"/>
              </w:rPr>
            </w:pPr>
            <w:r>
              <w:rPr>
                <w:rFonts w:hint="eastAsia" w:ascii="宋体" w:hAnsi="宋体" w:cs="宋体"/>
                <w:sz w:val="24"/>
                <w:szCs w:val="24"/>
                <w:lang w:val="en-US" w:eastAsia="zh-CN"/>
              </w:rPr>
              <w:t>钢筋选用HRB400级热轧钢筋，靠土体一侧混凝土保护层最小厚度为50mm、其余保护层30mm，</w:t>
            </w:r>
          </w:p>
          <w:p>
            <w:pPr>
              <w:numPr>
                <w:ilvl w:val="0"/>
                <w:numId w:val="8"/>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具体规格参数见图，包加工、包安装</w:t>
            </w:r>
          </w:p>
        </w:tc>
        <w:tc>
          <w:tcPr>
            <w:tcW w:w="962" w:type="dxa"/>
            <w:noWrap w:val="0"/>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吨</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3</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9</w:t>
            </w:r>
          </w:p>
        </w:tc>
        <w:tc>
          <w:tcPr>
            <w:tcW w:w="889" w:type="dxa"/>
            <w:noWrap w:val="0"/>
            <w:vAlign w:val="center"/>
          </w:tcPr>
          <w:p>
            <w:pPr>
              <w:rPr>
                <w:rFonts w:hint="eastAsia" w:ascii="宋体" w:hAnsi="宋体" w:eastAsia="宋体" w:cs="宋体"/>
                <w:sz w:val="24"/>
                <w:szCs w:val="24"/>
                <w:lang w:val="en-US" w:eastAsia="zh-CN"/>
              </w:rPr>
            </w:pPr>
            <w:r>
              <w:rPr>
                <w:rFonts w:hint="eastAsia" w:ascii="宋体" w:hAnsi="宋体" w:cs="宋体"/>
                <w:sz w:val="24"/>
                <w:szCs w:val="24"/>
                <w:lang w:val="en-US" w:eastAsia="zh-CN"/>
              </w:rPr>
              <w:t>模板措施费</w:t>
            </w:r>
          </w:p>
        </w:tc>
        <w:tc>
          <w:tcPr>
            <w:tcW w:w="4474" w:type="dxa"/>
            <w:noWrap w:val="0"/>
            <w:vAlign w:val="center"/>
          </w:tcPr>
          <w:p>
            <w:pPr>
              <w:numPr>
                <w:ilvl w:val="0"/>
                <w:numId w:val="9"/>
              </w:numPr>
              <w:rPr>
                <w:rFonts w:hint="eastAsia" w:ascii="宋体" w:hAnsi="宋体" w:cs="宋体"/>
                <w:sz w:val="24"/>
                <w:szCs w:val="24"/>
                <w:lang w:val="en-US" w:eastAsia="zh-CN"/>
              </w:rPr>
            </w:pPr>
            <w:r>
              <w:rPr>
                <w:rFonts w:hint="eastAsia" w:ascii="宋体" w:hAnsi="宋体" w:cs="宋体"/>
                <w:sz w:val="24"/>
                <w:szCs w:val="24"/>
                <w:lang w:val="en-US" w:eastAsia="zh-CN"/>
              </w:rPr>
              <w:t>含两侧新模板、拉杆等措施费，安装牢固，无涨模、爆模，平整度、垂直度均满足规范要求</w:t>
            </w:r>
          </w:p>
          <w:p>
            <w:pPr>
              <w:numPr>
                <w:ilvl w:val="0"/>
                <w:numId w:val="9"/>
              </w:numPr>
              <w:rPr>
                <w:rFonts w:hint="default" w:ascii="宋体" w:hAnsi="宋体" w:cs="宋体"/>
                <w:sz w:val="24"/>
                <w:szCs w:val="24"/>
                <w:lang w:val="en-US" w:eastAsia="zh-CN"/>
              </w:rPr>
            </w:pPr>
            <w:r>
              <w:rPr>
                <w:rFonts w:hint="eastAsia" w:ascii="宋体" w:hAnsi="宋体" w:cs="宋体"/>
                <w:sz w:val="24"/>
                <w:szCs w:val="24"/>
                <w:lang w:val="en-US" w:eastAsia="zh-CN"/>
              </w:rPr>
              <w:t>安装、拆卸</w:t>
            </w:r>
          </w:p>
        </w:tc>
        <w:tc>
          <w:tcPr>
            <w:tcW w:w="962" w:type="dxa"/>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m</w:t>
            </w:r>
          </w:p>
        </w:tc>
        <w:tc>
          <w:tcPr>
            <w:tcW w:w="977"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56</w:t>
            </w:r>
          </w:p>
        </w:tc>
        <w:tc>
          <w:tcPr>
            <w:tcW w:w="977"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按挡土墙长度计量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10</w:t>
            </w:r>
          </w:p>
        </w:tc>
        <w:tc>
          <w:tcPr>
            <w:tcW w:w="889" w:type="dxa"/>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集水井1</w:t>
            </w:r>
          </w:p>
        </w:tc>
        <w:tc>
          <w:tcPr>
            <w:tcW w:w="4474" w:type="dxa"/>
            <w:noWrap w:val="0"/>
            <w:vAlign w:val="center"/>
          </w:tcPr>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采用灰砂砖砌筑，直径100cm，深度4m，</w:t>
            </w:r>
          </w:p>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井深2m-4m处内壁无需抹防水砂浆，外围填铺透水细石材料，厚度不少于10cm，井外水渗透至井内。</w:t>
            </w:r>
          </w:p>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镀锌钢管爬梯，参考图集</w:t>
            </w:r>
          </w:p>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集水井砖砌部位环形10cm厚C15混凝土垫层，井内浇注10cm厚C20混凝土板，避免水流冲刷。</w:t>
            </w:r>
          </w:p>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含盖板等配件，其余参考图集</w:t>
            </w:r>
          </w:p>
        </w:tc>
        <w:tc>
          <w:tcPr>
            <w:tcW w:w="962" w:type="dxa"/>
            <w:noWrap w:val="0"/>
            <w:vAlign w:val="center"/>
          </w:tcPr>
          <w:p>
            <w:pPr>
              <w:jc w:val="center"/>
              <w:rPr>
                <w:rFonts w:hint="default" w:ascii="仿宋" w:hAnsi="仿宋" w:eastAsia="仿宋"/>
                <w:sz w:val="30"/>
                <w:szCs w:val="30"/>
                <w:lang w:val="en-US" w:eastAsia="zh-CN"/>
              </w:rPr>
            </w:pPr>
            <w:r>
              <w:rPr>
                <w:rFonts w:hint="eastAsia" w:ascii="宋体" w:hAnsi="宋体" w:cs="宋体"/>
                <w:sz w:val="24"/>
                <w:szCs w:val="24"/>
                <w:lang w:val="en-US" w:eastAsia="zh-CN"/>
              </w:rPr>
              <w:t>个</w:t>
            </w:r>
          </w:p>
        </w:tc>
        <w:tc>
          <w:tcPr>
            <w:tcW w:w="977"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2</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11</w:t>
            </w:r>
          </w:p>
        </w:tc>
        <w:tc>
          <w:tcPr>
            <w:tcW w:w="889"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集水井2</w:t>
            </w:r>
          </w:p>
        </w:tc>
        <w:tc>
          <w:tcPr>
            <w:tcW w:w="4474" w:type="dxa"/>
            <w:noWrap w:val="0"/>
            <w:vAlign w:val="center"/>
          </w:tcPr>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1、采用灰砂砖砌筑，直径100cm，深度3m，</w:t>
            </w:r>
          </w:p>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2、井深2m-4m处内壁无需抹防水砂浆，外围填铺透水细石材料，厚度不少于10cm，井外水渗透至井内。</w:t>
            </w:r>
          </w:p>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3、镀锌钢管爬梯，参考图集</w:t>
            </w:r>
          </w:p>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4、集水井砖砌部位环形10cm厚C15混凝土垫层，井内浇注10cm厚C20混凝土板，避免水流冲刷。</w:t>
            </w:r>
          </w:p>
          <w:p>
            <w:pPr>
              <w:numPr>
                <w:ilvl w:val="0"/>
                <w:numId w:val="0"/>
              </w:num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5、含盖板等配件，其余参考图集</w:t>
            </w:r>
          </w:p>
        </w:tc>
        <w:tc>
          <w:tcPr>
            <w:tcW w:w="962" w:type="dxa"/>
            <w:noWrap w:val="0"/>
            <w:vAlign w:val="center"/>
          </w:tcPr>
          <w:p>
            <w:pPr>
              <w:jc w:val="center"/>
              <w:rPr>
                <w:rFonts w:hint="eastAsia" w:ascii="仿宋" w:hAnsi="仿宋" w:eastAsia="仿宋" w:cs="Times New Roman"/>
                <w:kern w:val="2"/>
                <w:sz w:val="30"/>
                <w:szCs w:val="30"/>
                <w:lang w:val="en-US" w:eastAsia="zh-CN" w:bidi="ar-SA"/>
              </w:rPr>
            </w:pPr>
            <w:r>
              <w:rPr>
                <w:rFonts w:hint="eastAsia" w:ascii="宋体" w:hAnsi="宋体" w:cs="宋体"/>
                <w:sz w:val="24"/>
                <w:szCs w:val="24"/>
                <w:lang w:val="en-US" w:eastAsia="zh-CN"/>
              </w:rPr>
              <w:t>个</w:t>
            </w:r>
          </w:p>
        </w:tc>
        <w:tc>
          <w:tcPr>
            <w:tcW w:w="977" w:type="dxa"/>
            <w:noWrap w:val="0"/>
            <w:vAlign w:val="center"/>
          </w:tcPr>
          <w:p>
            <w:p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2</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12</w:t>
            </w:r>
          </w:p>
        </w:tc>
        <w:tc>
          <w:tcPr>
            <w:tcW w:w="889" w:type="dxa"/>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连通管</w:t>
            </w:r>
          </w:p>
        </w:tc>
        <w:tc>
          <w:tcPr>
            <w:tcW w:w="4474" w:type="dxa"/>
            <w:noWrap w:val="0"/>
            <w:vAlign w:val="center"/>
          </w:tcPr>
          <w:p>
            <w:pPr>
              <w:numPr>
                <w:ilvl w:val="0"/>
                <w:numId w:val="11"/>
              </w:numPr>
              <w:rPr>
                <w:rFonts w:hint="eastAsia" w:ascii="宋体" w:hAnsi="宋体" w:cs="宋体"/>
                <w:sz w:val="24"/>
                <w:szCs w:val="24"/>
                <w:lang w:val="en-US" w:eastAsia="zh-CN"/>
              </w:rPr>
            </w:pPr>
            <w:r>
              <w:rPr>
                <w:rFonts w:hint="eastAsia" w:ascii="宋体" w:hAnsi="宋体" w:cs="宋体"/>
                <w:sz w:val="24"/>
                <w:szCs w:val="24"/>
                <w:lang w:val="en-US" w:eastAsia="zh-CN"/>
              </w:rPr>
              <w:t>排水沟与集水井连通</w:t>
            </w:r>
          </w:p>
          <w:p>
            <w:pPr>
              <w:numPr>
                <w:ilvl w:val="0"/>
                <w:numId w:val="11"/>
              </w:numPr>
              <w:rPr>
                <w:rFonts w:hint="default" w:ascii="宋体" w:hAnsi="宋体" w:cs="宋体"/>
                <w:sz w:val="24"/>
                <w:szCs w:val="24"/>
                <w:lang w:val="en-US" w:eastAsia="zh-CN"/>
              </w:rPr>
            </w:pPr>
            <w:r>
              <w:rPr>
                <w:rFonts w:hint="eastAsia" w:ascii="宋体" w:hAnsi="宋体" w:cs="宋体"/>
                <w:sz w:val="24"/>
                <w:szCs w:val="24"/>
                <w:lang w:val="en-US" w:eastAsia="zh-CN"/>
              </w:rPr>
              <w:t>采用DN200钢带PE管连通</w:t>
            </w:r>
          </w:p>
        </w:tc>
        <w:tc>
          <w:tcPr>
            <w:tcW w:w="962" w:type="dxa"/>
            <w:noWrap w:val="0"/>
            <w:vAlign w:val="center"/>
          </w:tcPr>
          <w:p>
            <w:pPr>
              <w:jc w:val="center"/>
              <w:rPr>
                <w:rFonts w:hint="default" w:ascii="仿宋" w:hAnsi="仿宋" w:eastAsia="仿宋"/>
                <w:sz w:val="30"/>
                <w:szCs w:val="30"/>
                <w:lang w:val="en-US" w:eastAsia="zh-CN"/>
              </w:rPr>
            </w:pPr>
            <w:r>
              <w:rPr>
                <w:rFonts w:hint="eastAsia" w:ascii="仿宋" w:hAnsi="仿宋" w:eastAsia="仿宋"/>
                <w:sz w:val="30"/>
                <w:szCs w:val="30"/>
                <w:lang w:val="en-US" w:eastAsia="zh-CN"/>
              </w:rPr>
              <w:t>m</w:t>
            </w:r>
          </w:p>
        </w:tc>
        <w:tc>
          <w:tcPr>
            <w:tcW w:w="977"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40</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13</w:t>
            </w:r>
          </w:p>
        </w:tc>
        <w:tc>
          <w:tcPr>
            <w:tcW w:w="889"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预埋水位监测管</w:t>
            </w:r>
          </w:p>
        </w:tc>
        <w:tc>
          <w:tcPr>
            <w:tcW w:w="4474" w:type="dxa"/>
            <w:noWrap w:val="0"/>
            <w:vAlign w:val="center"/>
          </w:tcPr>
          <w:p>
            <w:pPr>
              <w:numPr>
                <w:ilvl w:val="0"/>
                <w:numId w:val="12"/>
              </w:numPr>
              <w:rPr>
                <w:rFonts w:hint="eastAsia" w:ascii="宋体" w:hAnsi="宋体" w:cs="宋体"/>
                <w:sz w:val="24"/>
                <w:szCs w:val="24"/>
                <w:lang w:val="en-US" w:eastAsia="zh-CN"/>
              </w:rPr>
            </w:pPr>
            <w:r>
              <w:rPr>
                <w:rFonts w:hint="eastAsia" w:ascii="宋体" w:hAnsi="宋体" w:cs="宋体"/>
                <w:sz w:val="24"/>
                <w:szCs w:val="24"/>
                <w:lang w:val="en-US" w:eastAsia="zh-CN"/>
              </w:rPr>
              <w:t>垂直预埋DN50PE管，管道内无杂物，侧壁均匀布置5mm小孔，管外包裹2层无妨土工布</w:t>
            </w:r>
          </w:p>
          <w:p>
            <w:pPr>
              <w:numPr>
                <w:ilvl w:val="0"/>
                <w:numId w:val="12"/>
              </w:numPr>
              <w:rPr>
                <w:rFonts w:hint="default" w:ascii="宋体" w:hAnsi="宋体" w:cs="宋体"/>
                <w:sz w:val="24"/>
                <w:szCs w:val="24"/>
                <w:lang w:val="en-US" w:eastAsia="zh-CN"/>
              </w:rPr>
            </w:pPr>
            <w:r>
              <w:rPr>
                <w:rFonts w:hint="eastAsia" w:ascii="宋体" w:hAnsi="宋体" w:cs="宋体"/>
                <w:sz w:val="24"/>
                <w:szCs w:val="24"/>
                <w:lang w:val="en-US" w:eastAsia="zh-CN"/>
              </w:rPr>
              <w:t>顶部盖子方便拆装，便于检测地下水位</w:t>
            </w:r>
          </w:p>
          <w:p>
            <w:pPr>
              <w:numPr>
                <w:ilvl w:val="0"/>
                <w:numId w:val="0"/>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3、沿挡土墙外围均匀布置，管底低于排水沟不少于60cm</w:t>
            </w:r>
          </w:p>
        </w:tc>
        <w:tc>
          <w:tcPr>
            <w:tcW w:w="962" w:type="dxa"/>
            <w:noWrap w:val="0"/>
            <w:vAlign w:val="center"/>
          </w:tcPr>
          <w:p>
            <w:pPr>
              <w:jc w:val="center"/>
              <w:rPr>
                <w:rFonts w:hint="eastAsia" w:ascii="仿宋" w:hAnsi="仿宋" w:eastAsia="仿宋" w:cs="Times New Roman"/>
                <w:kern w:val="2"/>
                <w:sz w:val="30"/>
                <w:szCs w:val="30"/>
                <w:lang w:val="en-US" w:eastAsia="zh-CN" w:bidi="ar-SA"/>
              </w:rPr>
            </w:pPr>
            <w:r>
              <w:rPr>
                <w:rFonts w:hint="eastAsia" w:ascii="仿宋" w:hAnsi="仿宋" w:eastAsia="仿宋"/>
                <w:sz w:val="30"/>
                <w:szCs w:val="30"/>
                <w:lang w:val="en-US" w:eastAsia="zh-CN"/>
              </w:rPr>
              <w:t>m</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30</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14</w:t>
            </w:r>
          </w:p>
        </w:tc>
        <w:tc>
          <w:tcPr>
            <w:tcW w:w="889"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土方回填</w:t>
            </w:r>
          </w:p>
        </w:tc>
        <w:tc>
          <w:tcPr>
            <w:tcW w:w="4474" w:type="dxa"/>
            <w:noWrap w:val="0"/>
            <w:vAlign w:val="center"/>
          </w:tcPr>
          <w:p>
            <w:pPr>
              <w:numPr>
                <w:ilvl w:val="0"/>
                <w:numId w:val="13"/>
              </w:numPr>
              <w:rPr>
                <w:rFonts w:hint="eastAsia" w:ascii="宋体" w:hAnsi="宋体" w:cs="宋体"/>
                <w:sz w:val="24"/>
                <w:szCs w:val="24"/>
                <w:lang w:val="en-US" w:eastAsia="zh-CN"/>
              </w:rPr>
            </w:pPr>
            <w:r>
              <w:rPr>
                <w:rFonts w:hint="eastAsia" w:ascii="宋体" w:hAnsi="宋体" w:cs="宋体"/>
                <w:sz w:val="24"/>
                <w:szCs w:val="24"/>
                <w:lang w:val="en-US" w:eastAsia="zh-CN"/>
              </w:rPr>
              <w:t>土方回填至原地面标高，并夯实并浇水，静置</w:t>
            </w:r>
          </w:p>
          <w:p>
            <w:pPr>
              <w:numPr>
                <w:ilvl w:val="0"/>
                <w:numId w:val="13"/>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不得回填淤泥</w:t>
            </w:r>
          </w:p>
        </w:tc>
        <w:tc>
          <w:tcPr>
            <w:tcW w:w="962" w:type="dxa"/>
            <w:noWrap w:val="0"/>
            <w:vAlign w:val="center"/>
          </w:tcPr>
          <w:p>
            <w:pPr>
              <w:jc w:val="center"/>
              <w:rPr>
                <w:rFonts w:hint="default" w:ascii="宋体" w:hAnsi="宋体" w:eastAsia="宋体" w:cs="宋体"/>
                <w:kern w:val="2"/>
                <w:sz w:val="24"/>
                <w:szCs w:val="24"/>
                <w:lang w:val="en-US" w:eastAsia="zh-CN" w:bidi="ar-SA"/>
              </w:rPr>
            </w:pPr>
            <w:r>
              <w:rPr>
                <w:rFonts w:hint="eastAsia" w:ascii="仿宋" w:hAnsi="仿宋" w:eastAsia="仿宋"/>
                <w:sz w:val="30"/>
                <w:szCs w:val="30"/>
                <w:lang w:val="en-US" w:eastAsia="zh-CN"/>
              </w:rPr>
              <w:t>m³</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200</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16"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15</w:t>
            </w:r>
          </w:p>
        </w:tc>
        <w:tc>
          <w:tcPr>
            <w:tcW w:w="889" w:type="dxa"/>
            <w:noWrap w:val="0"/>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水沟盖板</w:t>
            </w:r>
          </w:p>
        </w:tc>
        <w:tc>
          <w:tcPr>
            <w:tcW w:w="4474" w:type="dxa"/>
            <w:noWrap w:val="0"/>
            <w:vAlign w:val="center"/>
          </w:tcPr>
          <w:p>
            <w:pPr>
              <w:numPr>
                <w:ilvl w:val="0"/>
                <w:numId w:val="14"/>
              </w:numPr>
              <w:rPr>
                <w:rFonts w:hint="eastAsia" w:ascii="宋体" w:hAnsi="宋体" w:cs="宋体"/>
                <w:sz w:val="24"/>
                <w:szCs w:val="24"/>
                <w:lang w:val="en-US" w:eastAsia="zh-CN"/>
              </w:rPr>
            </w:pPr>
            <w:r>
              <w:rPr>
                <w:rFonts w:hint="eastAsia" w:ascii="宋体" w:hAnsi="宋体" w:cs="宋体"/>
                <w:sz w:val="24"/>
                <w:szCs w:val="24"/>
                <w:lang w:val="en-US" w:eastAsia="zh-CN"/>
              </w:rPr>
              <w:t>采用热镀锌材质复合盖板，单个尺寸300*600，单个承重200KG不明显变形，不影响正常使用</w:t>
            </w:r>
          </w:p>
          <w:p>
            <w:pPr>
              <w:numPr>
                <w:ilvl w:val="0"/>
                <w:numId w:val="14"/>
              </w:num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盖板两边混凝土需切槽，便于盖板搭接，盖板与混凝土之间填缝</w:t>
            </w:r>
          </w:p>
        </w:tc>
        <w:tc>
          <w:tcPr>
            <w:tcW w:w="962" w:type="dxa"/>
            <w:noWrap w:val="0"/>
            <w:vAlign w:val="center"/>
          </w:tcPr>
          <w:p>
            <w:pPr>
              <w:jc w:val="center"/>
              <w:rPr>
                <w:rFonts w:hint="eastAsia" w:ascii="仿宋" w:hAnsi="仿宋" w:eastAsia="仿宋" w:cs="Times New Roman"/>
                <w:kern w:val="2"/>
                <w:sz w:val="30"/>
                <w:szCs w:val="30"/>
                <w:lang w:val="en-US" w:eastAsia="zh-CN" w:bidi="ar-SA"/>
              </w:rPr>
            </w:pPr>
            <w:r>
              <w:rPr>
                <w:rFonts w:hint="eastAsia" w:ascii="宋体" w:hAnsi="宋体" w:cs="宋体"/>
                <w:sz w:val="24"/>
                <w:szCs w:val="24"/>
                <w:lang w:val="en-US" w:eastAsia="zh-CN"/>
              </w:rPr>
              <w:t>㎡</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33</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16"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16</w:t>
            </w:r>
          </w:p>
        </w:tc>
        <w:tc>
          <w:tcPr>
            <w:tcW w:w="889"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地面恢复</w:t>
            </w:r>
          </w:p>
        </w:tc>
        <w:tc>
          <w:tcPr>
            <w:tcW w:w="4474" w:type="dxa"/>
            <w:noWrap w:val="0"/>
            <w:vAlign w:val="center"/>
          </w:tcPr>
          <w:p>
            <w:pPr>
              <w:numPr>
                <w:ilvl w:val="0"/>
                <w:numId w:val="15"/>
              </w:numPr>
              <w:rPr>
                <w:rFonts w:hint="eastAsia" w:ascii="宋体" w:hAnsi="宋体" w:cs="宋体"/>
                <w:sz w:val="24"/>
                <w:szCs w:val="24"/>
                <w:lang w:val="en-US" w:eastAsia="zh-CN"/>
              </w:rPr>
            </w:pPr>
            <w:r>
              <w:rPr>
                <w:rFonts w:hint="eastAsia" w:ascii="宋体" w:hAnsi="宋体" w:cs="宋体"/>
                <w:sz w:val="24"/>
                <w:szCs w:val="24"/>
                <w:lang w:val="en-US" w:eastAsia="zh-CN"/>
              </w:rPr>
              <w:t>地面平整 夯实</w:t>
            </w:r>
          </w:p>
          <w:p>
            <w:pPr>
              <w:numPr>
                <w:ilvl w:val="0"/>
                <w:numId w:val="15"/>
              </w:numPr>
              <w:rPr>
                <w:rFonts w:hint="default" w:ascii="宋体" w:hAnsi="宋体" w:cs="宋体"/>
                <w:sz w:val="24"/>
                <w:szCs w:val="24"/>
                <w:lang w:val="en-US" w:eastAsia="zh-CN"/>
              </w:rPr>
            </w:pPr>
            <w:r>
              <w:rPr>
                <w:rFonts w:hint="eastAsia" w:ascii="宋体" w:hAnsi="宋体" w:cs="宋体"/>
                <w:sz w:val="24"/>
                <w:szCs w:val="24"/>
                <w:lang w:val="en-US" w:eastAsia="zh-CN"/>
              </w:rPr>
              <w:t>铺8cm后石粉垫层</w:t>
            </w:r>
          </w:p>
          <w:p>
            <w:pPr>
              <w:numPr>
                <w:ilvl w:val="0"/>
                <w:numId w:val="15"/>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10cm厚C25细石混凝土</w:t>
            </w:r>
          </w:p>
        </w:tc>
        <w:tc>
          <w:tcPr>
            <w:tcW w:w="962"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140</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16"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17</w:t>
            </w:r>
          </w:p>
        </w:tc>
        <w:tc>
          <w:tcPr>
            <w:tcW w:w="889" w:type="dxa"/>
            <w:noWrap w:val="0"/>
            <w:vAlign w:val="center"/>
          </w:tcPr>
          <w:p>
            <w:pPr>
              <w:jc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潜水泵安装</w:t>
            </w:r>
          </w:p>
        </w:tc>
        <w:tc>
          <w:tcPr>
            <w:tcW w:w="4474" w:type="dxa"/>
            <w:noWrap w:val="0"/>
            <w:vAlign w:val="center"/>
          </w:tcPr>
          <w:p>
            <w:pPr>
              <w:numPr>
                <w:ilvl w:val="0"/>
                <w:numId w:val="16"/>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水泵，功率1.5kW，扬程10m，25m³/h，330V，电缆视情况延长</w:t>
            </w:r>
          </w:p>
          <w:p>
            <w:pPr>
              <w:numPr>
                <w:ilvl w:val="0"/>
                <w:numId w:val="16"/>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配4m长软管、吊起绳子</w:t>
            </w:r>
          </w:p>
        </w:tc>
        <w:tc>
          <w:tcPr>
            <w:tcW w:w="962" w:type="dxa"/>
            <w:noWrap w:val="0"/>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套</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2</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16"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18</w:t>
            </w:r>
          </w:p>
        </w:tc>
        <w:tc>
          <w:tcPr>
            <w:tcW w:w="889" w:type="dxa"/>
            <w:noWrap w:val="0"/>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潜水水位控制器</w:t>
            </w:r>
          </w:p>
        </w:tc>
        <w:tc>
          <w:tcPr>
            <w:tcW w:w="4474" w:type="dxa"/>
            <w:noWrap w:val="0"/>
            <w:vAlign w:val="center"/>
          </w:tcPr>
          <w:p>
            <w:pPr>
              <w:numPr>
                <w:ilvl w:val="0"/>
                <w:numId w:val="0"/>
              </w:numPr>
              <w:ind w:left="0" w:leftChars="0" w:firstLine="0" w:firstLineChars="0"/>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1、参考电气图纸，材料选用施耐德、西门子等品牌</w:t>
            </w:r>
          </w:p>
        </w:tc>
        <w:tc>
          <w:tcPr>
            <w:tcW w:w="962" w:type="dxa"/>
            <w:noWrap w:val="0"/>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套</w:t>
            </w:r>
          </w:p>
        </w:tc>
        <w:tc>
          <w:tcPr>
            <w:tcW w:w="977" w:type="dxa"/>
            <w:noWrap w:val="0"/>
            <w:vAlign w:val="center"/>
          </w:tcPr>
          <w:p>
            <w:p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2</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16" w:type="dxa"/>
            <w:noWrap w:val="0"/>
            <w:vAlign w:val="center"/>
          </w:tcPr>
          <w:p>
            <w:pPr>
              <w:widowControl/>
              <w:tabs>
                <w:tab w:val="left" w:pos="275"/>
              </w:tabs>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19</w:t>
            </w:r>
          </w:p>
        </w:tc>
        <w:tc>
          <w:tcPr>
            <w:tcW w:w="889" w:type="dxa"/>
            <w:noWrap w:val="0"/>
            <w:vAlign w:val="center"/>
          </w:tcPr>
          <w:p>
            <w:pPr>
              <w:spacing w:line="240" w:lineRule="atLeast"/>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镀锌钢管安装</w:t>
            </w:r>
          </w:p>
        </w:tc>
        <w:tc>
          <w:tcPr>
            <w:tcW w:w="4474" w:type="dxa"/>
            <w:noWrap w:val="0"/>
            <w:vAlign w:val="center"/>
          </w:tcPr>
          <w:p>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1、热镀锌钢管，内径50mm，壁厚不少于3.8mm</w:t>
            </w:r>
          </w:p>
          <w:p>
            <w:pPr>
              <w:numPr>
                <w:ilvl w:val="0"/>
                <w:numId w:val="0"/>
              </w:numPr>
              <w:ind w:left="0" w:leftChars="0" w:firstLine="0" w:firstLineChars="0"/>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2、上端接水泵，下端接入末端排水明沟，含弯头，包安装</w:t>
            </w:r>
          </w:p>
        </w:tc>
        <w:tc>
          <w:tcPr>
            <w:tcW w:w="962" w:type="dxa"/>
            <w:noWrap w:val="0"/>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m</w:t>
            </w:r>
          </w:p>
        </w:tc>
        <w:tc>
          <w:tcPr>
            <w:tcW w:w="977" w:type="dxa"/>
            <w:noWrap w:val="0"/>
            <w:vAlign w:val="center"/>
          </w:tcPr>
          <w:p>
            <w:pP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16</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20</w:t>
            </w:r>
          </w:p>
        </w:tc>
        <w:tc>
          <w:tcPr>
            <w:tcW w:w="889" w:type="dxa"/>
            <w:noWrap w:val="0"/>
            <w:vAlign w:val="center"/>
          </w:tcPr>
          <w:p>
            <w:pPr>
              <w:spacing w:line="240" w:lineRule="atLeast"/>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排水沟恢复</w:t>
            </w:r>
          </w:p>
        </w:tc>
        <w:tc>
          <w:tcPr>
            <w:tcW w:w="4474" w:type="dxa"/>
            <w:noWrap w:val="0"/>
            <w:vAlign w:val="center"/>
          </w:tcPr>
          <w:p>
            <w:pPr>
              <w:numPr>
                <w:ilvl w:val="0"/>
                <w:numId w:val="17"/>
              </w:numPr>
              <w:rPr>
                <w:rFonts w:hint="eastAsia" w:ascii="宋体" w:hAnsi="宋体" w:cs="宋体"/>
                <w:sz w:val="24"/>
                <w:szCs w:val="24"/>
                <w:lang w:val="en-US" w:eastAsia="zh-CN"/>
              </w:rPr>
            </w:pPr>
            <w:r>
              <w:rPr>
                <w:rFonts w:hint="eastAsia" w:ascii="宋体" w:hAnsi="宋体" w:cs="宋体"/>
                <w:sz w:val="24"/>
                <w:szCs w:val="24"/>
                <w:lang w:val="en-US" w:eastAsia="zh-CN"/>
              </w:rPr>
              <w:t>5cm厚C15混凝土垫层、</w:t>
            </w:r>
          </w:p>
          <w:p>
            <w:pPr>
              <w:numPr>
                <w:ilvl w:val="0"/>
                <w:numId w:val="17"/>
              </w:numPr>
              <w:rPr>
                <w:rFonts w:hint="eastAsia" w:ascii="宋体" w:hAnsi="宋体" w:cs="宋体"/>
                <w:sz w:val="24"/>
                <w:szCs w:val="24"/>
                <w:lang w:val="en-US" w:eastAsia="zh-CN"/>
              </w:rPr>
            </w:pPr>
            <w:r>
              <w:rPr>
                <w:rFonts w:hint="eastAsia" w:ascii="宋体" w:hAnsi="宋体" w:cs="宋体"/>
                <w:sz w:val="24"/>
                <w:szCs w:val="24"/>
                <w:lang w:val="en-US" w:eastAsia="zh-CN"/>
              </w:rPr>
              <w:t>采用灰砂砖砌筑，尺寸30cm宽*20cm深，两侧底部表面抹灰</w:t>
            </w:r>
          </w:p>
          <w:p>
            <w:pPr>
              <w:numPr>
                <w:ilvl w:val="0"/>
                <w:numId w:val="17"/>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无不均匀沉降、开裂</w:t>
            </w:r>
          </w:p>
        </w:tc>
        <w:tc>
          <w:tcPr>
            <w:tcW w:w="962" w:type="dxa"/>
            <w:noWrap w:val="0"/>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m</w:t>
            </w:r>
          </w:p>
        </w:tc>
        <w:tc>
          <w:tcPr>
            <w:tcW w:w="977" w:type="dxa"/>
            <w:noWrap w:val="0"/>
            <w:vAlign w:val="center"/>
          </w:tcPr>
          <w:p>
            <w:pP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25</w:t>
            </w:r>
          </w:p>
        </w:tc>
        <w:tc>
          <w:tcPr>
            <w:tcW w:w="977" w:type="dxa"/>
            <w:noWrap w:val="0"/>
            <w:vAlign w:val="center"/>
          </w:tcPr>
          <w:p>
            <w:pP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516" w:type="dxa"/>
            <w:noWrap w:val="0"/>
            <w:vAlign w:val="center"/>
          </w:tcPr>
          <w:p>
            <w:pPr>
              <w:widowControl/>
              <w:tabs>
                <w:tab w:val="left" w:pos="275"/>
              </w:tabs>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21</w:t>
            </w:r>
          </w:p>
        </w:tc>
        <w:tc>
          <w:tcPr>
            <w:tcW w:w="889" w:type="dxa"/>
            <w:noWrap w:val="0"/>
            <w:vAlign w:val="center"/>
          </w:tcPr>
          <w:p>
            <w:pPr>
              <w:widowControl/>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配电箱</w:t>
            </w:r>
          </w:p>
        </w:tc>
        <w:tc>
          <w:tcPr>
            <w:tcW w:w="4474" w:type="dxa"/>
            <w:noWrap w:val="0"/>
            <w:vAlign w:val="center"/>
          </w:tcPr>
          <w:p>
            <w:pPr>
              <w:widowControl/>
              <w:numPr>
                <w:ilvl w:val="0"/>
                <w:numId w:val="18"/>
              </w:numPr>
              <w:spacing w:line="0" w:lineRule="atLeast"/>
              <w:jc w:val="left"/>
              <w:rPr>
                <w:rFonts w:hint="eastAsia" w:ascii="宋体" w:hAnsi="宋体" w:cs="宋体"/>
                <w:color w:val="000000"/>
                <w:kern w:val="0"/>
                <w:sz w:val="24"/>
                <w:szCs w:val="24"/>
              </w:rPr>
            </w:pPr>
            <w:r>
              <w:rPr>
                <w:rFonts w:hint="eastAsia" w:ascii="宋体" w:hAnsi="宋体" w:cs="宋体"/>
                <w:color w:val="000000"/>
                <w:kern w:val="0"/>
                <w:sz w:val="24"/>
                <w:szCs w:val="24"/>
              </w:rPr>
              <w:t>配电箱防护等级</w:t>
            </w:r>
            <w:r>
              <w:rPr>
                <w:rFonts w:ascii="微软雅黑" w:hAnsi="微软雅黑" w:eastAsia="微软雅黑" w:cs="微软雅黑"/>
                <w:color w:val="000000"/>
                <w:sz w:val="24"/>
                <w:szCs w:val="24"/>
                <w:shd w:val="clear" w:color="auto" w:fill="FFFFFF"/>
              </w:rPr>
              <w:t>IP67</w:t>
            </w:r>
            <w:r>
              <w:rPr>
                <w:rFonts w:hint="eastAsia" w:ascii="宋体" w:hAnsi="宋体" w:cs="宋体"/>
                <w:color w:val="000000"/>
                <w:kern w:val="0"/>
                <w:sz w:val="24"/>
                <w:szCs w:val="24"/>
              </w:rPr>
              <w:t>，明装</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回路，箱内配置2P20A带漏电保护开关(30mA)</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个、</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P10A开关</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个</w:t>
            </w:r>
          </w:p>
          <w:p>
            <w:pPr>
              <w:widowControl/>
              <w:numPr>
                <w:ilvl w:val="0"/>
                <w:numId w:val="18"/>
              </w:numPr>
              <w:spacing w:line="0" w:lineRule="atLeast"/>
              <w:jc w:val="left"/>
              <w:rPr>
                <w:rFonts w:hint="eastAsia" w:ascii="宋体" w:hAnsi="宋体" w:cs="宋体"/>
                <w:color w:val="000000"/>
                <w:kern w:val="0"/>
                <w:sz w:val="24"/>
                <w:szCs w:val="24"/>
                <w:lang w:bidi="ar"/>
              </w:rPr>
            </w:pPr>
            <w:r>
              <w:rPr>
                <w:rFonts w:hint="eastAsia" w:ascii="宋体" w:hAnsi="宋体" w:cs="宋体"/>
                <w:color w:val="000000"/>
                <w:kern w:val="0"/>
                <w:sz w:val="24"/>
                <w:szCs w:val="24"/>
              </w:rPr>
              <w:t>施耐德等同等质量品牌</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内置一套电表</w:t>
            </w:r>
          </w:p>
          <w:p>
            <w:pPr>
              <w:widowControl/>
              <w:numPr>
                <w:ilvl w:val="0"/>
                <w:numId w:val="18"/>
              </w:numPr>
              <w:spacing w:line="0" w:lineRule="atLeast"/>
              <w:jc w:val="left"/>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rPr>
              <w:t>安装在电房内，就近接电</w:t>
            </w:r>
          </w:p>
          <w:p>
            <w:pPr>
              <w:widowControl/>
              <w:numPr>
                <w:ilvl w:val="0"/>
                <w:numId w:val="18"/>
              </w:numPr>
              <w:spacing w:line="0" w:lineRule="atLeast"/>
              <w:jc w:val="left"/>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箱内贴标识牌</w:t>
            </w:r>
          </w:p>
        </w:tc>
        <w:tc>
          <w:tcPr>
            <w:tcW w:w="962" w:type="dxa"/>
            <w:noWrap w:val="0"/>
            <w:vAlign w:val="center"/>
          </w:tcPr>
          <w:p>
            <w:pPr>
              <w:widowControl/>
              <w:jc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rPr>
              <w:t>套</w:t>
            </w:r>
          </w:p>
        </w:tc>
        <w:tc>
          <w:tcPr>
            <w:tcW w:w="977" w:type="dxa"/>
            <w:noWrap w:val="0"/>
            <w:vAlign w:val="center"/>
          </w:tcPr>
          <w:p>
            <w:pPr>
              <w:widowControl/>
              <w:jc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rPr>
              <w:t>1</w:t>
            </w:r>
          </w:p>
        </w:tc>
        <w:tc>
          <w:tcPr>
            <w:tcW w:w="977" w:type="dxa"/>
            <w:noWrap w:val="0"/>
            <w:vAlign w:val="center"/>
          </w:tcPr>
          <w:p>
            <w:pP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22</w:t>
            </w:r>
          </w:p>
        </w:tc>
        <w:tc>
          <w:tcPr>
            <w:tcW w:w="889" w:type="dxa"/>
            <w:noWrap w:val="0"/>
            <w:vAlign w:val="center"/>
          </w:tcPr>
          <w:p>
            <w:pPr>
              <w:widowControl/>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电缆</w:t>
            </w:r>
          </w:p>
        </w:tc>
        <w:tc>
          <w:tcPr>
            <w:tcW w:w="4474" w:type="dxa"/>
            <w:noWrap w:val="0"/>
            <w:vAlign w:val="center"/>
          </w:tcPr>
          <w:p>
            <w:pPr>
              <w:widowControl/>
              <w:numPr>
                <w:ilvl w:val="0"/>
                <w:numId w:val="0"/>
              </w:numPr>
              <w:spacing w:line="0" w:lineRule="atLeast"/>
              <w:ind w:left="0" w:leftChars="0" w:firstLine="0" w:firstLineChars="0"/>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w:t>
            </w:r>
            <w:r>
              <w:rPr>
                <w:rFonts w:hint="eastAsia" w:ascii="宋体" w:hAnsi="宋体" w:cs="宋体"/>
                <w:color w:val="000000"/>
                <w:kern w:val="0"/>
                <w:sz w:val="24"/>
                <w:szCs w:val="24"/>
                <w:lang w:bidi="ar"/>
              </w:rPr>
              <w:t>电线采用ZR－BV-</w:t>
            </w:r>
            <w:r>
              <w:rPr>
                <w:rFonts w:hint="eastAsia" w:ascii="宋体" w:hAnsi="宋体" w:cs="宋体"/>
                <w:color w:val="000000"/>
                <w:kern w:val="0"/>
                <w:sz w:val="24"/>
                <w:szCs w:val="24"/>
                <w:lang w:val="en-US" w:eastAsia="zh-CN" w:bidi="ar"/>
              </w:rPr>
              <w:t>4</w:t>
            </w:r>
            <w:r>
              <w:rPr>
                <w:rFonts w:hint="eastAsia" w:ascii="宋体" w:hAnsi="宋体" w:cs="宋体"/>
                <w:color w:val="000000"/>
                <w:kern w:val="0"/>
                <w:sz w:val="24"/>
                <w:szCs w:val="24"/>
                <w:lang w:bidi="ar"/>
              </w:rPr>
              <w:t>单芯铜线，珠江等同等质量品牌</w:t>
            </w:r>
          </w:p>
        </w:tc>
        <w:tc>
          <w:tcPr>
            <w:tcW w:w="962" w:type="dxa"/>
            <w:noWrap w:val="0"/>
            <w:vAlign w:val="center"/>
          </w:tcPr>
          <w:p>
            <w:pPr>
              <w:widowControl/>
              <w:spacing w:line="0" w:lineRule="atLeast"/>
              <w:jc w:val="center"/>
              <w:textAlignment w:val="center"/>
              <w:rPr>
                <w:rFonts w:hint="eastAsia"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m</w:t>
            </w:r>
          </w:p>
        </w:tc>
        <w:tc>
          <w:tcPr>
            <w:tcW w:w="977" w:type="dxa"/>
            <w:noWrap w:val="0"/>
            <w:vAlign w:val="center"/>
          </w:tcPr>
          <w:p>
            <w:pPr>
              <w:widowControl/>
              <w:spacing w:line="0" w:lineRule="atLeast"/>
              <w:jc w:val="center"/>
              <w:textAlignment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160</w:t>
            </w:r>
          </w:p>
        </w:tc>
        <w:tc>
          <w:tcPr>
            <w:tcW w:w="977" w:type="dxa"/>
            <w:noWrap w:val="0"/>
            <w:vAlign w:val="center"/>
          </w:tcPr>
          <w:p>
            <w:pPr>
              <w:widowControl/>
              <w:jc w:val="center"/>
              <w:rPr>
                <w:rFonts w:hint="eastAsia"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23</w:t>
            </w:r>
          </w:p>
        </w:tc>
        <w:tc>
          <w:tcPr>
            <w:tcW w:w="889" w:type="dxa"/>
            <w:noWrap w:val="0"/>
            <w:vAlign w:val="center"/>
          </w:tcPr>
          <w:p>
            <w:pPr>
              <w:widowControl/>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电缆套管</w:t>
            </w:r>
          </w:p>
        </w:tc>
        <w:tc>
          <w:tcPr>
            <w:tcW w:w="4474" w:type="dxa"/>
            <w:noWrap w:val="0"/>
            <w:vAlign w:val="center"/>
          </w:tcPr>
          <w:p>
            <w:pPr>
              <w:widowControl/>
              <w:numPr>
                <w:ilvl w:val="0"/>
                <w:numId w:val="19"/>
              </w:numPr>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电缆采用DN20PVC套管保护，沿墙面敷设，联塑等同等质量品牌</w:t>
            </w:r>
            <w:r>
              <w:rPr>
                <w:rFonts w:hint="eastAsia" w:ascii="宋体" w:hAnsi="宋体" w:cs="宋体"/>
                <w:color w:val="000000"/>
                <w:kern w:val="0"/>
                <w:sz w:val="24"/>
                <w:szCs w:val="24"/>
                <w:lang w:eastAsia="zh-CN" w:bidi="ar"/>
              </w:rPr>
              <w:t>；</w:t>
            </w:r>
          </w:p>
        </w:tc>
        <w:tc>
          <w:tcPr>
            <w:tcW w:w="962" w:type="dxa"/>
            <w:noWrap w:val="0"/>
            <w:vAlign w:val="center"/>
          </w:tcPr>
          <w:p>
            <w:pPr>
              <w:widowControl/>
              <w:spacing w:line="0" w:lineRule="atLeast"/>
              <w:jc w:val="center"/>
              <w:textAlignment w:val="center"/>
              <w:rPr>
                <w:rFonts w:hint="eastAsia"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m</w:t>
            </w:r>
          </w:p>
        </w:tc>
        <w:tc>
          <w:tcPr>
            <w:tcW w:w="977" w:type="dxa"/>
            <w:noWrap w:val="0"/>
            <w:vAlign w:val="center"/>
          </w:tcPr>
          <w:p>
            <w:pPr>
              <w:widowControl/>
              <w:spacing w:line="0" w:lineRule="atLeast"/>
              <w:jc w:val="center"/>
              <w:textAlignment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40</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24</w:t>
            </w:r>
          </w:p>
        </w:tc>
        <w:tc>
          <w:tcPr>
            <w:tcW w:w="889" w:type="dxa"/>
            <w:noWrap w:val="0"/>
            <w:vAlign w:val="center"/>
          </w:tcPr>
          <w:p>
            <w:pPr>
              <w:widowControl/>
              <w:spacing w:line="0" w:lineRule="atLeast"/>
              <w:jc w:val="left"/>
              <w:textAlignment w:val="center"/>
              <w:rPr>
                <w:rFonts w:hint="default" w:ascii="仿宋" w:hAnsi="仿宋" w:eastAsia="仿宋" w:cs="Times New Roman"/>
                <w:color w:val="000000"/>
                <w:kern w:val="2"/>
                <w:sz w:val="30"/>
                <w:szCs w:val="30"/>
                <w:lang w:val="en-US" w:eastAsia="zh-CN" w:bidi="ar-SA"/>
              </w:rPr>
            </w:pPr>
            <w:r>
              <w:rPr>
                <w:rFonts w:hint="eastAsia" w:ascii="宋体" w:hAnsi="宋体" w:cs="宋体"/>
                <w:color w:val="000000"/>
                <w:kern w:val="0"/>
                <w:sz w:val="24"/>
                <w:szCs w:val="24"/>
                <w:lang w:val="en-US" w:eastAsia="zh-CN" w:bidi="ar"/>
              </w:rPr>
              <w:t>防水开关（带插座）</w:t>
            </w:r>
          </w:p>
        </w:tc>
        <w:tc>
          <w:tcPr>
            <w:tcW w:w="4474" w:type="dxa"/>
            <w:noWrap w:val="0"/>
            <w:vAlign w:val="center"/>
          </w:tcPr>
          <w:p>
            <w:pPr>
              <w:keepNext w:val="0"/>
              <w:keepLines w:val="0"/>
              <w:widowControl/>
              <w:numPr>
                <w:ilvl w:val="0"/>
                <w:numId w:val="20"/>
              </w:numPr>
              <w:suppressLineNumbers w:val="0"/>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规格</w:t>
            </w:r>
            <w:r>
              <w:rPr>
                <w:rFonts w:hint="eastAsia" w:ascii="宋体" w:hAnsi="宋体" w:cs="宋体"/>
                <w:color w:val="000000"/>
                <w:kern w:val="0"/>
                <w:sz w:val="24"/>
                <w:szCs w:val="24"/>
                <w:lang w:val="en-US" w:eastAsia="zh-CN" w:bidi="ar"/>
              </w:rPr>
              <w:t>16</w:t>
            </w:r>
            <w:r>
              <w:rPr>
                <w:rFonts w:hint="eastAsia" w:ascii="宋体" w:hAnsi="宋体" w:cs="宋体"/>
                <w:color w:val="000000"/>
                <w:kern w:val="0"/>
                <w:sz w:val="24"/>
                <w:szCs w:val="24"/>
                <w:lang w:bidi="ar"/>
              </w:rPr>
              <w:t>A，AC</w:t>
            </w:r>
            <w:r>
              <w:rPr>
                <w:rFonts w:hint="eastAsia" w:ascii="宋体" w:hAnsi="宋体" w:cs="宋体"/>
                <w:color w:val="000000"/>
                <w:kern w:val="0"/>
                <w:sz w:val="24"/>
                <w:szCs w:val="24"/>
                <w:lang w:val="en-US" w:eastAsia="zh-CN" w:bidi="ar"/>
              </w:rPr>
              <w:t>25</w:t>
            </w:r>
            <w:r>
              <w:rPr>
                <w:rFonts w:hint="eastAsia" w:ascii="宋体" w:hAnsi="宋体" w:cs="宋体"/>
                <w:color w:val="000000"/>
                <w:kern w:val="0"/>
                <w:sz w:val="24"/>
                <w:szCs w:val="24"/>
                <w:lang w:bidi="ar"/>
              </w:rPr>
              <w:t>0V，</w:t>
            </w:r>
            <w:r>
              <w:rPr>
                <w:rFonts w:hint="eastAsia" w:ascii="宋体" w:hAnsi="宋体" w:cs="宋体"/>
                <w:color w:val="000000"/>
                <w:kern w:val="0"/>
                <w:sz w:val="24"/>
                <w:szCs w:val="24"/>
                <w:lang w:val="en-US" w:eastAsia="zh-CN" w:bidi="ar"/>
              </w:rPr>
              <w:t>带三孔插座，</w:t>
            </w:r>
            <w:r>
              <w:rPr>
                <w:rFonts w:hint="eastAsia" w:ascii="宋体" w:hAnsi="宋体" w:cs="宋体"/>
                <w:color w:val="000000"/>
                <w:kern w:val="0"/>
                <w:sz w:val="24"/>
                <w:szCs w:val="24"/>
                <w:lang w:bidi="ar"/>
              </w:rPr>
              <w:t>施耐德等同等质量品牌</w:t>
            </w:r>
          </w:p>
          <w:p>
            <w:pPr>
              <w:keepNext w:val="0"/>
              <w:keepLines w:val="0"/>
              <w:widowControl/>
              <w:numPr>
                <w:ilvl w:val="0"/>
                <w:numId w:val="20"/>
              </w:numPr>
              <w:suppressLineNumbers w:val="0"/>
              <w:jc w:val="left"/>
              <w:textAlignment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贴标识牌</w:t>
            </w:r>
          </w:p>
        </w:tc>
        <w:tc>
          <w:tcPr>
            <w:tcW w:w="962"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firstLine="0" w:firstLineChars="0"/>
              <w:jc w:val="center"/>
              <w:textAlignment w:val="auto"/>
              <w:rPr>
                <w:rFonts w:hint="eastAsia" w:ascii="Calibri" w:hAnsi="Calibri" w:eastAsia="宋体" w:cs="Times New Roman"/>
                <w:kern w:val="2"/>
                <w:sz w:val="21"/>
                <w:szCs w:val="22"/>
                <w:lang w:val="en-US" w:eastAsia="zh-CN" w:bidi="ar-SA"/>
              </w:rPr>
            </w:pPr>
            <w:r>
              <w:rPr>
                <w:rFonts w:hint="eastAsia"/>
                <w:lang w:val="en-US" w:eastAsia="zh-CN"/>
              </w:rPr>
              <w:t>个</w:t>
            </w:r>
          </w:p>
        </w:tc>
        <w:tc>
          <w:tcPr>
            <w:tcW w:w="977" w:type="dxa"/>
            <w:noWrap w:val="0"/>
            <w:vAlign w:val="center"/>
          </w:tcPr>
          <w:p>
            <w:pPr>
              <w:widowControl/>
              <w:spacing w:line="0" w:lineRule="atLeast"/>
              <w:jc w:val="center"/>
              <w:textAlignment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4</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25</w:t>
            </w:r>
          </w:p>
        </w:tc>
        <w:tc>
          <w:tcPr>
            <w:tcW w:w="889" w:type="dxa"/>
            <w:noWrap w:val="0"/>
            <w:vAlign w:val="center"/>
          </w:tcPr>
          <w:p>
            <w:pPr>
              <w:widowControl/>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插座防水箱</w:t>
            </w:r>
          </w:p>
        </w:tc>
        <w:tc>
          <w:tcPr>
            <w:tcW w:w="4474" w:type="dxa"/>
            <w:noWrap w:val="0"/>
            <w:vAlign w:val="center"/>
          </w:tcPr>
          <w:p>
            <w:pPr>
              <w:widowControl/>
              <w:numPr>
                <w:ilvl w:val="0"/>
                <w:numId w:val="21"/>
              </w:numPr>
              <w:spacing w:line="0" w:lineRule="atLeast"/>
              <w:jc w:val="left"/>
              <w:textAlignment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采用不锈钢或铝材制作，安装于室外，内置防水开关</w:t>
            </w:r>
          </w:p>
          <w:p>
            <w:pPr>
              <w:widowControl/>
              <w:numPr>
                <w:ilvl w:val="0"/>
                <w:numId w:val="21"/>
              </w:numPr>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配备钥匙，方便开启</w:t>
            </w:r>
          </w:p>
        </w:tc>
        <w:tc>
          <w:tcPr>
            <w:tcW w:w="962"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firstLine="0" w:firstLineChars="0"/>
              <w:jc w:val="center"/>
              <w:textAlignment w:val="auto"/>
              <w:rPr>
                <w:rFonts w:hint="eastAsia" w:ascii="Calibri" w:hAnsi="Calibri" w:eastAsia="宋体" w:cs="Times New Roman"/>
                <w:kern w:val="2"/>
                <w:sz w:val="21"/>
                <w:szCs w:val="22"/>
                <w:lang w:val="en-US" w:eastAsia="zh-CN" w:bidi="ar-SA"/>
              </w:rPr>
            </w:pPr>
            <w:r>
              <w:rPr>
                <w:rFonts w:hint="eastAsia"/>
                <w:lang w:val="en-US" w:eastAsia="zh-CN"/>
              </w:rPr>
              <w:t>个</w:t>
            </w:r>
          </w:p>
        </w:tc>
        <w:tc>
          <w:tcPr>
            <w:tcW w:w="977" w:type="dxa"/>
            <w:noWrap w:val="0"/>
            <w:vAlign w:val="center"/>
          </w:tcPr>
          <w:p>
            <w:pPr>
              <w:widowControl/>
              <w:spacing w:line="0" w:lineRule="atLeast"/>
              <w:jc w:val="center"/>
              <w:textAlignment w:val="center"/>
              <w:rPr>
                <w:rFonts w:hint="eastAsia"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1</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26</w:t>
            </w:r>
          </w:p>
        </w:tc>
        <w:tc>
          <w:tcPr>
            <w:tcW w:w="889" w:type="dxa"/>
            <w:noWrap w:val="0"/>
            <w:vAlign w:val="center"/>
          </w:tcPr>
          <w:p>
            <w:pPr>
              <w:widowControl/>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接缝处修补</w:t>
            </w:r>
          </w:p>
        </w:tc>
        <w:tc>
          <w:tcPr>
            <w:tcW w:w="4474" w:type="dxa"/>
            <w:noWrap w:val="0"/>
            <w:vAlign w:val="center"/>
          </w:tcPr>
          <w:p>
            <w:pPr>
              <w:widowControl/>
              <w:numPr>
                <w:ilvl w:val="0"/>
                <w:numId w:val="22"/>
              </w:numPr>
              <w:spacing w:line="0" w:lineRule="atLeast"/>
              <w:jc w:val="left"/>
              <w:textAlignment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清理接缝杂物，</w:t>
            </w:r>
          </w:p>
          <w:p>
            <w:pPr>
              <w:widowControl/>
              <w:numPr>
                <w:ilvl w:val="0"/>
                <w:numId w:val="22"/>
              </w:numPr>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接缝处堵漏王填缝</w:t>
            </w:r>
          </w:p>
          <w:p>
            <w:pPr>
              <w:widowControl/>
              <w:numPr>
                <w:ilvl w:val="0"/>
                <w:numId w:val="22"/>
              </w:numPr>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涂耐聚合物防水涂料（缝上下100mm）</w:t>
            </w:r>
          </w:p>
        </w:tc>
        <w:tc>
          <w:tcPr>
            <w:tcW w:w="962"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firstLine="0" w:firstLineChars="0"/>
              <w:jc w:val="center"/>
              <w:textAlignment w:val="auto"/>
              <w:rPr>
                <w:rFonts w:hint="eastAsia" w:ascii="Calibri" w:hAnsi="Calibri" w:eastAsia="宋体" w:cs="Times New Roman"/>
                <w:kern w:val="2"/>
                <w:sz w:val="21"/>
                <w:szCs w:val="22"/>
                <w:lang w:val="en-US" w:eastAsia="zh-CN" w:bidi="ar-SA"/>
              </w:rPr>
            </w:pPr>
            <w:r>
              <w:rPr>
                <w:rFonts w:hint="eastAsia"/>
                <w:lang w:val="en-US" w:eastAsia="zh-CN"/>
              </w:rPr>
              <w:t>m</w:t>
            </w:r>
          </w:p>
        </w:tc>
        <w:tc>
          <w:tcPr>
            <w:tcW w:w="977"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55</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bl>
    <w:p>
      <w:pPr>
        <w:numPr>
          <w:ilvl w:val="0"/>
          <w:numId w:val="0"/>
        </w:numPr>
        <w:spacing w:before="120" w:beforeLines="50" w:after="120" w:afterLines="50" w:line="360" w:lineRule="auto"/>
        <w:ind w:firstLine="480" w:firstLineChars="200"/>
        <w:rPr>
          <w:rFonts w:hint="eastAsia" w:ascii="宋体" w:hAnsi="宋体"/>
          <w:sz w:val="24"/>
        </w:rPr>
      </w:pPr>
    </w:p>
    <w:p>
      <w:pPr>
        <w:numPr>
          <w:ilvl w:val="0"/>
          <w:numId w:val="23"/>
        </w:numPr>
        <w:spacing w:before="120" w:beforeLines="50" w:after="120" w:afterLines="50" w:line="360" w:lineRule="auto"/>
        <w:ind w:leftChars="200"/>
        <w:rPr>
          <w:rFonts w:hint="eastAsia" w:ascii="宋体" w:hAnsi="宋体" w:cs="宋体"/>
          <w:i w:val="0"/>
          <w:color w:val="000000"/>
          <w:kern w:val="0"/>
          <w:sz w:val="24"/>
          <w:szCs w:val="24"/>
          <w:u w:val="none"/>
          <w:lang w:val="en-US" w:eastAsia="zh-CN" w:bidi="ar"/>
        </w:rPr>
      </w:pPr>
      <w:r>
        <w:rPr>
          <w:rFonts w:hint="eastAsia" w:ascii="宋体" w:hAnsi="宋体"/>
          <w:b/>
          <w:sz w:val="24"/>
          <w:lang w:val="en-US" w:eastAsia="zh-CN"/>
        </w:rPr>
        <w:t>材料说明</w:t>
      </w:r>
    </w:p>
    <w:p>
      <w:pPr>
        <w:numPr>
          <w:ilvl w:val="0"/>
          <w:numId w:val="0"/>
        </w:num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中标施工单位提供材料样品、资料，并由业主确定。</w:t>
      </w:r>
    </w:p>
    <w:p>
      <w:pPr>
        <w:numPr>
          <w:ilvl w:val="0"/>
          <w:numId w:val="1"/>
        </w:numPr>
        <w:spacing w:before="120" w:beforeLines="50" w:after="120" w:afterLines="50" w:line="360" w:lineRule="auto"/>
        <w:ind w:left="0" w:firstLine="482" w:firstLineChars="200"/>
        <w:rPr>
          <w:b/>
          <w:bCs/>
          <w:sz w:val="24"/>
        </w:rPr>
      </w:pPr>
      <w:r>
        <w:rPr>
          <w:rFonts w:hint="eastAsia"/>
          <w:b/>
          <w:bCs/>
          <w:sz w:val="24"/>
        </w:rPr>
        <w:t>施工要求</w:t>
      </w:r>
    </w:p>
    <w:p>
      <w:pPr>
        <w:numPr>
          <w:ilvl w:val="0"/>
          <w:numId w:val="0"/>
        </w:num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1、安全第一，执行甲方的安全管理规章制度，办票作业。</w:t>
      </w:r>
    </w:p>
    <w:p>
      <w:pPr>
        <w:numPr>
          <w:ilvl w:val="0"/>
          <w:numId w:val="0"/>
        </w:num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2、施工方应充分察勘现场已有条件和潜在技术风险，充分考虑施工难度，施工时注意成品保护，必要时采取围护、覆盖等有效措施，施工方应充分考虑成品保护措施费。</w:t>
      </w:r>
    </w:p>
    <w:p>
      <w:pPr>
        <w:numPr>
          <w:ilvl w:val="0"/>
          <w:numId w:val="0"/>
        </w:num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3、包建筑垃圾外运，现场及时清理。</w:t>
      </w:r>
    </w:p>
    <w:p>
      <w:pPr>
        <w:numPr>
          <w:ilvl w:val="0"/>
          <w:numId w:val="0"/>
        </w:num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4、项目经理或安全员到场管理，且人证合一。</w:t>
      </w:r>
    </w:p>
    <w:p>
      <w:pPr>
        <w:numPr>
          <w:ilvl w:val="0"/>
          <w:numId w:val="0"/>
        </w:numPr>
        <w:spacing w:line="360" w:lineRule="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5、施工时间：8：30-17：30</w:t>
      </w:r>
      <w:r>
        <w:rPr>
          <w:rFonts w:hint="eastAsia" w:ascii="宋体" w:hAnsi="宋体" w:cs="宋体"/>
          <w:color w:val="000000"/>
          <w:sz w:val="24"/>
          <w:szCs w:val="24"/>
          <w:lang w:val="en-US" w:eastAsia="zh-CN"/>
        </w:rPr>
        <w:t>。</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项目工期、验收标准及质保期限</w:t>
      </w:r>
    </w:p>
    <w:p>
      <w:pPr>
        <w:numPr>
          <w:ilvl w:val="0"/>
          <w:numId w:val="24"/>
        </w:numPr>
        <w:spacing w:before="120" w:beforeLines="50" w:after="120" w:afterLines="50" w:line="360" w:lineRule="auto"/>
        <w:ind w:left="0" w:firstLine="480" w:firstLineChars="200"/>
        <w:rPr>
          <w:sz w:val="24"/>
        </w:rPr>
      </w:pPr>
      <w:r>
        <w:rPr>
          <w:rFonts w:hint="eastAsia"/>
          <w:sz w:val="24"/>
        </w:rPr>
        <w:t>施工工期</w:t>
      </w:r>
    </w:p>
    <w:p>
      <w:pPr>
        <w:spacing w:before="120" w:beforeLines="50" w:after="120" w:afterLines="50" w:line="360" w:lineRule="auto"/>
        <w:ind w:left="425" w:right="425" w:firstLine="480" w:firstLineChars="200"/>
        <w:rPr>
          <w:rFonts w:ascii="宋体" w:hAnsi="宋体" w:cs="宋体"/>
          <w:bCs/>
          <w:kern w:val="0"/>
          <w:sz w:val="24"/>
        </w:rPr>
      </w:pPr>
      <w:r>
        <w:rPr>
          <w:rFonts w:hint="eastAsia" w:ascii="宋体" w:hAnsi="宋体" w:cs="宋体"/>
          <w:bCs/>
          <w:kern w:val="0"/>
          <w:sz w:val="24"/>
        </w:rPr>
        <w:t>本项目总工期为</w:t>
      </w:r>
      <w:r>
        <w:rPr>
          <w:rFonts w:hint="eastAsia" w:ascii="宋体" w:hAnsi="宋体" w:cs="宋体"/>
          <w:bCs/>
          <w:kern w:val="0"/>
          <w:sz w:val="24"/>
          <w:lang w:val="en-US" w:eastAsia="zh-CN"/>
        </w:rPr>
        <w:t>40</w:t>
      </w:r>
      <w:r>
        <w:rPr>
          <w:rFonts w:hint="eastAsia" w:ascii="宋体" w:hAnsi="宋体" w:cs="宋体"/>
          <w:bCs/>
          <w:kern w:val="0"/>
          <w:sz w:val="24"/>
        </w:rPr>
        <w:t>天（含节假日，连续计算），具体开工日期以甲方通知为准。</w:t>
      </w:r>
    </w:p>
    <w:p>
      <w:pPr>
        <w:numPr>
          <w:ilvl w:val="0"/>
          <w:numId w:val="24"/>
        </w:numPr>
        <w:spacing w:before="120" w:beforeLines="50" w:after="120" w:afterLines="50" w:line="360" w:lineRule="auto"/>
        <w:ind w:left="0" w:firstLine="480" w:firstLineChars="200"/>
        <w:rPr>
          <w:sz w:val="24"/>
        </w:rPr>
      </w:pPr>
      <w:r>
        <w:rPr>
          <w:rFonts w:hint="eastAsia"/>
          <w:sz w:val="24"/>
        </w:rPr>
        <w:t>工程验收标准及方式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00" w:firstLineChars="0"/>
        <w:jc w:val="left"/>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工程验收标准：满足</w:t>
      </w:r>
      <w:r>
        <w:rPr>
          <w:rFonts w:hint="eastAsia" w:ascii="Times New Roman" w:hAnsi="Times New Roman" w:eastAsia="宋体" w:cs="Times New Roman"/>
          <w:b w:val="0"/>
          <w:bCs w:val="0"/>
          <w:kern w:val="2"/>
          <w:sz w:val="24"/>
          <w:szCs w:val="24"/>
          <w:lang w:val="en-US" w:eastAsia="zh-CN" w:bidi="ar-SA"/>
        </w:rPr>
        <w:fldChar w:fldCharType="begin"/>
      </w:r>
      <w:r>
        <w:rPr>
          <w:rFonts w:hint="eastAsia" w:ascii="Times New Roman" w:hAnsi="Times New Roman" w:eastAsia="宋体" w:cs="Times New Roman"/>
          <w:b w:val="0"/>
          <w:bCs w:val="0"/>
          <w:kern w:val="2"/>
          <w:sz w:val="24"/>
          <w:szCs w:val="24"/>
          <w:lang w:val="en-US" w:eastAsia="zh-CN" w:bidi="ar-SA"/>
        </w:rPr>
        <w:instrText xml:space="preserve"> HYPERLINK "http://www.baidu.com/link?url=6Q2h0Z9OGZgmpfq2GxdXh069TX7NRbhWHVz0cSHM3_lW_vDDJ_h5h4p0lDIvHuUuqAy69RxONGdsvkeGMuFqHK" \t "https://www.baidu.com/_blank" </w:instrText>
      </w:r>
      <w:r>
        <w:rPr>
          <w:rFonts w:hint="eastAsia" w:ascii="Times New Roman" w:hAnsi="Times New Roman" w:eastAsia="宋体" w:cs="Times New Roman"/>
          <w:b w:val="0"/>
          <w:bCs w:val="0"/>
          <w:kern w:val="2"/>
          <w:sz w:val="24"/>
          <w:szCs w:val="24"/>
          <w:lang w:val="en-US" w:eastAsia="zh-CN" w:bidi="ar-SA"/>
        </w:rPr>
        <w:fldChar w:fldCharType="separate"/>
      </w:r>
      <w:r>
        <w:rPr>
          <w:rFonts w:hint="eastAsia" w:ascii="Times New Roman" w:hAnsi="Times New Roman" w:eastAsia="宋体" w:cs="Times New Roman"/>
          <w:b w:val="0"/>
          <w:bCs w:val="0"/>
          <w:kern w:val="2"/>
          <w:sz w:val="24"/>
          <w:szCs w:val="24"/>
          <w:lang w:val="en-US" w:eastAsia="zh-CN" w:bidi="ar-SA"/>
        </w:rPr>
        <w:t>最新《建筑装饰装修工程质量验收标准》（GB50210-2018）</w:t>
      </w:r>
      <w:r>
        <w:rPr>
          <w:rFonts w:hint="eastAsia" w:ascii="Times New Roman" w:hAnsi="Times New Roman" w:eastAsia="宋体" w:cs="Times New Roman"/>
          <w:b w:val="0"/>
          <w:bCs w:val="0"/>
          <w:kern w:val="2"/>
          <w:sz w:val="24"/>
          <w:szCs w:val="24"/>
          <w:lang w:val="en-US" w:eastAsia="zh-CN" w:bidi="ar-SA"/>
        </w:rPr>
        <w:fldChar w:fldCharType="end"/>
      </w:r>
      <w:r>
        <w:rPr>
          <w:rFonts w:hint="eastAsia" w:ascii="Times New Roman" w:hAnsi="Times New Roman" w:eastAsia="宋体" w:cs="Times New Roman"/>
          <w:b w:val="0"/>
          <w:bCs w:val="0"/>
          <w:kern w:val="2"/>
          <w:sz w:val="24"/>
          <w:szCs w:val="24"/>
          <w:lang w:val="en-US" w:eastAsia="zh-CN" w:bidi="ar-SA"/>
        </w:rPr>
        <w:t>、《建筑工程施工质量验收统一标准》（GB50300-2013）、《地沟和盖板》（13ZJ302-2013）要求。</w:t>
      </w:r>
    </w:p>
    <w:p>
      <w:pPr>
        <w:numPr>
          <w:ilvl w:val="0"/>
          <w:numId w:val="25"/>
        </w:numPr>
        <w:spacing w:before="120" w:beforeLines="50" w:after="120" w:afterLines="50" w:line="360" w:lineRule="auto"/>
        <w:ind w:left="0" w:firstLine="480" w:firstLineChars="200"/>
        <w:rPr>
          <w:rFonts w:ascii="宋体" w:hAnsi="宋体"/>
          <w:sz w:val="24"/>
        </w:rPr>
      </w:pPr>
      <w:r>
        <w:rPr>
          <w:rFonts w:hint="eastAsia" w:ascii="宋体" w:hAnsi="宋体"/>
          <w:sz w:val="24"/>
        </w:rPr>
        <w:t>工程验收的方式：</w:t>
      </w:r>
    </w:p>
    <w:p>
      <w:pPr>
        <w:numPr>
          <w:ilvl w:val="0"/>
          <w:numId w:val="26"/>
        </w:numPr>
        <w:spacing w:before="120" w:beforeLines="50" w:after="120" w:afterLines="50" w:line="360" w:lineRule="auto"/>
        <w:ind w:left="0" w:firstLine="480" w:firstLineChars="200"/>
        <w:rPr>
          <w:rFonts w:ascii="宋体" w:hAnsi="宋体" w:cs="宋体"/>
          <w:bCs/>
          <w:kern w:val="0"/>
          <w:sz w:val="24"/>
        </w:rPr>
      </w:pPr>
      <w:r>
        <w:rPr>
          <w:rFonts w:hint="eastAsia" w:ascii="宋体" w:hAnsi="宋体" w:cs="宋体"/>
          <w:bCs/>
          <w:kern w:val="0"/>
          <w:sz w:val="24"/>
        </w:rPr>
        <w:t>施工单位在完工后，须提前3天提交工程验收进度计划给采购人，以便采购人组织相关人员对项目进行验收。</w:t>
      </w:r>
    </w:p>
    <w:p>
      <w:pPr>
        <w:numPr>
          <w:ilvl w:val="0"/>
          <w:numId w:val="26"/>
        </w:numPr>
        <w:spacing w:before="120" w:beforeLines="50" w:after="120" w:afterLines="50" w:line="360" w:lineRule="auto"/>
        <w:ind w:left="0" w:firstLine="480" w:firstLineChars="200"/>
        <w:rPr>
          <w:rFonts w:ascii="宋体" w:hAnsi="宋体" w:cs="宋体"/>
          <w:bCs/>
          <w:kern w:val="0"/>
          <w:sz w:val="24"/>
        </w:rPr>
      </w:pPr>
      <w:r>
        <w:rPr>
          <w:rFonts w:hint="eastAsia" w:ascii="宋体" w:hAnsi="宋体" w:cs="宋体"/>
          <w:bCs/>
          <w:kern w:val="0"/>
          <w:sz w:val="24"/>
        </w:rPr>
        <w:t>经采购人组织相关人员进行验收合格后，签发验收合格证明文件。</w:t>
      </w:r>
    </w:p>
    <w:p>
      <w:pPr>
        <w:numPr>
          <w:ilvl w:val="0"/>
          <w:numId w:val="26"/>
        </w:numPr>
        <w:spacing w:before="120" w:beforeLines="50" w:after="120" w:afterLines="50" w:line="360" w:lineRule="auto"/>
        <w:ind w:left="0" w:firstLine="480" w:firstLineChars="200"/>
        <w:rPr>
          <w:rFonts w:ascii="宋体" w:hAnsi="宋体" w:cs="宋体"/>
          <w:bCs/>
          <w:kern w:val="0"/>
          <w:sz w:val="24"/>
        </w:rPr>
      </w:pPr>
      <w:r>
        <w:rPr>
          <w:rFonts w:hint="eastAsia" w:ascii="宋体" w:hAnsi="宋体" w:cs="宋体"/>
          <w:bCs/>
          <w:kern w:val="0"/>
          <w:sz w:val="24"/>
        </w:rPr>
        <w:t>施工单位必须将产品所有资料（如有，包括但不限于设备检验合格证书、3C认证证书等）提交采购人，同时将与项目有关的竣工资料一式两份一起提交给采购人。</w:t>
      </w:r>
    </w:p>
    <w:p>
      <w:pPr>
        <w:numPr>
          <w:ilvl w:val="0"/>
          <w:numId w:val="26"/>
        </w:numPr>
        <w:spacing w:before="120" w:beforeLines="50" w:after="120" w:afterLines="50" w:line="360" w:lineRule="auto"/>
        <w:ind w:left="0" w:firstLine="480" w:firstLineChars="200"/>
        <w:rPr>
          <w:rFonts w:ascii="宋体" w:hAnsi="宋体" w:cs="宋体"/>
          <w:bCs/>
          <w:kern w:val="0"/>
          <w:sz w:val="24"/>
        </w:rPr>
      </w:pPr>
      <w:r>
        <w:rPr>
          <w:rFonts w:hint="eastAsia" w:ascii="宋体" w:hAnsi="宋体" w:cs="宋体"/>
          <w:bCs/>
          <w:kern w:val="0"/>
          <w:sz w:val="24"/>
        </w:rPr>
        <w:t>来料验收、过程验收及竣工验收。</w:t>
      </w:r>
    </w:p>
    <w:p>
      <w:pPr>
        <w:numPr>
          <w:ilvl w:val="0"/>
          <w:numId w:val="25"/>
        </w:numPr>
        <w:spacing w:before="120" w:beforeLines="50" w:after="120" w:afterLines="50" w:line="360" w:lineRule="auto"/>
        <w:ind w:left="0" w:firstLine="480" w:firstLineChars="200"/>
        <w:rPr>
          <w:rFonts w:ascii="宋体" w:hAnsi="宋体"/>
          <w:sz w:val="24"/>
        </w:rPr>
      </w:pPr>
      <w:r>
        <w:rPr>
          <w:rFonts w:hint="eastAsia" w:ascii="宋体" w:hAnsi="宋体"/>
          <w:sz w:val="24"/>
        </w:rPr>
        <w:t>质保期及质保期内需履行的特殊义务：</w:t>
      </w:r>
      <w:r>
        <w:rPr>
          <w:rFonts w:hint="eastAsia" w:ascii="宋体" w:hAnsi="宋体"/>
          <w:sz w:val="24"/>
          <w:lang w:val="en-US" w:eastAsia="zh-CN"/>
        </w:rPr>
        <w:t>1</w:t>
      </w:r>
      <w:r>
        <w:rPr>
          <w:rFonts w:hint="eastAsia" w:ascii="宋体" w:hAnsi="宋体"/>
          <w:sz w:val="24"/>
        </w:rPr>
        <w:t>年，从竣工验收开始计算。</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工程费用及支付方式</w:t>
      </w:r>
    </w:p>
    <w:p>
      <w:pPr>
        <w:numPr>
          <w:ilvl w:val="0"/>
          <w:numId w:val="27"/>
        </w:numPr>
        <w:spacing w:before="120" w:beforeLines="50" w:after="120" w:afterLines="50" w:line="360" w:lineRule="auto"/>
        <w:ind w:left="0" w:firstLine="480" w:firstLineChars="200"/>
        <w:rPr>
          <w:sz w:val="24"/>
        </w:rPr>
      </w:pPr>
      <w:r>
        <w:rPr>
          <w:rFonts w:hint="eastAsia"/>
          <w:sz w:val="24"/>
        </w:rPr>
        <w:t>本工程采用综合</w:t>
      </w:r>
      <w:r>
        <w:rPr>
          <w:rFonts w:hint="eastAsia"/>
          <w:sz w:val="24"/>
          <w:lang w:val="en-US" w:eastAsia="zh-CN"/>
        </w:rPr>
        <w:t>单</w:t>
      </w:r>
      <w:r>
        <w:rPr>
          <w:rFonts w:hint="eastAsia"/>
          <w:sz w:val="24"/>
        </w:rPr>
        <w:t>价包干</w:t>
      </w:r>
      <w:r>
        <w:rPr>
          <w:sz w:val="24"/>
        </w:rPr>
        <w:t>，</w:t>
      </w:r>
      <w:r>
        <w:rPr>
          <w:rFonts w:hint="eastAsia"/>
          <w:sz w:val="24"/>
        </w:rPr>
        <w:t>包工、包料、包工期、包质量、包安全、包安全文明施工、包验收、包调试、包结算、包资料整理、包综合治理、包风险、包利润和管理费等完成本项目的全部费用</w:t>
      </w:r>
      <w:r>
        <w:rPr>
          <w:sz w:val="24"/>
        </w:rPr>
        <w:t>。</w:t>
      </w:r>
    </w:p>
    <w:p>
      <w:pPr>
        <w:numPr>
          <w:ilvl w:val="0"/>
          <w:numId w:val="27"/>
        </w:numPr>
        <w:spacing w:before="120" w:beforeLines="50" w:after="120" w:afterLines="50" w:line="360" w:lineRule="auto"/>
        <w:ind w:left="0" w:firstLine="480" w:firstLineChars="200"/>
        <w:rPr>
          <w:sz w:val="24"/>
        </w:rPr>
      </w:pPr>
      <w:r>
        <w:rPr>
          <w:rFonts w:hint="eastAsia"/>
          <w:sz w:val="24"/>
        </w:rPr>
        <w:t>本项目的投标总价应</w:t>
      </w:r>
      <w:r>
        <w:rPr>
          <w:sz w:val="24"/>
        </w:rPr>
        <w:t>包含</w:t>
      </w:r>
      <w:r>
        <w:rPr>
          <w:rFonts w:hint="eastAsia"/>
          <w:sz w:val="24"/>
        </w:rPr>
        <w:t>投标人按施工现场现状及施工范围根据采购人要求</w:t>
      </w:r>
      <w:r>
        <w:rPr>
          <w:sz w:val="24"/>
        </w:rPr>
        <w:t>完成项</w:t>
      </w:r>
      <w:r>
        <w:rPr>
          <w:rFonts w:hint="eastAsia"/>
          <w:sz w:val="24"/>
        </w:rPr>
        <w:t>目约定全部</w:t>
      </w:r>
      <w:r>
        <w:rPr>
          <w:sz w:val="24"/>
        </w:rPr>
        <w:t>工作所需的</w:t>
      </w:r>
      <w:r>
        <w:rPr>
          <w:rFonts w:hint="eastAsia"/>
          <w:sz w:val="24"/>
        </w:rPr>
        <w:t>税费及相关措施费及合同实施过程中应预见和不可预见的费用等等。工程量清单和竞选范围内的报价如有漏计或漏项的，视为投标人单方面作出的让利，费用不另行增加。</w:t>
      </w:r>
    </w:p>
    <w:p>
      <w:pPr>
        <w:numPr>
          <w:ilvl w:val="0"/>
          <w:numId w:val="27"/>
        </w:numPr>
        <w:spacing w:before="120" w:beforeLines="50" w:after="120" w:afterLines="50" w:line="360" w:lineRule="auto"/>
        <w:ind w:left="0" w:firstLine="480" w:firstLineChars="200"/>
        <w:rPr>
          <w:sz w:val="24"/>
        </w:rPr>
      </w:pPr>
      <w:r>
        <w:rPr>
          <w:rFonts w:hint="eastAsia"/>
          <w:sz w:val="24"/>
        </w:rPr>
        <w:t>付款方式</w:t>
      </w:r>
    </w:p>
    <w:p>
      <w:pPr>
        <w:numPr>
          <w:ilvl w:val="0"/>
          <w:numId w:val="28"/>
        </w:numPr>
        <w:spacing w:before="120" w:beforeLines="50" w:after="120" w:afterLines="50" w:line="360" w:lineRule="auto"/>
        <w:ind w:left="0" w:firstLine="480" w:firstLineChars="200"/>
        <w:rPr>
          <w:rFonts w:ascii="宋体" w:hAnsi="宋体"/>
          <w:sz w:val="24"/>
        </w:rPr>
      </w:pPr>
      <w:r>
        <w:rPr>
          <w:rFonts w:hint="eastAsia" w:ascii="宋体" w:hAnsi="宋体" w:cs="Arial"/>
          <w:color w:val="000000"/>
          <w:sz w:val="24"/>
        </w:rPr>
        <w:t>在本合</w:t>
      </w:r>
      <w:r>
        <w:rPr>
          <w:rFonts w:hint="eastAsia" w:ascii="宋体" w:hAnsi="宋体"/>
          <w:sz w:val="24"/>
        </w:rPr>
        <w:t>同履行期内，若国家税费调整，合同含税金额按国家规定税率作出相应调整，供方每次申请付款应按照合同内容开具相应税率的合法有效的增值税专用发票。</w:t>
      </w:r>
    </w:p>
    <w:p>
      <w:pPr>
        <w:numPr>
          <w:ilvl w:val="0"/>
          <w:numId w:val="2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合同签订并进场工</w:t>
      </w:r>
      <w:r>
        <w:rPr>
          <w:rFonts w:hint="eastAsia" w:ascii="宋体" w:hAnsi="宋体"/>
          <w:sz w:val="24"/>
        </w:rPr>
        <w:t>作后，甲方收到乙方请款资料后7个工作日内支付合同暂定总价的30%</w:t>
      </w:r>
      <w:r>
        <w:rPr>
          <w:rFonts w:hint="eastAsia" w:ascii="宋体" w:hAnsi="宋体" w:cs="Arial"/>
          <w:color w:val="000000"/>
          <w:sz w:val="24"/>
        </w:rPr>
        <w:t>预付款；工程全部完工验收合格和完成结算手续后，甲方收到乙方请款资料后15个工作日内支付至合同结算总价的95%（含预付款），质保期期满且乙方按要求妥善履行了质保期义务后，甲方收到乙方请款资料15个工作日内付清余款（不计利息）。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投标文件</w:t>
      </w:r>
    </w:p>
    <w:p>
      <w:pPr>
        <w:spacing w:before="120" w:beforeLines="50" w:after="120" w:afterLines="50" w:line="360" w:lineRule="auto"/>
        <w:ind w:firstLine="480" w:firstLineChars="200"/>
        <w:rPr>
          <w:sz w:val="24"/>
        </w:rPr>
      </w:pPr>
      <w:r>
        <w:rPr>
          <w:rFonts w:hint="eastAsia"/>
          <w:sz w:val="24"/>
        </w:rPr>
        <w:t>根据采购人要求的投标文件格式，进行密封报价（盖章）。投标文件应包含以下内容：</w:t>
      </w:r>
    </w:p>
    <w:p>
      <w:pPr>
        <w:numPr>
          <w:ilvl w:val="0"/>
          <w:numId w:val="29"/>
        </w:numPr>
        <w:spacing w:before="120" w:beforeLines="50" w:after="120" w:afterLines="50" w:line="360" w:lineRule="auto"/>
        <w:ind w:left="0" w:firstLine="480" w:firstLineChars="200"/>
        <w:rPr>
          <w:sz w:val="24"/>
        </w:rPr>
      </w:pPr>
      <w:r>
        <w:rPr>
          <w:rFonts w:hint="eastAsia"/>
          <w:sz w:val="24"/>
        </w:rPr>
        <w:t>商务部分（提供复印件，并加盖公章）</w:t>
      </w:r>
    </w:p>
    <w:p>
      <w:pPr>
        <w:numPr>
          <w:ilvl w:val="0"/>
          <w:numId w:val="30"/>
        </w:numPr>
        <w:spacing w:before="120" w:beforeLines="50" w:after="120" w:afterLines="50" w:line="360" w:lineRule="auto"/>
        <w:ind w:left="0" w:firstLine="480" w:firstLineChars="200"/>
        <w:rPr>
          <w:rFonts w:ascii="宋体" w:hAnsi="宋体" w:cs="Arial"/>
          <w:color w:val="000000"/>
          <w:sz w:val="24"/>
        </w:rPr>
      </w:pPr>
      <w:bookmarkStart w:id="0" w:name="_Hlk33472787"/>
      <w:r>
        <w:rPr>
          <w:rFonts w:hint="eastAsia" w:ascii="宋体" w:hAnsi="宋体" w:cs="Arial"/>
          <w:color w:val="000000"/>
          <w:sz w:val="24"/>
        </w:rPr>
        <w:t>有效的企业工商营业执照、企业法人组织机构代码证书、税务登记证书（或三证合一）；</w:t>
      </w:r>
    </w:p>
    <w:p>
      <w:pPr>
        <w:numPr>
          <w:ilvl w:val="0"/>
          <w:numId w:val="3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供应商调查表（格式见附件2）</w:t>
      </w:r>
    </w:p>
    <w:p>
      <w:pPr>
        <w:numPr>
          <w:ilvl w:val="0"/>
          <w:numId w:val="3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法定代表人证明书、法定代表人授权委托书原件（格式见附件3和附件4）；</w:t>
      </w:r>
    </w:p>
    <w:p>
      <w:pPr>
        <w:numPr>
          <w:ilvl w:val="0"/>
          <w:numId w:val="3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有效的安全生产许可证及资质证书；</w:t>
      </w:r>
    </w:p>
    <w:p>
      <w:pPr>
        <w:numPr>
          <w:ilvl w:val="0"/>
          <w:numId w:val="3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本工程拟派项目负责人简历表</w:t>
      </w:r>
      <w:r>
        <w:rPr>
          <w:rFonts w:ascii="宋体" w:hAnsi="宋体" w:cs="Arial"/>
          <w:color w:val="000000"/>
          <w:sz w:val="24"/>
        </w:rPr>
        <w:t>（包括姓名、部门和职务、</w:t>
      </w:r>
      <w:r>
        <w:rPr>
          <w:rFonts w:hint="eastAsia" w:ascii="宋体" w:hAnsi="宋体" w:cs="Arial"/>
          <w:color w:val="000000"/>
          <w:sz w:val="24"/>
        </w:rPr>
        <w:t>所学专业和</w:t>
      </w:r>
      <w:r>
        <w:rPr>
          <w:rFonts w:ascii="宋体" w:hAnsi="宋体" w:cs="Arial"/>
          <w:color w:val="000000"/>
          <w:sz w:val="24"/>
        </w:rPr>
        <w:t>毕业</w:t>
      </w:r>
      <w:r>
        <w:rPr>
          <w:rFonts w:hint="eastAsia" w:ascii="宋体" w:hAnsi="宋体" w:cs="Arial"/>
          <w:color w:val="000000"/>
          <w:sz w:val="24"/>
        </w:rPr>
        <w:t>院校名称及毕业</w:t>
      </w:r>
      <w:r>
        <w:rPr>
          <w:rFonts w:ascii="宋体" w:hAnsi="宋体" w:cs="Arial"/>
          <w:color w:val="000000"/>
          <w:sz w:val="24"/>
        </w:rPr>
        <w:t>时间、主要资历、经验及承担过的</w:t>
      </w:r>
      <w:r>
        <w:rPr>
          <w:rFonts w:hint="eastAsia" w:ascii="宋体" w:hAnsi="宋体" w:cs="Arial"/>
          <w:color w:val="000000"/>
          <w:sz w:val="24"/>
        </w:rPr>
        <w:t>类似</w:t>
      </w:r>
      <w:r>
        <w:rPr>
          <w:rFonts w:ascii="宋体" w:hAnsi="宋体" w:cs="Arial"/>
          <w:color w:val="000000"/>
          <w:sz w:val="24"/>
        </w:rPr>
        <w:t>项目</w:t>
      </w:r>
      <w:r>
        <w:rPr>
          <w:rFonts w:hint="eastAsia" w:ascii="宋体" w:hAnsi="宋体" w:cs="Arial"/>
          <w:color w:val="000000"/>
          <w:sz w:val="24"/>
        </w:rPr>
        <w:t>，</w:t>
      </w:r>
      <w:r>
        <w:rPr>
          <w:rFonts w:ascii="宋体" w:hAnsi="宋体" w:cs="Arial"/>
          <w:color w:val="000000"/>
          <w:sz w:val="24"/>
        </w:rPr>
        <w:t>获得认证资质证书</w:t>
      </w:r>
      <w:r>
        <w:rPr>
          <w:rFonts w:hint="eastAsia" w:ascii="宋体" w:hAnsi="宋体" w:cs="Arial"/>
          <w:color w:val="000000"/>
          <w:sz w:val="24"/>
        </w:rPr>
        <w:t>及复印件</w:t>
      </w:r>
      <w:r>
        <w:rPr>
          <w:rFonts w:ascii="宋体" w:hAnsi="宋体" w:cs="Arial"/>
          <w:color w:val="000000"/>
          <w:sz w:val="24"/>
        </w:rPr>
        <w:t>）</w:t>
      </w:r>
      <w:r>
        <w:rPr>
          <w:rFonts w:hint="eastAsia" w:ascii="宋体" w:hAnsi="宋体" w:cs="Arial"/>
          <w:color w:val="000000"/>
          <w:sz w:val="24"/>
        </w:rPr>
        <w:t>；</w:t>
      </w:r>
    </w:p>
    <w:p>
      <w:pPr>
        <w:numPr>
          <w:ilvl w:val="0"/>
          <w:numId w:val="30"/>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近3年内(20</w:t>
      </w:r>
      <w:r>
        <w:rPr>
          <w:rFonts w:hint="eastAsia" w:ascii="宋体" w:hAnsi="宋体" w:cs="Arial"/>
          <w:color w:val="000000"/>
          <w:sz w:val="24"/>
          <w:lang w:val="en-US" w:eastAsia="zh-CN"/>
        </w:rPr>
        <w:t>20</w:t>
      </w:r>
      <w:r>
        <w:rPr>
          <w:rFonts w:hint="eastAsia" w:ascii="宋体" w:hAnsi="宋体" w:cs="Arial"/>
          <w:color w:val="000000"/>
          <w:sz w:val="24"/>
        </w:rPr>
        <w:t>年1月1日至今) 完成过质量合格的类似项目业绩（需提供合同和验收报告等相关证明材料复印件）；</w:t>
      </w:r>
    </w:p>
    <w:p>
      <w:pPr>
        <w:numPr>
          <w:ilvl w:val="0"/>
          <w:numId w:val="30"/>
        </w:numPr>
        <w:spacing w:before="120" w:beforeLines="50" w:after="120" w:afterLines="50" w:line="360" w:lineRule="auto"/>
        <w:ind w:left="0" w:firstLine="480" w:firstLineChars="200"/>
        <w:rPr>
          <w:sz w:val="28"/>
          <w:szCs w:val="28"/>
        </w:rPr>
      </w:pPr>
      <w:r>
        <w:rPr>
          <w:rFonts w:hint="eastAsia" w:ascii="宋体" w:hAnsi="宋体" w:cs="Arial"/>
          <w:color w:val="000000"/>
          <w:sz w:val="24"/>
        </w:rPr>
        <w:t>投标人认为有必要的其他材料复印件</w:t>
      </w:r>
      <w:bookmarkEnd w:id="0"/>
      <w:r>
        <w:rPr>
          <w:rFonts w:hint="eastAsia" w:ascii="宋体" w:hAnsi="宋体" w:cs="Arial"/>
          <w:color w:val="000000"/>
          <w:sz w:val="24"/>
        </w:rPr>
        <w:t>。</w:t>
      </w:r>
    </w:p>
    <w:p>
      <w:pPr>
        <w:numPr>
          <w:ilvl w:val="0"/>
          <w:numId w:val="29"/>
        </w:numPr>
        <w:spacing w:before="120" w:beforeLines="50" w:after="120" w:afterLines="50" w:line="360" w:lineRule="auto"/>
        <w:ind w:left="0" w:firstLine="480" w:firstLineChars="200"/>
        <w:rPr>
          <w:sz w:val="24"/>
        </w:rPr>
      </w:pPr>
      <w:r>
        <w:rPr>
          <w:rFonts w:hint="eastAsia"/>
          <w:sz w:val="24"/>
        </w:rPr>
        <w:t>技术部分（格式自定，加盖公章）</w:t>
      </w:r>
    </w:p>
    <w:p>
      <w:pPr>
        <w:spacing w:before="120" w:beforeLines="50" w:after="120" w:afterLines="50" w:line="360" w:lineRule="auto"/>
        <w:ind w:firstLine="480" w:firstLineChars="200"/>
        <w:rPr>
          <w:sz w:val="24"/>
        </w:rPr>
      </w:pPr>
      <w:r>
        <w:rPr>
          <w:rFonts w:hint="eastAsia"/>
          <w:sz w:val="24"/>
        </w:rPr>
        <w:t>施工方案：施工单位应充分了解现场条件，并针对本项目制定切实可行的施工方案，包括但不限于：</w:t>
      </w:r>
    </w:p>
    <w:p>
      <w:pPr>
        <w:numPr>
          <w:ilvl w:val="0"/>
          <w:numId w:val="31"/>
        </w:numPr>
        <w:spacing w:before="120" w:beforeLines="50" w:after="120" w:afterLines="50" w:line="360" w:lineRule="auto"/>
        <w:ind w:left="0" w:firstLine="480" w:firstLineChars="200"/>
        <w:rPr>
          <w:rFonts w:ascii="宋体" w:hAnsi="宋体" w:cs="Arial"/>
          <w:color w:val="000000"/>
          <w:sz w:val="24"/>
        </w:rPr>
      </w:pPr>
      <w:bookmarkStart w:id="1" w:name="_Hlk33472829"/>
      <w:r>
        <w:rPr>
          <w:rFonts w:hint="eastAsia" w:ascii="宋体" w:hAnsi="宋体" w:cs="Arial"/>
          <w:color w:val="000000"/>
          <w:sz w:val="24"/>
        </w:rPr>
        <w:t>总体实施方案；</w:t>
      </w:r>
    </w:p>
    <w:p>
      <w:pPr>
        <w:numPr>
          <w:ilvl w:val="0"/>
          <w:numId w:val="31"/>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实施进度计划和工期承诺书；</w:t>
      </w:r>
    </w:p>
    <w:p>
      <w:pPr>
        <w:numPr>
          <w:ilvl w:val="0"/>
          <w:numId w:val="31"/>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确保实施进度的技术和组织措施；</w:t>
      </w:r>
    </w:p>
    <w:p>
      <w:pPr>
        <w:numPr>
          <w:ilvl w:val="0"/>
          <w:numId w:val="31"/>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确保安全文明施工的技术和组织措施；</w:t>
      </w:r>
    </w:p>
    <w:p>
      <w:pPr>
        <w:numPr>
          <w:ilvl w:val="0"/>
          <w:numId w:val="31"/>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投入的机械设备；</w:t>
      </w:r>
    </w:p>
    <w:p>
      <w:pPr>
        <w:numPr>
          <w:ilvl w:val="0"/>
          <w:numId w:val="31"/>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投标人认为其它需要说明的文字</w:t>
      </w:r>
      <w:bookmarkEnd w:id="1"/>
      <w:r>
        <w:rPr>
          <w:rFonts w:hint="eastAsia" w:ascii="宋体" w:hAnsi="宋体" w:cs="Arial"/>
          <w:color w:val="000000"/>
          <w:sz w:val="24"/>
        </w:rPr>
        <w:t>。</w:t>
      </w:r>
    </w:p>
    <w:p>
      <w:pPr>
        <w:numPr>
          <w:ilvl w:val="0"/>
          <w:numId w:val="29"/>
        </w:numPr>
        <w:spacing w:before="120" w:beforeLines="50" w:after="120" w:afterLines="50" w:line="360" w:lineRule="auto"/>
        <w:ind w:left="0" w:firstLine="480" w:firstLineChars="200"/>
        <w:rPr>
          <w:sz w:val="24"/>
        </w:rPr>
      </w:pPr>
      <w:r>
        <w:rPr>
          <w:rFonts w:hint="eastAsia"/>
          <w:sz w:val="24"/>
        </w:rPr>
        <w:t>价格文件（加盖公章）</w:t>
      </w:r>
    </w:p>
    <w:p>
      <w:pPr>
        <w:numPr>
          <w:ilvl w:val="0"/>
          <w:numId w:val="32"/>
        </w:numPr>
        <w:spacing w:before="120" w:beforeLines="50" w:after="120" w:afterLines="50" w:line="360" w:lineRule="auto"/>
        <w:ind w:left="0" w:firstLine="480" w:firstLineChars="200"/>
        <w:rPr>
          <w:rFonts w:ascii="宋体" w:hAnsi="宋体" w:cs="Arial"/>
          <w:color w:val="000000"/>
          <w:sz w:val="24"/>
        </w:rPr>
      </w:pPr>
      <w:bookmarkStart w:id="2" w:name="_Hlk33472852"/>
      <w:r>
        <w:rPr>
          <w:rFonts w:hint="eastAsia" w:ascii="宋体" w:hAnsi="宋体" w:cs="Arial"/>
          <w:color w:val="000000"/>
          <w:sz w:val="24"/>
        </w:rPr>
        <w:t>报价一览表（格式见附件1）</w:t>
      </w:r>
    </w:p>
    <w:p>
      <w:pPr>
        <w:numPr>
          <w:ilvl w:val="0"/>
          <w:numId w:val="32"/>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2"/>
      <w:r>
        <w:rPr>
          <w:rFonts w:hint="eastAsia" w:ascii="宋体" w:hAnsi="宋体" w:cs="Arial"/>
          <w:color w:val="000000"/>
          <w:sz w:val="24"/>
        </w:rPr>
        <w:t>。</w:t>
      </w:r>
    </w:p>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评标方法</w:t>
      </w:r>
    </w:p>
    <w:p>
      <w:pPr>
        <w:spacing w:before="120" w:beforeLines="50" w:after="120" w:afterLines="50" w:line="360" w:lineRule="auto"/>
        <w:ind w:firstLine="480" w:firstLineChars="200"/>
        <w:rPr>
          <w:sz w:val="24"/>
        </w:rPr>
      </w:pPr>
      <w:bookmarkStart w:id="3"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hint="eastAsia" w:ascii="宋体" w:hAnsi="宋体"/>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w:t>
      </w:r>
      <w:r>
        <w:rPr>
          <w:rFonts w:hint="eastAsia" w:ascii="宋体" w:hAnsi="宋体"/>
          <w:sz w:val="24"/>
        </w:rPr>
        <w:t>投标人资格性性审查表</w:t>
      </w:r>
      <w:r>
        <w:rPr>
          <w:rFonts w:hint="eastAsia"/>
          <w:sz w:val="24"/>
        </w:rPr>
        <w:t>（见附件</w:t>
      </w:r>
      <w:r>
        <w:rPr>
          <w:sz w:val="24"/>
        </w:rPr>
        <w:t>5</w:t>
      </w:r>
      <w:r>
        <w:rPr>
          <w:rFonts w:hint="eastAsia"/>
          <w:sz w:val="24"/>
        </w:rPr>
        <w:t>）</w:t>
      </w:r>
      <w:r>
        <w:rPr>
          <w:rFonts w:hint="eastAsia"/>
          <w:sz w:val="24"/>
          <w:lang w:val="en-US" w:eastAsia="zh-CN"/>
        </w:rPr>
        <w:t>和投标文件有效性审查（见附件6）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3"/>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勘踏现场</w:t>
      </w:r>
    </w:p>
    <w:p>
      <w:pPr>
        <w:spacing w:before="120" w:beforeLines="50" w:after="120" w:afterLines="50" w:line="360" w:lineRule="auto"/>
        <w:ind w:firstLine="480" w:firstLineChars="200"/>
        <w:rPr>
          <w:sz w:val="24"/>
        </w:rPr>
      </w:pPr>
      <w:bookmarkStart w:id="4" w:name="_Hlk33472887"/>
      <w:r>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4"/>
      <w:r>
        <w:rPr>
          <w:rFonts w:hint="eastAsia"/>
          <w:sz w:val="24"/>
        </w:rPr>
        <w:t>。勘踏现场时间：</w:t>
      </w:r>
      <w:r>
        <w:rPr>
          <w:sz w:val="24"/>
        </w:rPr>
        <w:t>202</w:t>
      </w:r>
      <w:r>
        <w:rPr>
          <w:rFonts w:hint="eastAsia"/>
          <w:sz w:val="24"/>
          <w:lang w:val="en-US" w:eastAsia="zh-CN"/>
        </w:rPr>
        <w:t>3</w:t>
      </w:r>
      <w:r>
        <w:rPr>
          <w:rFonts w:hint="eastAsia"/>
          <w:sz w:val="24"/>
        </w:rPr>
        <w:t>年</w:t>
      </w:r>
      <w:r>
        <w:rPr>
          <w:rFonts w:hint="eastAsia"/>
          <w:sz w:val="24"/>
          <w:lang w:val="en-US" w:eastAsia="zh-CN"/>
        </w:rPr>
        <w:t>7</w:t>
      </w:r>
      <w:r>
        <w:rPr>
          <w:rFonts w:hint="eastAsia"/>
          <w:sz w:val="24"/>
        </w:rPr>
        <w:t>月</w:t>
      </w:r>
      <w:r>
        <w:rPr>
          <w:rFonts w:hint="eastAsia"/>
          <w:sz w:val="24"/>
          <w:lang w:val="en-US" w:eastAsia="zh-CN"/>
        </w:rPr>
        <w:t>7</w:t>
      </w:r>
      <w:r>
        <w:rPr>
          <w:rFonts w:hint="eastAsia"/>
          <w:sz w:val="24"/>
        </w:rPr>
        <w:t>日</w:t>
      </w:r>
      <w:r>
        <w:rPr>
          <w:sz w:val="24"/>
        </w:rPr>
        <w:t>10</w:t>
      </w:r>
      <w:r>
        <w:rPr>
          <w:rFonts w:hint="eastAsia"/>
          <w:sz w:val="24"/>
        </w:rPr>
        <w:t>时</w:t>
      </w:r>
      <w:r>
        <w:rPr>
          <w:sz w:val="24"/>
        </w:rPr>
        <w:t>00</w:t>
      </w:r>
      <w:r>
        <w:rPr>
          <w:rFonts w:hint="eastAsia"/>
          <w:sz w:val="24"/>
        </w:rPr>
        <w:t>分，集中地点：广州市番禺区大学城明志街1号信息枢纽楼一楼西门。勘踏现场联系人工程部周工，联系电话：020-</w:t>
      </w:r>
      <w:r>
        <w:rPr>
          <w:sz w:val="24"/>
        </w:rPr>
        <w:t>39302059</w:t>
      </w:r>
      <w:r>
        <w:rPr>
          <w:rFonts w:hint="eastAsia"/>
          <w:sz w:val="24"/>
        </w:rPr>
        <w:t>。投标人未在规定时间勘踏现场的，采购人不再另行组织，由投标人自行前往勘踏。</w:t>
      </w:r>
    </w:p>
    <w:p>
      <w:pPr>
        <w:numPr>
          <w:ilvl w:val="0"/>
          <w:numId w:val="1"/>
        </w:numPr>
        <w:spacing w:before="120" w:beforeLines="50" w:after="120" w:afterLines="50" w:line="360" w:lineRule="auto"/>
        <w:ind w:left="0" w:firstLine="482" w:firstLineChars="200"/>
        <w:rPr>
          <w:rFonts w:ascii="宋体" w:hAnsi="宋体"/>
          <w:b/>
          <w:sz w:val="24"/>
        </w:rPr>
      </w:pPr>
      <w:bookmarkStart w:id="5" w:name="_Hlk33473031"/>
      <w:r>
        <w:rPr>
          <w:rFonts w:hint="eastAsia" w:ascii="宋体" w:hAnsi="宋体"/>
          <w:b/>
          <w:sz w:val="24"/>
        </w:rPr>
        <w:t>递交投标文件</w:t>
      </w:r>
    </w:p>
    <w:p>
      <w:pPr>
        <w:numPr>
          <w:ilvl w:val="0"/>
          <w:numId w:val="33"/>
        </w:numPr>
        <w:spacing w:before="120" w:beforeLines="50" w:after="120" w:afterLines="50" w:line="360" w:lineRule="auto"/>
        <w:ind w:left="0" w:firstLine="480" w:firstLineChars="200"/>
        <w:rPr>
          <w:sz w:val="24"/>
        </w:rPr>
      </w:pPr>
      <w:bookmarkStart w:id="6" w:name="_Hlk33472917"/>
      <w:bookmarkStart w:id="7" w:name="_Hlk33473061"/>
      <w:r>
        <w:rPr>
          <w:rFonts w:hint="eastAsia"/>
          <w:sz w:val="24"/>
        </w:rPr>
        <w:t>投标文件递交截止时间：</w:t>
      </w:r>
      <w:r>
        <w:rPr>
          <w:sz w:val="24"/>
        </w:rPr>
        <w:t>202</w:t>
      </w:r>
      <w:r>
        <w:rPr>
          <w:rFonts w:hint="eastAsia"/>
          <w:sz w:val="24"/>
          <w:lang w:val="en-US" w:eastAsia="zh-CN"/>
        </w:rPr>
        <w:t>3</w:t>
      </w:r>
      <w:r>
        <w:rPr>
          <w:sz w:val="24"/>
        </w:rPr>
        <w:t xml:space="preserve"> </w:t>
      </w:r>
      <w:r>
        <w:rPr>
          <w:rFonts w:hint="eastAsia"/>
          <w:sz w:val="24"/>
        </w:rPr>
        <w:t>年</w:t>
      </w:r>
      <w:r>
        <w:rPr>
          <w:rFonts w:hint="eastAsia"/>
          <w:sz w:val="24"/>
          <w:lang w:val="en-US" w:eastAsia="zh-CN"/>
        </w:rPr>
        <w:t>7</w:t>
      </w:r>
      <w:r>
        <w:rPr>
          <w:rFonts w:hint="eastAsia"/>
          <w:sz w:val="24"/>
        </w:rPr>
        <w:t>月</w:t>
      </w:r>
      <w:r>
        <w:rPr>
          <w:rFonts w:hint="eastAsia"/>
          <w:sz w:val="24"/>
          <w:lang w:val="en-US" w:eastAsia="zh-CN"/>
        </w:rPr>
        <w:t>13</w:t>
      </w:r>
      <w:r>
        <w:rPr>
          <w:rFonts w:hint="eastAsia"/>
          <w:sz w:val="24"/>
        </w:rPr>
        <w:t>日北京时间</w:t>
      </w:r>
      <w:r>
        <w:rPr>
          <w:rFonts w:hint="eastAsia"/>
          <w:sz w:val="24"/>
          <w:lang w:val="en-US" w:eastAsia="zh-CN"/>
        </w:rPr>
        <w:t>14</w:t>
      </w:r>
      <w:r>
        <w:rPr>
          <w:rFonts w:hint="eastAsia"/>
          <w:sz w:val="24"/>
        </w:rPr>
        <w:t>时00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sz w:val="24"/>
          <w:szCs w:val="24"/>
          <w:lang w:val="en-US" w:eastAsia="zh-CN"/>
        </w:rPr>
        <w:t>过江隧道北岸竖井周边降水工程</w:t>
      </w:r>
      <w:r>
        <w:rPr>
          <w:rFonts w:hint="eastAsia"/>
          <w:sz w:val="24"/>
        </w:rPr>
        <w:t>”字样。投标人递交投标文件后，请联系采购人确认。</w:t>
      </w:r>
    </w:p>
    <w:p>
      <w:pPr>
        <w:numPr>
          <w:ilvl w:val="0"/>
          <w:numId w:val="33"/>
        </w:numPr>
        <w:spacing w:before="120" w:beforeLines="50" w:after="120" w:afterLines="50" w:line="360" w:lineRule="auto"/>
        <w:ind w:left="0" w:firstLine="480" w:firstLineChars="200"/>
        <w:rPr>
          <w:sz w:val="24"/>
        </w:rPr>
      </w:pPr>
      <w:r>
        <w:rPr>
          <w:sz w:val="24"/>
        </w:rPr>
        <w:t>投标文</w:t>
      </w:r>
      <w:r>
        <w:rPr>
          <w:rFonts w:hint="eastAsia"/>
          <w:sz w:val="24"/>
        </w:rPr>
        <w:t>件逾期递交、未送达指定地点的、或未按要求密封的，采购人有权不予受理</w:t>
      </w:r>
      <w:bookmarkEnd w:id="6"/>
      <w:r>
        <w:rPr>
          <w:sz w:val="24"/>
        </w:rPr>
        <w:t>。</w:t>
      </w:r>
    </w:p>
    <w:bookmarkEnd w:id="7"/>
    <w:p>
      <w:pPr>
        <w:numPr>
          <w:ilvl w:val="0"/>
          <w:numId w:val="1"/>
        </w:numPr>
        <w:spacing w:before="120" w:beforeLines="50" w:after="120" w:afterLines="50" w:line="360" w:lineRule="auto"/>
        <w:ind w:left="0" w:firstLine="482" w:firstLineChars="200"/>
        <w:rPr>
          <w:rFonts w:ascii="宋体" w:hAnsi="宋体"/>
          <w:b/>
          <w:sz w:val="24"/>
        </w:rPr>
      </w:pPr>
      <w:bookmarkStart w:id="8" w:name="_Hlk33473147"/>
      <w:bookmarkStart w:id="9" w:name="_Hlk33472987"/>
      <w:r>
        <w:rPr>
          <w:rFonts w:hint="eastAsia" w:ascii="宋体" w:hAnsi="宋体"/>
          <w:b/>
          <w:sz w:val="24"/>
        </w:rPr>
        <w:t>公开发布</w:t>
      </w:r>
    </w:p>
    <w:p>
      <w:pPr>
        <w:spacing w:before="120" w:beforeLines="50" w:after="120" w:afterLines="50" w:line="360" w:lineRule="auto"/>
        <w:ind w:firstLine="480" w:firstLineChars="200"/>
        <w:rPr>
          <w:sz w:val="24"/>
        </w:rPr>
      </w:pPr>
      <w:r>
        <w:rPr>
          <w:rFonts w:hint="eastAsia"/>
          <w:sz w:val="24"/>
        </w:rPr>
        <w:t>本竞选文件在</w:t>
      </w:r>
      <w:bookmarkStart w:id="10" w:name="_Hlk120279831"/>
      <w:r>
        <w:rPr>
          <w:rFonts w:hint="eastAsia" w:asciiTheme="minorEastAsia" w:hAnsiTheme="minorEastAsia"/>
          <w:sz w:val="24"/>
          <w:szCs w:val="24"/>
        </w:rPr>
        <w:t>广州国企阳光采购发布平台（</w:t>
      </w:r>
      <w:r>
        <w:rPr>
          <w:rFonts w:asciiTheme="minorEastAsia" w:hAnsiTheme="minorEastAsia"/>
          <w:sz w:val="24"/>
          <w:szCs w:val="24"/>
        </w:rPr>
        <w:t>http://ygcg.gzggzy.cn</w:t>
      </w:r>
      <w:r>
        <w:rPr>
          <w:rFonts w:hint="eastAsia" w:asciiTheme="minorEastAsia" w:hAnsiTheme="minorEastAsia"/>
          <w:sz w:val="24"/>
          <w:szCs w:val="24"/>
        </w:rPr>
        <w:t>）、</w:t>
      </w:r>
      <w:r>
        <w:rPr>
          <w:rFonts w:hint="eastAsia" w:asciiTheme="minorEastAsia" w:hAnsiTheme="minorEastAsia"/>
          <w:sz w:val="24"/>
          <w:szCs w:val="24"/>
          <w:lang w:val="en-US" w:eastAsia="zh-CN"/>
        </w:rPr>
        <w:t>广州大学城能源发展</w:t>
      </w:r>
      <w:r>
        <w:rPr>
          <w:rFonts w:hint="eastAsia" w:asciiTheme="minorEastAsia" w:hAnsiTheme="minorEastAsia"/>
          <w:sz w:val="24"/>
          <w:szCs w:val="24"/>
        </w:rPr>
        <w:t>有限公司网站（https://www.gzuci.com/）</w:t>
      </w:r>
      <w:r>
        <w:rPr>
          <w:rFonts w:hint="eastAsia"/>
          <w:sz w:val="24"/>
        </w:rPr>
        <w:t>上</w:t>
      </w:r>
      <w:bookmarkEnd w:id="10"/>
      <w:r>
        <w:rPr>
          <w:rFonts w:hint="eastAsia"/>
          <w:sz w:val="24"/>
        </w:rPr>
        <w:t>同时发布。本竞选文件在各媒体发布的文本如有不同之处，以在</w:t>
      </w:r>
      <w:r>
        <w:rPr>
          <w:rFonts w:hint="eastAsia" w:asciiTheme="minorEastAsia" w:hAnsiTheme="minorEastAsia"/>
          <w:sz w:val="24"/>
          <w:szCs w:val="24"/>
        </w:rPr>
        <w:t>广州</w:t>
      </w:r>
      <w:r>
        <w:rPr>
          <w:rFonts w:hint="eastAsia" w:asciiTheme="minorEastAsia" w:hAnsiTheme="minorEastAsia"/>
          <w:sz w:val="24"/>
          <w:szCs w:val="24"/>
          <w:lang w:val="en-US" w:eastAsia="zh-CN"/>
        </w:rPr>
        <w:t>城投综合能源</w:t>
      </w:r>
      <w:r>
        <w:rPr>
          <w:rFonts w:hint="eastAsia" w:asciiTheme="minorEastAsia" w:hAnsiTheme="minorEastAsia"/>
          <w:sz w:val="24"/>
          <w:szCs w:val="24"/>
        </w:rPr>
        <w:t>投资经营管理有限公司</w:t>
      </w:r>
      <w:r>
        <w:rPr>
          <w:rFonts w:hint="eastAsia"/>
          <w:sz w:val="24"/>
        </w:rPr>
        <w:t>网站发布的文本为准。</w:t>
      </w:r>
    </w:p>
    <w:bookmarkEnd w:id="8"/>
    <w:p>
      <w:pPr>
        <w:numPr>
          <w:ilvl w:val="0"/>
          <w:numId w:val="1"/>
        </w:numPr>
        <w:spacing w:before="120" w:beforeLines="50" w:after="120" w:afterLines="50" w:line="360" w:lineRule="auto"/>
        <w:ind w:left="0" w:firstLine="482" w:firstLineChars="200"/>
        <w:rPr>
          <w:rFonts w:ascii="宋体" w:hAnsi="宋体"/>
          <w:b/>
          <w:sz w:val="24"/>
        </w:rPr>
      </w:pPr>
      <w:r>
        <w:rPr>
          <w:rFonts w:hint="eastAsia" w:ascii="宋体" w:hAnsi="宋体"/>
          <w:b/>
          <w:sz w:val="24"/>
        </w:rPr>
        <w:t>采购人地址和联系方式</w:t>
      </w:r>
    </w:p>
    <w:p>
      <w:pPr>
        <w:spacing w:before="120" w:beforeLines="50" w:after="120" w:afterLines="50" w:line="360" w:lineRule="auto"/>
        <w:ind w:firstLine="480" w:firstLineChars="200"/>
        <w:rPr>
          <w:rFonts w:hint="eastAsia" w:asciiTheme="minorEastAsia" w:hAnsiTheme="minorEastAsia"/>
          <w:sz w:val="24"/>
          <w:szCs w:val="24"/>
        </w:rPr>
      </w:pPr>
      <w:r>
        <w:rPr>
          <w:rFonts w:hint="eastAsia" w:ascii="宋体" w:hAnsi="宋体"/>
          <w:sz w:val="24"/>
        </w:rPr>
        <w:t>采购单位：</w:t>
      </w:r>
      <w:r>
        <w:rPr>
          <w:rFonts w:hint="eastAsia" w:asciiTheme="minorEastAsia" w:hAnsiTheme="minorEastAsia"/>
          <w:sz w:val="24"/>
          <w:szCs w:val="24"/>
          <w:lang w:val="en-US" w:eastAsia="zh-CN"/>
        </w:rPr>
        <w:t>广州大学城能源发展</w:t>
      </w:r>
      <w:r>
        <w:rPr>
          <w:rFonts w:hint="eastAsia" w:asciiTheme="minorEastAsia" w:hAnsiTheme="minorEastAsia"/>
          <w:sz w:val="24"/>
          <w:szCs w:val="24"/>
        </w:rPr>
        <w:t>有限公司</w:t>
      </w:r>
    </w:p>
    <w:p>
      <w:pPr>
        <w:spacing w:before="120" w:beforeLines="50" w:after="120" w:afterLines="50" w:line="360" w:lineRule="auto"/>
        <w:ind w:firstLine="480" w:firstLineChars="200"/>
        <w:rPr>
          <w:rFonts w:ascii="宋体" w:hAnsi="宋体"/>
          <w:sz w:val="24"/>
        </w:rPr>
      </w:pPr>
      <w:r>
        <w:rPr>
          <w:rFonts w:hint="eastAsia" w:ascii="宋体" w:hAnsi="宋体"/>
          <w:sz w:val="24"/>
        </w:rPr>
        <w:t>联系地址：广州市番禺区大学城明志街</w:t>
      </w:r>
      <w:r>
        <w:rPr>
          <w:rFonts w:ascii="宋体" w:hAnsi="宋体"/>
          <w:sz w:val="24"/>
        </w:rPr>
        <w:t>1</w:t>
      </w:r>
      <w:r>
        <w:rPr>
          <w:rFonts w:hint="eastAsia" w:ascii="宋体" w:hAnsi="宋体"/>
          <w:sz w:val="24"/>
        </w:rPr>
        <w:t>号信息枢纽楼9楼</w:t>
      </w:r>
    </w:p>
    <w:p>
      <w:pPr>
        <w:spacing w:before="120" w:beforeLines="50" w:after="120" w:afterLines="50" w:line="360" w:lineRule="auto"/>
        <w:ind w:firstLine="480" w:firstLineChars="200"/>
        <w:rPr>
          <w:rFonts w:hint="eastAsia" w:ascii="宋体" w:hAnsi="宋体" w:eastAsia="宋体"/>
          <w:sz w:val="24"/>
          <w:lang w:val="en-US" w:eastAsia="zh-CN"/>
        </w:rPr>
      </w:pPr>
      <w:r>
        <w:rPr>
          <w:rFonts w:hint="eastAsia" w:ascii="宋体" w:hAnsi="宋体"/>
          <w:sz w:val="24"/>
        </w:rPr>
        <w:t>联系人：</w:t>
      </w:r>
      <w:r>
        <w:rPr>
          <w:rFonts w:hint="eastAsia" w:ascii="宋体" w:hAnsi="宋体"/>
          <w:sz w:val="24"/>
          <w:lang w:val="en-US" w:eastAsia="zh-CN"/>
        </w:rPr>
        <w:t>王小姐</w:t>
      </w:r>
    </w:p>
    <w:p>
      <w:pPr>
        <w:spacing w:before="120" w:beforeLines="50" w:after="120" w:afterLines="50" w:line="360" w:lineRule="auto"/>
        <w:ind w:firstLine="480" w:firstLineChars="200"/>
        <w:rPr>
          <w:rFonts w:hint="default" w:ascii="宋体" w:hAnsi="宋体" w:eastAsia="宋体"/>
          <w:sz w:val="24"/>
          <w:lang w:val="en-US" w:eastAsia="zh-CN"/>
        </w:rPr>
      </w:pPr>
      <w:r>
        <w:rPr>
          <w:rFonts w:hint="eastAsia" w:ascii="宋体" w:hAnsi="宋体"/>
          <w:sz w:val="24"/>
        </w:rPr>
        <w:t>联系电话：0</w:t>
      </w:r>
      <w:r>
        <w:rPr>
          <w:rFonts w:ascii="宋体" w:hAnsi="宋体"/>
          <w:sz w:val="24"/>
        </w:rPr>
        <w:t>20</w:t>
      </w:r>
      <w:r>
        <w:rPr>
          <w:rFonts w:hint="eastAsia" w:ascii="宋体" w:hAnsi="宋体"/>
          <w:sz w:val="24"/>
        </w:rPr>
        <w:t>-</w:t>
      </w:r>
      <w:r>
        <w:rPr>
          <w:rFonts w:ascii="宋体" w:hAnsi="宋体"/>
          <w:sz w:val="24"/>
        </w:rPr>
        <w:t>393020</w:t>
      </w:r>
      <w:r>
        <w:rPr>
          <w:rFonts w:hint="eastAsia" w:ascii="宋体" w:hAnsi="宋体"/>
          <w:sz w:val="24"/>
          <w:lang w:val="en-US" w:eastAsia="zh-CN"/>
        </w:rPr>
        <w:t>78</w:t>
      </w:r>
    </w:p>
    <w:p>
      <w:pPr>
        <w:spacing w:before="120" w:beforeLines="50" w:after="120" w:afterLines="50" w:line="360" w:lineRule="auto"/>
        <w:ind w:firstLine="480" w:firstLineChars="200"/>
        <w:rPr>
          <w:rFonts w:ascii="宋体" w:hAnsi="宋体"/>
          <w:sz w:val="24"/>
        </w:rPr>
      </w:pPr>
      <w:bookmarkStart w:id="11" w:name="_Hlk33473223"/>
      <w:r>
        <w:rPr>
          <w:rFonts w:hint="eastAsia" w:ascii="宋体" w:hAnsi="宋体"/>
          <w:sz w:val="24"/>
        </w:rPr>
        <w:t>附件1：报价一览表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附件2：供应商调查表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附件3：法定代表人身份证明书</w:t>
      </w:r>
    </w:p>
    <w:p>
      <w:pPr>
        <w:spacing w:before="120" w:beforeLines="50" w:after="120" w:afterLines="50" w:line="360" w:lineRule="auto"/>
        <w:ind w:firstLine="480" w:firstLineChars="200"/>
        <w:rPr>
          <w:rFonts w:ascii="宋体" w:hAnsi="宋体"/>
          <w:sz w:val="24"/>
        </w:rPr>
      </w:pPr>
      <w:r>
        <w:rPr>
          <w:rFonts w:hint="eastAsia" w:ascii="宋体" w:hAnsi="宋体"/>
          <w:sz w:val="24"/>
        </w:rPr>
        <w:t>附件4：法定代表人授权委托证明书</w:t>
      </w:r>
    </w:p>
    <w:p>
      <w:pPr>
        <w:widowControl/>
        <w:ind w:firstLine="480" w:firstLineChars="200"/>
        <w:jc w:val="both"/>
        <w:rPr>
          <w:rFonts w:hint="eastAsia" w:ascii="宋体" w:hAnsi="宋体"/>
          <w:sz w:val="24"/>
        </w:rPr>
      </w:pPr>
      <w:r>
        <w:rPr>
          <w:rFonts w:hint="eastAsia" w:ascii="宋体" w:hAnsi="宋体"/>
          <w:sz w:val="24"/>
        </w:rPr>
        <w:t>附件5：投标人资格性审查表</w:t>
      </w:r>
    </w:p>
    <w:p>
      <w:pPr>
        <w:widowControl/>
        <w:ind w:firstLine="480" w:firstLineChars="200"/>
        <w:jc w:val="both"/>
        <w:rPr>
          <w:rFonts w:hint="eastAsia" w:ascii="宋体" w:hAnsi="宋体"/>
          <w:sz w:val="24"/>
        </w:rPr>
      </w:pPr>
    </w:p>
    <w:p>
      <w:pPr>
        <w:widowControl/>
        <w:ind w:firstLine="480" w:firstLineChars="200"/>
        <w:jc w:val="both"/>
        <w:rPr>
          <w:rFonts w:hint="eastAsia" w:ascii="宋体" w:hAnsi="宋体" w:cs="宋体"/>
          <w:b w:val="0"/>
          <w:bCs w:val="0"/>
          <w:sz w:val="24"/>
          <w:szCs w:val="24"/>
        </w:rPr>
      </w:pPr>
      <w:r>
        <w:rPr>
          <w:rFonts w:hint="eastAsia" w:ascii="宋体" w:hAnsi="宋体" w:cs="宋体"/>
          <w:b w:val="0"/>
          <w:bCs w:val="0"/>
          <w:sz w:val="24"/>
          <w:szCs w:val="24"/>
          <w:lang w:val="en-US" w:eastAsia="zh-CN"/>
        </w:rPr>
        <w:t>附件6：</w:t>
      </w:r>
      <w:r>
        <w:rPr>
          <w:rFonts w:hint="eastAsia" w:ascii="宋体" w:hAnsi="宋体" w:cs="宋体"/>
          <w:b w:val="0"/>
          <w:bCs w:val="0"/>
          <w:sz w:val="24"/>
          <w:szCs w:val="24"/>
        </w:rPr>
        <w:t>投标文件有效性审查表</w:t>
      </w:r>
    </w:p>
    <w:p>
      <w:pPr>
        <w:widowControl/>
        <w:ind w:firstLine="480" w:firstLineChars="200"/>
        <w:jc w:val="both"/>
        <w:rPr>
          <w:rFonts w:hint="eastAsia" w:ascii="宋体" w:hAnsi="宋体" w:cs="宋体"/>
          <w:b w:val="0"/>
          <w:bCs w:val="0"/>
          <w:sz w:val="24"/>
          <w:szCs w:val="24"/>
          <w:lang w:val="en-US" w:eastAsia="zh-CN"/>
        </w:rPr>
      </w:pPr>
    </w:p>
    <w:p>
      <w:pPr>
        <w:widowControl/>
        <w:ind w:firstLine="480" w:firstLineChars="20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附件7：过江隧道北岸竖井周边降水工程技术方案</w:t>
      </w:r>
    </w:p>
    <w:p>
      <w:pPr>
        <w:widowControl/>
        <w:ind w:firstLine="480" w:firstLineChars="200"/>
        <w:jc w:val="both"/>
        <w:rPr>
          <w:rFonts w:hint="eastAsia" w:ascii="宋体" w:hAnsi="宋体"/>
          <w:sz w:val="24"/>
        </w:rPr>
      </w:pPr>
    </w:p>
    <w:p>
      <w:pPr>
        <w:pStyle w:val="6"/>
        <w:spacing w:before="120" w:beforeLines="50" w:after="120" w:afterLines="50" w:line="360" w:lineRule="auto"/>
        <w:ind w:left="0" w:leftChars="0" w:right="560"/>
        <w:jc w:val="right"/>
      </w:pPr>
      <w:r>
        <w:rPr>
          <w:rFonts w:hint="eastAsia"/>
        </w:rPr>
        <w:t>采购人：</w:t>
      </w:r>
      <w:r>
        <w:rPr>
          <w:rFonts w:hint="eastAsia" w:asciiTheme="minorEastAsia" w:hAnsiTheme="minorEastAsia"/>
          <w:sz w:val="24"/>
          <w:szCs w:val="24"/>
          <w:lang w:val="en-US" w:eastAsia="zh-CN"/>
        </w:rPr>
        <w:t>广州大学城能源发展</w:t>
      </w:r>
      <w:r>
        <w:rPr>
          <w:rFonts w:hint="eastAsia" w:asciiTheme="minorEastAsia" w:hAnsiTheme="minorEastAsia"/>
          <w:sz w:val="24"/>
          <w:szCs w:val="24"/>
        </w:rPr>
        <w:t>有限公司</w:t>
      </w:r>
    </w:p>
    <w:p>
      <w:pPr>
        <w:pStyle w:val="6"/>
        <w:spacing w:before="120" w:beforeLines="50" w:after="120" w:afterLines="50" w:line="360" w:lineRule="auto"/>
        <w:ind w:left="0" w:leftChars="0" w:right="560"/>
        <w:jc w:val="center"/>
      </w:pPr>
      <w:r>
        <w:rPr>
          <w:rFonts w:hint="eastAsia"/>
          <w:lang w:val="en-US" w:eastAsia="zh-CN"/>
        </w:rPr>
        <w:t xml:space="preserve">                           </w:t>
      </w:r>
      <w:r>
        <w:rPr>
          <w:rFonts w:hint="eastAsia"/>
        </w:rPr>
        <w:t>202</w:t>
      </w:r>
      <w:r>
        <w:rPr>
          <w:rFonts w:hint="eastAsia"/>
          <w:lang w:val="en-US" w:eastAsia="zh-CN"/>
        </w:rPr>
        <w:t>3</w:t>
      </w:r>
      <w:r>
        <w:rPr>
          <w:rFonts w:hint="eastAsia"/>
        </w:rPr>
        <w:t>年</w:t>
      </w:r>
      <w:r>
        <w:rPr>
          <w:rFonts w:hint="eastAsia"/>
          <w:lang w:val="en-US" w:eastAsia="zh-CN"/>
        </w:rPr>
        <w:t>7</w:t>
      </w:r>
      <w:r>
        <w:rPr>
          <w:rFonts w:hint="eastAsia"/>
        </w:rPr>
        <w:t>月</w:t>
      </w:r>
      <w:r>
        <w:rPr>
          <w:rFonts w:hint="eastAsia"/>
          <w:lang w:val="en-US" w:eastAsia="zh-CN"/>
        </w:rPr>
        <w:t>4</w:t>
      </w:r>
      <w:r>
        <w:rPr>
          <w:rFonts w:hint="eastAsia"/>
        </w:rPr>
        <w:t>日</w:t>
      </w:r>
      <w:bookmarkEnd w:id="5"/>
    </w:p>
    <w:bookmarkEnd w:id="9"/>
    <w:bookmarkEnd w:id="11"/>
    <w:p>
      <w:pPr>
        <w:spacing w:before="120" w:beforeLines="50" w:after="120" w:afterLines="50" w:line="360" w:lineRule="auto"/>
        <w:rPr>
          <w:rFonts w:hAnsi="宋体"/>
          <w:b/>
          <w:sz w:val="28"/>
          <w:szCs w:val="28"/>
        </w:rPr>
      </w:pPr>
      <w:r>
        <w:rPr>
          <w:sz w:val="24"/>
        </w:rPr>
        <w:br w:type="page"/>
      </w:r>
      <w:r>
        <w:rPr>
          <w:rFonts w:hint="eastAsia" w:ascii="宋体" w:hAnsi="宋体" w:cs="Arial"/>
          <w:color w:val="000000"/>
          <w:sz w:val="30"/>
          <w:szCs w:val="30"/>
        </w:rPr>
        <w:t>附件1</w:t>
      </w:r>
    </w:p>
    <w:p>
      <w:pPr>
        <w:pStyle w:val="9"/>
        <w:ind w:firstLine="0" w:firstLineChars="0"/>
        <w:jc w:val="center"/>
        <w:rPr>
          <w:rFonts w:hAnsi="宋体"/>
          <w:b/>
          <w:sz w:val="28"/>
          <w:szCs w:val="28"/>
        </w:rPr>
      </w:pPr>
      <w:r>
        <w:rPr>
          <w:rFonts w:hAnsi="宋体"/>
          <w:b/>
          <w:sz w:val="28"/>
          <w:szCs w:val="28"/>
        </w:rPr>
        <w:t>报价一览表</w:t>
      </w:r>
    </w:p>
    <w:p>
      <w:pPr>
        <w:pStyle w:val="9"/>
        <w:ind w:firstLine="0" w:firstLineChars="0"/>
        <w:jc w:val="center"/>
        <w:rPr>
          <w:rFonts w:hAnsi="宋体"/>
          <w:b/>
          <w:sz w:val="28"/>
          <w:szCs w:val="28"/>
        </w:rPr>
      </w:pPr>
    </w:p>
    <w:p>
      <w:pPr>
        <w:spacing w:line="360" w:lineRule="auto"/>
        <w:rPr>
          <w:rFonts w:hAnsi="宋体"/>
          <w:sz w:val="24"/>
        </w:rPr>
      </w:pPr>
      <w:r>
        <w:rPr>
          <w:rFonts w:hint="eastAsia" w:hAnsi="宋体"/>
          <w:sz w:val="24"/>
        </w:rPr>
        <w:t>项目名称：</w:t>
      </w:r>
      <w:r>
        <w:rPr>
          <w:rFonts w:hint="eastAsia" w:ascii="宋体" w:hAnsi="宋体" w:eastAsia="宋体"/>
          <w:sz w:val="24"/>
          <w:szCs w:val="24"/>
          <w:lang w:val="en-US" w:eastAsia="zh-CN"/>
        </w:rPr>
        <w:t>过江隧道北岸竖井周边降水工程</w:t>
      </w:r>
    </w:p>
    <w:tbl>
      <w:tblPr>
        <w:tblStyle w:val="17"/>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rPr>
            </w:pPr>
            <w:bookmarkStart w:id="12" w:name="_Hlk33473274"/>
            <w:r>
              <w:rPr>
                <w:rFonts w:hint="eastAsia" w:hAnsi="宋体"/>
                <w:bCs/>
                <w:sz w:val="24"/>
              </w:rPr>
              <w:t>序号</w:t>
            </w:r>
          </w:p>
        </w:tc>
        <w:tc>
          <w:tcPr>
            <w:tcW w:w="1844" w:type="dxa"/>
            <w:vAlign w:val="center"/>
          </w:tcPr>
          <w:p>
            <w:pPr>
              <w:jc w:val="center"/>
              <w:rPr>
                <w:rFonts w:hAnsi="宋体"/>
                <w:bCs/>
                <w:sz w:val="24"/>
              </w:rPr>
            </w:pPr>
            <w:r>
              <w:rPr>
                <w:rFonts w:hint="eastAsia" w:hAnsi="宋体"/>
                <w:bCs/>
                <w:sz w:val="24"/>
              </w:rPr>
              <w:t>项目名称</w:t>
            </w:r>
          </w:p>
        </w:tc>
        <w:tc>
          <w:tcPr>
            <w:tcW w:w="6166"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1</w:t>
            </w:r>
          </w:p>
        </w:tc>
        <w:tc>
          <w:tcPr>
            <w:tcW w:w="1844" w:type="dxa"/>
            <w:vAlign w:val="center"/>
          </w:tcPr>
          <w:p>
            <w:pPr>
              <w:jc w:val="center"/>
              <w:rPr>
                <w:rFonts w:hAnsi="宋体"/>
                <w:sz w:val="24"/>
              </w:rPr>
            </w:pPr>
            <w:r>
              <w:rPr>
                <w:rFonts w:hint="eastAsia" w:hAnsi="宋体"/>
                <w:sz w:val="24"/>
              </w:rPr>
              <w:t>投标总价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其中</w:t>
            </w:r>
          </w:p>
        </w:tc>
        <w:tc>
          <w:tcPr>
            <w:tcW w:w="1844" w:type="dxa"/>
            <w:vAlign w:val="center"/>
          </w:tcPr>
          <w:p>
            <w:pPr>
              <w:jc w:val="center"/>
              <w:rPr>
                <w:rFonts w:hAnsi="宋体"/>
                <w:sz w:val="24"/>
              </w:rPr>
            </w:pPr>
            <w:r>
              <w:rPr>
                <w:rFonts w:hint="eastAsia" w:hAnsi="宋体"/>
                <w:sz w:val="24"/>
              </w:rPr>
              <w:t>不含税总价</w:t>
            </w:r>
          </w:p>
        </w:tc>
        <w:tc>
          <w:tcPr>
            <w:tcW w:w="616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ascii="宋体"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2</w:t>
            </w:r>
          </w:p>
        </w:tc>
        <w:tc>
          <w:tcPr>
            <w:tcW w:w="1844" w:type="dxa"/>
            <w:vAlign w:val="center"/>
          </w:tcPr>
          <w:p>
            <w:pPr>
              <w:jc w:val="center"/>
              <w:rPr>
                <w:rFonts w:hAnsi="宋体"/>
                <w:sz w:val="24"/>
              </w:rPr>
            </w:pPr>
            <w:r>
              <w:rPr>
                <w:rFonts w:hint="eastAsia" w:hAnsi="宋体"/>
                <w:sz w:val="24"/>
              </w:rPr>
              <w:t>投标工期</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3</w:t>
            </w:r>
          </w:p>
        </w:tc>
        <w:tc>
          <w:tcPr>
            <w:tcW w:w="1844" w:type="dxa"/>
            <w:vAlign w:val="center"/>
          </w:tcPr>
          <w:p>
            <w:pPr>
              <w:jc w:val="center"/>
              <w:rPr>
                <w:rFonts w:hAnsi="宋体"/>
                <w:sz w:val="24"/>
              </w:rPr>
            </w:pPr>
            <w:r>
              <w:rPr>
                <w:rFonts w:hint="eastAsia" w:hAnsi="宋体"/>
                <w:sz w:val="24"/>
              </w:rPr>
              <w:t>工程质量标准</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rPr>
            </w:pPr>
            <w:r>
              <w:rPr>
                <w:rFonts w:hint="eastAsia" w:hAnsi="宋体"/>
                <w:sz w:val="24"/>
              </w:rPr>
              <w:t>4</w:t>
            </w:r>
          </w:p>
        </w:tc>
        <w:tc>
          <w:tcPr>
            <w:tcW w:w="1844" w:type="dxa"/>
            <w:vAlign w:val="center"/>
          </w:tcPr>
          <w:p>
            <w:pPr>
              <w:jc w:val="center"/>
              <w:rPr>
                <w:rFonts w:hAnsi="宋体"/>
                <w:sz w:val="24"/>
              </w:rPr>
            </w:pPr>
            <w:r>
              <w:rPr>
                <w:rFonts w:hint="eastAsia" w:hAnsi="宋体"/>
                <w:sz w:val="24"/>
              </w:rPr>
              <w:t>保修期限</w:t>
            </w:r>
          </w:p>
        </w:tc>
        <w:tc>
          <w:tcPr>
            <w:tcW w:w="616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rPr>
            </w:pPr>
            <w:r>
              <w:rPr>
                <w:rFonts w:hint="eastAsia" w:hAnsi="宋体"/>
                <w:sz w:val="24"/>
              </w:rPr>
              <w:t>5</w:t>
            </w:r>
          </w:p>
        </w:tc>
        <w:tc>
          <w:tcPr>
            <w:tcW w:w="1844" w:type="dxa"/>
            <w:vMerge w:val="restart"/>
            <w:vAlign w:val="center"/>
          </w:tcPr>
          <w:p>
            <w:pPr>
              <w:jc w:val="center"/>
              <w:rPr>
                <w:rFonts w:hAnsi="宋体"/>
                <w:sz w:val="24"/>
              </w:rPr>
            </w:pPr>
            <w:r>
              <w:rPr>
                <w:rFonts w:hint="eastAsia" w:hAnsi="宋体"/>
                <w:sz w:val="24"/>
              </w:rPr>
              <w:t>拟委派的项目负责人</w:t>
            </w:r>
          </w:p>
        </w:tc>
        <w:tc>
          <w:tcPr>
            <w:tcW w:w="1663" w:type="dxa"/>
            <w:vAlign w:val="center"/>
          </w:tcPr>
          <w:p>
            <w:pPr>
              <w:rPr>
                <w:rFonts w:hAnsi="宋体"/>
                <w:sz w:val="24"/>
              </w:rPr>
            </w:pPr>
            <w:r>
              <w:rPr>
                <w:rFonts w:hint="eastAsia" w:hAnsi="宋体"/>
                <w:sz w:val="24"/>
              </w:rPr>
              <w:t>姓名</w:t>
            </w:r>
          </w:p>
        </w:tc>
        <w:tc>
          <w:tcPr>
            <w:tcW w:w="4502"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技术职称</w:t>
            </w:r>
          </w:p>
        </w:tc>
        <w:tc>
          <w:tcPr>
            <w:tcW w:w="4502"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rPr>
            </w:pPr>
          </w:p>
        </w:tc>
        <w:tc>
          <w:tcPr>
            <w:tcW w:w="1844" w:type="dxa"/>
            <w:vMerge w:val="continue"/>
            <w:vAlign w:val="center"/>
          </w:tcPr>
          <w:p>
            <w:pPr>
              <w:rPr>
                <w:rFonts w:hAnsi="宋体"/>
                <w:sz w:val="24"/>
              </w:rPr>
            </w:pPr>
          </w:p>
        </w:tc>
        <w:tc>
          <w:tcPr>
            <w:tcW w:w="1663" w:type="dxa"/>
            <w:vAlign w:val="center"/>
          </w:tcPr>
          <w:p>
            <w:pPr>
              <w:rPr>
                <w:rFonts w:hAnsi="宋体"/>
                <w:sz w:val="24"/>
              </w:rPr>
            </w:pPr>
            <w:r>
              <w:rPr>
                <w:rFonts w:hint="eastAsia" w:hAnsi="宋体"/>
                <w:sz w:val="24"/>
              </w:rPr>
              <w:t>联系电话</w:t>
            </w:r>
          </w:p>
        </w:tc>
        <w:tc>
          <w:tcPr>
            <w:tcW w:w="4502" w:type="dxa"/>
            <w:vAlign w:val="center"/>
          </w:tcPr>
          <w:p>
            <w:pPr>
              <w:rPr>
                <w:rFonts w:hAnsi="宋体"/>
                <w:sz w:val="24"/>
              </w:rPr>
            </w:pPr>
          </w:p>
        </w:tc>
      </w:tr>
      <w:bookmarkEnd w:id="12"/>
    </w:tbl>
    <w:p>
      <w:pPr>
        <w:rPr>
          <w:rFonts w:hAnsi="宋体"/>
        </w:rPr>
      </w:pPr>
    </w:p>
    <w:p>
      <w:pPr>
        <w:spacing w:before="120" w:beforeLines="50" w:after="120" w:afterLines="50" w:line="360" w:lineRule="auto"/>
        <w:rPr>
          <w:rFonts w:hAnsi="宋体"/>
          <w:sz w:val="22"/>
          <w:szCs w:val="28"/>
        </w:rPr>
      </w:pPr>
      <w:r>
        <w:rPr>
          <w:rFonts w:hint="eastAsia" w:hAnsi="宋体"/>
          <w:sz w:val="22"/>
          <w:szCs w:val="28"/>
        </w:rPr>
        <w:t>注：（1）投标总价为人民币报价。</w:t>
      </w:r>
    </w:p>
    <w:p>
      <w:pPr>
        <w:tabs>
          <w:tab w:val="left" w:pos="8364"/>
        </w:tabs>
        <w:spacing w:before="120" w:beforeLines="50" w:after="120" w:afterLines="50" w:line="360" w:lineRule="auto"/>
        <w:ind w:firstLine="440" w:firstLineChars="200"/>
        <w:rPr>
          <w:rFonts w:hAnsi="宋体"/>
          <w:sz w:val="22"/>
          <w:szCs w:val="28"/>
        </w:rPr>
      </w:pPr>
      <w:r>
        <w:rPr>
          <w:rFonts w:hint="eastAsia" w:hAnsi="宋体"/>
          <w:sz w:val="22"/>
          <w:szCs w:val="28"/>
        </w:rPr>
        <w:t>（2）投标总价是所有需采购人支付的本次项目采购的金额总数，应包括竞选文件要求的全部内容，投标人完成本项目（如果中标）所必须的</w:t>
      </w:r>
      <w:r>
        <w:rPr>
          <w:rFonts w:hint="eastAsia" w:hAnsi="宋体"/>
          <w:bCs/>
          <w:sz w:val="22"/>
          <w:szCs w:val="28"/>
        </w:rPr>
        <w:t>所有成本费用和投标人应承担的一切税费</w:t>
      </w:r>
      <w:r>
        <w:rPr>
          <w:rFonts w:hint="eastAsia" w:hAnsi="宋体"/>
          <w:sz w:val="22"/>
          <w:szCs w:val="28"/>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rPr>
      </w:pPr>
      <w:r>
        <w:rPr>
          <w:rFonts w:hint="eastAsia" w:hAnsi="宋体"/>
          <w:sz w:val="22"/>
          <w:szCs w:val="28"/>
        </w:rPr>
        <w:t>（3）若用小写表示的金额和用大写表示的金额不一致，以大写表示的金额为准。</w:t>
      </w:r>
    </w:p>
    <w:p>
      <w:pPr>
        <w:tabs>
          <w:tab w:val="left" w:pos="8364"/>
        </w:tabs>
        <w:spacing w:before="120" w:beforeLines="50" w:after="120" w:afterLines="50" w:line="360" w:lineRule="auto"/>
        <w:rPr>
          <w:rFonts w:hAnsi="宋体"/>
        </w:rPr>
      </w:pPr>
    </w:p>
    <w:p>
      <w:pPr>
        <w:spacing w:before="120" w:beforeLines="50" w:after="120" w:afterLines="50" w:line="360" w:lineRule="auto"/>
        <w:rPr>
          <w:rFonts w:hAnsi="宋体"/>
          <w:szCs w:val="21"/>
        </w:rPr>
      </w:pPr>
      <w:r>
        <w:rPr>
          <w:rFonts w:hint="eastAsia" w:hAnsi="宋体"/>
          <w:szCs w:val="21"/>
        </w:rPr>
        <w:t>投标人名称（盖章）：</w:t>
      </w:r>
    </w:p>
    <w:p>
      <w:pPr>
        <w:spacing w:before="120" w:beforeLines="50" w:after="120" w:afterLines="50" w:line="360" w:lineRule="auto"/>
        <w:rPr>
          <w:rFonts w:hAnsi="宋体"/>
          <w:szCs w:val="21"/>
        </w:rPr>
      </w:pPr>
    </w:p>
    <w:p>
      <w:pPr>
        <w:spacing w:before="120" w:beforeLines="50" w:after="120" w:afterLines="50" w:line="360" w:lineRule="auto"/>
        <w:jc w:val="center"/>
        <w:rPr>
          <w:rFonts w:ascii="仿宋" w:hAnsi="仿宋" w:eastAsia="仿宋" w:cs="仿宋"/>
          <w:szCs w:val="21"/>
        </w:rPr>
      </w:pPr>
      <w:r>
        <w:rPr>
          <w:rFonts w:hint="eastAsia" w:hAnsi="宋体"/>
          <w:szCs w:val="21"/>
        </w:rPr>
        <w:t xml:space="preserve">日期： </w:t>
      </w:r>
      <w:r>
        <w:rPr>
          <w:rFonts w:hAnsi="宋体"/>
          <w:szCs w:val="21"/>
        </w:rPr>
        <w:t xml:space="preserve">    </w:t>
      </w:r>
      <w:r>
        <w:rPr>
          <w:rFonts w:hint="eastAsia" w:hAnsi="宋体"/>
          <w:szCs w:val="21"/>
        </w:rPr>
        <w:t xml:space="preserve">年 </w:t>
      </w:r>
      <w:r>
        <w:rPr>
          <w:rFonts w:hAnsi="宋体"/>
          <w:szCs w:val="21"/>
        </w:rPr>
        <w:t xml:space="preserve"> </w:t>
      </w:r>
      <w:r>
        <w:rPr>
          <w:rFonts w:hint="eastAsia" w:hAnsi="宋体"/>
          <w:szCs w:val="21"/>
        </w:rPr>
        <w:t xml:space="preserve">月 </w:t>
      </w:r>
      <w:r>
        <w:rPr>
          <w:rFonts w:hAnsi="宋体"/>
          <w:szCs w:val="21"/>
        </w:rPr>
        <w:t xml:space="preserve"> </w:t>
      </w:r>
      <w:r>
        <w:rPr>
          <w:rFonts w:hint="eastAsia" w:hAnsi="宋体"/>
          <w:szCs w:val="21"/>
        </w:rPr>
        <w:t>日</w:t>
      </w:r>
      <w:r>
        <w:rPr>
          <w:rFonts w:ascii="仿宋" w:hAnsi="仿宋" w:eastAsia="仿宋" w:cs="仿宋"/>
          <w:szCs w:val="21"/>
        </w:rPr>
        <w:br w:type="page"/>
      </w:r>
      <w:r>
        <w:rPr>
          <w:rFonts w:ascii="仿宋" w:hAnsi="仿宋" w:eastAsia="仿宋" w:cs="仿宋"/>
          <w:szCs w:val="21"/>
        </w:rPr>
        <w:t xml:space="preserve"> </w:t>
      </w:r>
    </w:p>
    <w:p>
      <w:pPr>
        <w:spacing w:before="120" w:beforeLines="50" w:after="120" w:afterLines="50" w:line="360" w:lineRule="auto"/>
        <w:rPr>
          <w:rFonts w:ascii="仿宋" w:hAnsi="仿宋" w:eastAsia="仿宋" w:cs="仿宋"/>
          <w:szCs w:val="21"/>
        </w:rPr>
      </w:pPr>
      <w:r>
        <w:rPr>
          <w:rFonts w:hint="eastAsia" w:ascii="宋体" w:hAnsi="宋体" w:cs="Arial"/>
          <w:color w:val="000000"/>
          <w:sz w:val="30"/>
          <w:szCs w:val="30"/>
        </w:rPr>
        <w:t>附件2</w:t>
      </w:r>
    </w:p>
    <w:tbl>
      <w:tblPr>
        <w:tblStyle w:val="17"/>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rPr>
            </w:pPr>
            <w:bookmarkStart w:id="13" w:name="_Hlk33473319"/>
            <w:r>
              <w:rPr>
                <w:rFonts w:hint="eastAsia" w:ascii="黑体" w:hAnsi="黑体" w:eastAsia="黑体" w:cs="宋体"/>
                <w:kern w:val="0"/>
                <w:sz w:val="44"/>
                <w:szCs w:val="44"/>
              </w:rPr>
              <w:t>供应商调查表</w:t>
            </w:r>
          </w:p>
        </w:tc>
      </w:tr>
      <w:tr>
        <w:tblPrEx>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ascii="宋体" w:hAnsi="宋体" w:cs="宋体"/>
                <w:kern w:val="0"/>
                <w:sz w:val="28"/>
                <w:szCs w:val="28"/>
              </w:rPr>
            </w:pPr>
            <w:r>
              <w:rPr>
                <w:rFonts w:hint="eastAsia" w:ascii="宋体" w:hAnsi="宋体" w:cs="宋体"/>
                <w:kern w:val="0"/>
                <w:sz w:val="28"/>
                <w:szCs w:val="28"/>
              </w:rPr>
              <w:t>项目名称：</w:t>
            </w:r>
            <w:r>
              <w:rPr>
                <w:rFonts w:hint="eastAsia" w:ascii="宋体" w:hAnsi="宋体" w:eastAsia="宋体"/>
                <w:sz w:val="24"/>
                <w:szCs w:val="24"/>
                <w:lang w:val="en-US" w:eastAsia="zh-CN"/>
              </w:rPr>
              <w:t>过江隧道北岸竖井周边降水工程</w:t>
            </w:r>
          </w:p>
        </w:tc>
      </w:tr>
      <w:tr>
        <w:tblPrEx>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r>
        <w:tblPrEx>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r>
      <w:tr>
        <w:tblPrEx>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rPr>
            </w:pPr>
          </w:p>
          <w:p>
            <w:pPr>
              <w:spacing w:line="400" w:lineRule="exact"/>
              <w:rPr>
                <w:sz w:val="28"/>
                <w:szCs w:val="28"/>
              </w:rPr>
            </w:pPr>
            <w:r>
              <w:rPr>
                <w:rFonts w:hint="eastAsia"/>
                <w:sz w:val="28"/>
                <w:szCs w:val="28"/>
              </w:rPr>
              <w:t>报名单位（盖章）：</w:t>
            </w:r>
          </w:p>
        </w:tc>
      </w:tr>
    </w:tbl>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日期：202</w:t>
      </w:r>
      <w:r>
        <w:rPr>
          <w:rFonts w:hint="eastAsia"/>
          <w:sz w:val="28"/>
          <w:szCs w:val="28"/>
          <w:lang w:val="en-US" w:eastAsia="zh-CN"/>
        </w:rPr>
        <w:t>3</w:t>
      </w:r>
      <w:r>
        <w:rPr>
          <w:rFonts w:hint="eastAsia"/>
          <w:sz w:val="28"/>
          <w:szCs w:val="28"/>
        </w:rPr>
        <w:t xml:space="preserve">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bookmarkEnd w:id="13"/>
    <w:p>
      <w:pPr>
        <w:spacing w:line="400" w:lineRule="exact"/>
        <w:ind w:left="560" w:hanging="560" w:hangingChars="200"/>
        <w:rPr>
          <w:rFonts w:ascii="宋体" w:hAnsi="宋体"/>
          <w:bCs/>
          <w:sz w:val="30"/>
          <w:szCs w:val="30"/>
        </w:rPr>
      </w:pPr>
      <w:r>
        <w:rPr>
          <w:sz w:val="28"/>
          <w:szCs w:val="28"/>
        </w:rPr>
        <w:br w:type="page"/>
      </w:r>
      <w:r>
        <w:rPr>
          <w:rFonts w:hint="eastAsia" w:ascii="宋体" w:hAnsi="宋体"/>
          <w:bCs/>
          <w:sz w:val="30"/>
          <w:szCs w:val="30"/>
        </w:rPr>
        <w:t>附件3</w:t>
      </w:r>
    </w:p>
    <w:p>
      <w:pPr>
        <w:spacing w:line="500" w:lineRule="exact"/>
        <w:jc w:val="center"/>
        <w:rPr>
          <w:rFonts w:eastAsia="黑体"/>
          <w:b/>
          <w:bCs/>
          <w:sz w:val="36"/>
        </w:rPr>
      </w:pPr>
      <w:r>
        <w:rPr>
          <w:rFonts w:hint="eastAsia" w:eastAsia="黑体"/>
          <w:b/>
          <w:bCs/>
          <w:sz w:val="36"/>
        </w:rPr>
        <w:t>法定代表人身份证明书</w:t>
      </w:r>
    </w:p>
    <w:p>
      <w:pPr>
        <w:spacing w:line="500" w:lineRule="exact"/>
        <w:rPr>
          <w:b/>
          <w:bCs/>
          <w:szCs w:val="21"/>
        </w:rPr>
      </w:pPr>
    </w:p>
    <w:p>
      <w:pPr>
        <w:spacing w:line="500" w:lineRule="exact"/>
        <w:ind w:firstLine="1120" w:firstLineChars="400"/>
        <w:rPr>
          <w:rFonts w:ascii="宋体" w:hAnsi="宋体" w:cs="宋体"/>
          <w:sz w:val="28"/>
        </w:rPr>
      </w:pPr>
      <w:bookmarkStart w:id="14" w:name="_Hlk33473365"/>
      <w:r>
        <w:rPr>
          <w:rFonts w:hint="eastAsia" w:ascii="宋体" w:hAnsi="宋体" w:cs="宋体"/>
          <w:sz w:val="28"/>
        </w:rPr>
        <w:t>在我单位任</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职务，是我单位法定代表人，身份证号为</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，特此证明。</w:t>
      </w:r>
    </w:p>
    <w:p>
      <w:pPr>
        <w:spacing w:line="500" w:lineRule="exact"/>
        <w:ind w:firstLine="627" w:firstLineChars="224"/>
        <w:rPr>
          <w:rFonts w:ascii="宋体" w:hAnsi="宋体" w:cs="宋体"/>
          <w:sz w:val="28"/>
        </w:rPr>
      </w:pPr>
    </w:p>
    <w:p>
      <w:pPr>
        <w:spacing w:line="500" w:lineRule="exact"/>
        <w:jc w:val="left"/>
        <w:rPr>
          <w:rFonts w:ascii="宋体" w:hAnsi="宋体" w:cs="宋体"/>
          <w:sz w:val="28"/>
        </w:rPr>
      </w:pPr>
      <w:r>
        <w:rPr>
          <w:rFonts w:hint="eastAsia" w:ascii="宋体" w:hAnsi="宋体" w:cs="宋体"/>
          <w:sz w:val="28"/>
        </w:rPr>
        <w:t>（单位盖章）</w:t>
      </w:r>
    </w:p>
    <w:p>
      <w:pPr>
        <w:spacing w:line="500" w:lineRule="exact"/>
        <w:ind w:firstLine="627" w:firstLineChars="224"/>
        <w:rPr>
          <w:rFonts w:hAnsi="宋体" w:cs="宋体"/>
          <w:sz w:val="28"/>
          <w:szCs w:val="28"/>
        </w:rPr>
      </w:pPr>
    </w:p>
    <w:p>
      <w:pPr>
        <w:spacing w:line="500" w:lineRule="exact"/>
        <w:rPr>
          <w:rFonts w:ascii="宋体" w:hAnsi="宋体" w:cs="宋体"/>
          <w:sz w:val="28"/>
        </w:rPr>
      </w:pPr>
      <w:r>
        <w:rPr>
          <w:rFonts w:hint="eastAsia" w:hAnsi="宋体" w:cs="宋体"/>
          <w:sz w:val="28"/>
          <w:szCs w:val="28"/>
        </w:rPr>
        <w:t>日期：202</w:t>
      </w:r>
      <w:r>
        <w:rPr>
          <w:rFonts w:hint="eastAsia" w:hAnsi="宋体" w:cs="宋体"/>
          <w:sz w:val="28"/>
          <w:szCs w:val="28"/>
          <w:lang w:val="en-US" w:eastAsia="zh-CN"/>
        </w:rPr>
        <w:t>3</w:t>
      </w:r>
      <w:r>
        <w:rPr>
          <w:rFonts w:hint="eastAsia" w:hAnsi="宋体" w:cs="宋体"/>
          <w:sz w:val="28"/>
          <w:szCs w:val="28"/>
        </w:rPr>
        <w:t xml:space="preserve">年 </w:t>
      </w:r>
      <w:r>
        <w:rPr>
          <w:rFonts w:hAnsi="宋体" w:cs="宋体"/>
          <w:sz w:val="28"/>
          <w:szCs w:val="28"/>
        </w:rPr>
        <w:t xml:space="preserve">  </w:t>
      </w:r>
      <w:r>
        <w:rPr>
          <w:rFonts w:hint="eastAsia" w:hAnsi="宋体" w:cs="宋体"/>
          <w:sz w:val="28"/>
          <w:szCs w:val="28"/>
        </w:rPr>
        <w:t xml:space="preserve">月 </w:t>
      </w:r>
      <w:r>
        <w:rPr>
          <w:rFonts w:hAnsi="宋体" w:cs="宋体"/>
          <w:sz w:val="28"/>
          <w:szCs w:val="28"/>
        </w:rPr>
        <w:t xml:space="preserve"> </w:t>
      </w:r>
      <w:r>
        <w:rPr>
          <w:rFonts w:hint="eastAsia" w:hAnsi="宋体" w:cs="宋体"/>
          <w:sz w:val="28"/>
          <w:szCs w:val="28"/>
        </w:rPr>
        <w:t>日</w:t>
      </w:r>
    </w:p>
    <w:p>
      <w:pPr>
        <w:spacing w:line="500" w:lineRule="exact"/>
        <w:rPr>
          <w:rFonts w:ascii="宋体" w:hAnsi="宋体" w:cs="宋体"/>
          <w:sz w:val="28"/>
        </w:rPr>
      </w:pPr>
      <w:r>
        <w:rPr>
          <w:rFonts w:hint="eastAsia" w:ascii="宋体" w:hAnsi="宋体" w:cs="宋体"/>
          <w:sz w:val="28"/>
        </w:rPr>
        <w:t xml:space="preserve">单位通信地址：                                </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邮政编码：                 单位联系电话：   </w:t>
      </w:r>
    </w:p>
    <w:p/>
    <w:p>
      <w:pPr>
        <w:spacing w:line="360" w:lineRule="auto"/>
        <w:rPr>
          <w:rFonts w:ascii="宋体" w:hAnsi="宋体" w:cs="Arial"/>
          <w:color w:val="000000"/>
          <w:sz w:val="28"/>
          <w:szCs w:val="28"/>
        </w:rPr>
      </w:pPr>
      <w:r>
        <w:rPr>
          <w:rFonts w:hint="eastAsia" w:ascii="宋体" w:hAnsi="宋体" w:cs="Arial"/>
          <w:color w:val="000000"/>
          <w:sz w:val="28"/>
          <w:szCs w:val="28"/>
        </w:rPr>
        <w:t>附：法人代表身份证正反面或其他身份证明材料复印件</w:t>
      </w:r>
    </w:p>
    <w:bookmarkEnd w:id="14"/>
    <w:p>
      <w:pPr>
        <w:spacing w:line="360" w:lineRule="auto"/>
        <w:rPr>
          <w:rFonts w:ascii="宋体" w:hAnsi="宋体" w:cs="Arial"/>
          <w:color w:val="000000"/>
          <w:sz w:val="28"/>
          <w:szCs w:val="28"/>
        </w:rPr>
      </w:pPr>
    </w:p>
    <w:p>
      <w:pPr>
        <w:spacing w:line="360" w:lineRule="auto"/>
        <w:rPr>
          <w:rFonts w:ascii="宋体" w:hAnsi="宋体" w:cs="Arial"/>
          <w:color w:val="000000"/>
          <w:sz w:val="30"/>
          <w:szCs w:val="30"/>
        </w:rPr>
      </w:pPr>
      <w:r>
        <w:rPr>
          <w:rFonts w:hint="eastAsia" w:ascii="宋体" w:hAnsi="宋体" w:cs="Arial"/>
          <w:color w:val="000000"/>
          <w:sz w:val="28"/>
          <w:szCs w:val="28"/>
        </w:rPr>
        <w:br w:type="page"/>
      </w:r>
      <w:r>
        <w:rPr>
          <w:rFonts w:hint="eastAsia" w:ascii="宋体" w:hAnsi="宋体" w:cs="黑体"/>
          <w:color w:val="000000"/>
          <w:sz w:val="30"/>
          <w:szCs w:val="30"/>
        </w:rPr>
        <w:t>附件4</w:t>
      </w:r>
    </w:p>
    <w:p>
      <w:pPr>
        <w:spacing w:line="500" w:lineRule="exact"/>
        <w:ind w:firstLine="2168" w:firstLineChars="600"/>
        <w:rPr>
          <w:rFonts w:eastAsia="黑体"/>
          <w:b/>
          <w:bCs/>
          <w:sz w:val="36"/>
        </w:rPr>
      </w:pPr>
      <w:r>
        <w:rPr>
          <w:rFonts w:hint="eastAsia" w:eastAsia="黑体"/>
          <w:b/>
          <w:bCs/>
          <w:sz w:val="36"/>
        </w:rPr>
        <w:t>法定代表人授权委托证明书</w:t>
      </w:r>
    </w:p>
    <w:p>
      <w:pPr>
        <w:pStyle w:val="26"/>
        <w:spacing w:line="360" w:lineRule="auto"/>
        <w:ind w:firstLine="424" w:firstLineChars="177"/>
        <w:rPr>
          <w:rFonts w:hAnsi="宋体"/>
          <w:bCs/>
          <w:sz w:val="24"/>
          <w:szCs w:val="24"/>
        </w:rPr>
      </w:pPr>
    </w:p>
    <w:p>
      <w:pPr>
        <w:pStyle w:val="26"/>
        <w:spacing w:line="360" w:lineRule="auto"/>
        <w:ind w:firstLine="480" w:firstLineChars="200"/>
        <w:rPr>
          <w:rFonts w:hAnsi="宋体"/>
          <w:sz w:val="24"/>
          <w:szCs w:val="24"/>
        </w:rPr>
      </w:pPr>
      <w:r>
        <w:rPr>
          <w:rFonts w:hint="eastAsia" w:hAnsi="宋体"/>
          <w:bCs/>
          <w:sz w:val="24"/>
          <w:szCs w:val="24"/>
        </w:rPr>
        <w:t>兹授权（委托代理人姓名）为我方委托代理人，其权限是：</w:t>
      </w:r>
      <w:r>
        <w:rPr>
          <w:rFonts w:hint="eastAsia" w:hAnsi="宋体"/>
          <w:sz w:val="24"/>
          <w:szCs w:val="24"/>
        </w:rPr>
        <w:t>办理                       （采购单位名称）组织的“                （项目名称）”的投标和合同执行，以我方的名义处理一切与之有关的事宜。</w:t>
      </w:r>
    </w:p>
    <w:p>
      <w:pPr>
        <w:pStyle w:val="26"/>
        <w:spacing w:line="360" w:lineRule="auto"/>
        <w:ind w:firstLine="480" w:firstLineChars="200"/>
        <w:rPr>
          <w:rFonts w:hAnsi="宋体"/>
          <w:bCs/>
          <w:sz w:val="24"/>
          <w:szCs w:val="24"/>
        </w:rPr>
      </w:pPr>
      <w:r>
        <w:rPr>
          <w:rFonts w:hint="eastAsia" w:hAnsi="宋体"/>
          <w:sz w:val="24"/>
          <w:szCs w:val="24"/>
          <w:lang w:val="en-GB"/>
        </w:rPr>
        <w:t>本</w:t>
      </w:r>
      <w:r>
        <w:rPr>
          <w:rFonts w:hint="eastAsia" w:hAnsi="宋体"/>
          <w:sz w:val="24"/>
          <w:szCs w:val="24"/>
        </w:rPr>
        <w:t>授权书</w:t>
      </w:r>
      <w:r>
        <w:rPr>
          <w:rFonts w:hint="eastAsia" w:hAnsi="宋体"/>
          <w:sz w:val="24"/>
          <w:szCs w:val="24"/>
          <w:lang w:val="en-GB"/>
        </w:rPr>
        <w:t>自</w:t>
      </w:r>
      <w:r>
        <w:rPr>
          <w:rFonts w:hint="eastAsia" w:hAnsi="宋体"/>
          <w:sz w:val="24"/>
          <w:szCs w:val="24"/>
        </w:rPr>
        <w:t>年月日</w:t>
      </w:r>
      <w:r>
        <w:rPr>
          <w:rFonts w:hint="eastAsia" w:hAnsi="宋体"/>
          <w:sz w:val="24"/>
          <w:szCs w:val="24"/>
          <w:lang w:val="en-GB"/>
        </w:rPr>
        <w:t>签章之日起生效，特此声明。</w:t>
      </w:r>
    </w:p>
    <w:p>
      <w:pPr>
        <w:pStyle w:val="26"/>
        <w:spacing w:line="360" w:lineRule="auto"/>
        <w:ind w:firstLine="480" w:firstLineChars="200"/>
        <w:rPr>
          <w:rFonts w:hAnsi="宋体"/>
          <w:sz w:val="24"/>
          <w:szCs w:val="24"/>
          <w:u w:val="single"/>
        </w:rPr>
      </w:pPr>
      <w:r>
        <w:rPr>
          <w:rFonts w:hint="eastAsia" w:hAnsi="宋体"/>
          <w:sz w:val="24"/>
          <w:szCs w:val="24"/>
        </w:rPr>
        <w:t>附：代理人性别：   年龄：   职务：</w:t>
      </w:r>
    </w:p>
    <w:p>
      <w:pPr>
        <w:pStyle w:val="26"/>
        <w:spacing w:line="360" w:lineRule="auto"/>
        <w:ind w:firstLine="480" w:firstLineChars="200"/>
        <w:rPr>
          <w:rFonts w:hAnsi="宋体"/>
          <w:sz w:val="24"/>
          <w:szCs w:val="24"/>
          <w:u w:val="single"/>
        </w:rPr>
      </w:pPr>
      <w:r>
        <w:rPr>
          <w:rFonts w:hint="eastAsia" w:hAnsi="宋体"/>
          <w:sz w:val="24"/>
          <w:szCs w:val="24"/>
        </w:rPr>
        <w:t>　　身份证号码：</w:t>
      </w:r>
    </w:p>
    <w:p>
      <w:pPr>
        <w:pStyle w:val="26"/>
        <w:spacing w:line="360" w:lineRule="auto"/>
        <w:ind w:firstLine="480" w:firstLineChars="200"/>
        <w:rPr>
          <w:rFonts w:hAnsi="宋体"/>
          <w:sz w:val="24"/>
          <w:szCs w:val="24"/>
          <w:u w:val="single"/>
        </w:rPr>
      </w:pPr>
      <w:r>
        <w:rPr>
          <w:rFonts w:hint="eastAsia" w:hAnsi="宋体"/>
          <w:sz w:val="24"/>
          <w:szCs w:val="24"/>
        </w:rPr>
        <w:t>　　（营业执照等）注册号码：</w:t>
      </w:r>
    </w:p>
    <w:p>
      <w:pPr>
        <w:pStyle w:val="26"/>
        <w:spacing w:line="360" w:lineRule="auto"/>
        <w:ind w:firstLine="480" w:firstLineChars="200"/>
        <w:rPr>
          <w:rFonts w:hAnsi="宋体"/>
          <w:sz w:val="24"/>
          <w:szCs w:val="24"/>
          <w:u w:val="single"/>
        </w:rPr>
      </w:pPr>
      <w:r>
        <w:rPr>
          <w:rFonts w:hint="eastAsia" w:hAnsi="宋体"/>
          <w:sz w:val="24"/>
          <w:szCs w:val="24"/>
        </w:rPr>
        <w:t>　　企业类型：</w:t>
      </w:r>
    </w:p>
    <w:p>
      <w:pPr>
        <w:pStyle w:val="26"/>
        <w:spacing w:line="360" w:lineRule="auto"/>
        <w:ind w:firstLine="480" w:firstLineChars="200"/>
        <w:rPr>
          <w:rFonts w:hAnsi="宋体"/>
          <w:sz w:val="24"/>
          <w:szCs w:val="24"/>
          <w:u w:val="single"/>
        </w:rPr>
      </w:pPr>
      <w:r>
        <w:rPr>
          <w:rFonts w:hint="eastAsia" w:hAnsi="宋体"/>
          <w:sz w:val="24"/>
          <w:szCs w:val="24"/>
        </w:rPr>
        <w:t>　　经营范围：</w:t>
      </w:r>
    </w:p>
    <w:p>
      <w:pPr>
        <w:pStyle w:val="26"/>
        <w:spacing w:line="360" w:lineRule="auto"/>
        <w:rPr>
          <w:rFonts w:hAnsi="宋体"/>
          <w:sz w:val="24"/>
          <w:szCs w:val="24"/>
        </w:rPr>
      </w:pPr>
      <w:r>
        <w:rPr>
          <w:rFonts w:hint="eastAsia" w:hAnsi="宋体"/>
          <w:sz w:val="24"/>
          <w:szCs w:val="24"/>
        </w:rPr>
        <w:t>附：被授权人有效身份证正反面或其他身份证明材料复印　　　　　　　</w:t>
      </w:r>
    </w:p>
    <w:p>
      <w:pPr>
        <w:pStyle w:val="25"/>
        <w:spacing w:line="360" w:lineRule="auto"/>
        <w:jc w:val="both"/>
        <w:rPr>
          <w:rFonts w:hAnsi="宋体"/>
          <w:sz w:val="24"/>
          <w:szCs w:val="24"/>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4"/>
          <w:szCs w:val="24"/>
        </w:rPr>
      </w:pPr>
      <w:r>
        <w:rPr>
          <w:rFonts w:hint="eastAsia" w:hAnsi="宋体" w:eastAsia="宋体" w:cs="宋体"/>
          <w:sz w:val="24"/>
          <w:szCs w:val="24"/>
        </w:rPr>
        <w:t>（单位盖章）：</w:t>
      </w:r>
    </w:p>
    <w:p>
      <w:pPr>
        <w:pStyle w:val="25"/>
        <w:spacing w:line="360" w:lineRule="auto"/>
        <w:jc w:val="both"/>
        <w:rPr>
          <w:rFonts w:hAnsi="宋体" w:eastAsia="宋体" w:cs="宋体"/>
          <w:sz w:val="24"/>
          <w:szCs w:val="24"/>
        </w:rPr>
      </w:pPr>
    </w:p>
    <w:p>
      <w:pPr>
        <w:pStyle w:val="25"/>
        <w:spacing w:line="360" w:lineRule="auto"/>
        <w:jc w:val="both"/>
        <w:rPr>
          <w:rFonts w:hAnsi="宋体" w:eastAsia="宋体" w:cs="宋体"/>
          <w:sz w:val="24"/>
          <w:szCs w:val="24"/>
        </w:rPr>
      </w:pPr>
      <w:bookmarkStart w:id="15" w:name="_Hlk33473384"/>
      <w:r>
        <w:rPr>
          <w:rFonts w:hint="eastAsia" w:hAnsi="宋体" w:eastAsia="宋体" w:cs="宋体"/>
          <w:sz w:val="24"/>
          <w:szCs w:val="24"/>
        </w:rPr>
        <w:t>法定代表人（签字或盖章）：</w:t>
      </w:r>
    </w:p>
    <w:p>
      <w:pPr>
        <w:pStyle w:val="25"/>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25"/>
        <w:spacing w:line="360" w:lineRule="auto"/>
        <w:jc w:val="both"/>
        <w:rPr>
          <w:rFonts w:hAnsi="宋体" w:eastAsia="宋体" w:cs="宋体"/>
          <w:sz w:val="24"/>
          <w:szCs w:val="24"/>
        </w:rPr>
      </w:pPr>
      <w:r>
        <w:rPr>
          <w:rFonts w:hint="eastAsia" w:hAnsi="宋体" w:eastAsia="宋体" w:cs="宋体"/>
          <w:sz w:val="24"/>
          <w:szCs w:val="24"/>
        </w:rPr>
        <w:t>日期： 202</w:t>
      </w:r>
      <w:r>
        <w:rPr>
          <w:rFonts w:hint="eastAsia" w:hAnsi="宋体" w:eastAsia="宋体" w:cs="宋体"/>
          <w:sz w:val="24"/>
          <w:szCs w:val="24"/>
          <w:lang w:val="en-US" w:eastAsia="zh-CN"/>
        </w:rPr>
        <w:t>3</w:t>
      </w:r>
      <w:r>
        <w:rPr>
          <w:rFonts w:hint="eastAsia" w:hAnsi="宋体" w:eastAsia="宋体" w:cs="宋体"/>
          <w:sz w:val="24"/>
          <w:szCs w:val="24"/>
        </w:rPr>
        <w:t>年   月  日</w:t>
      </w:r>
    </w:p>
    <w:p>
      <w:pPr>
        <w:rPr>
          <w:sz w:val="24"/>
        </w:rPr>
      </w:pPr>
      <w:r>
        <w:rPr>
          <w:rFonts w:hint="eastAsia" w:hAnsi="宋体" w:cs="宋体"/>
          <w:sz w:val="24"/>
          <w:lang w:val="zh-CN"/>
        </w:rPr>
        <w:t>说明：法定代表人亲自办理投标事宜的，无需提交本证明书。</w:t>
      </w:r>
    </w:p>
    <w:bookmarkEnd w:id="15"/>
    <w:p>
      <w:pPr>
        <w:spacing w:line="360" w:lineRule="auto"/>
        <w:rPr>
          <w:sz w:val="28"/>
          <w:szCs w:val="28"/>
        </w:rPr>
      </w:pPr>
    </w:p>
    <w:p>
      <w:pPr>
        <w:rPr>
          <w:rFonts w:ascii="仿宋" w:hAnsi="仿宋" w:eastAsia="仿宋" w:cs="仿宋"/>
          <w:szCs w:val="21"/>
        </w:rPr>
      </w:pPr>
      <w:r>
        <w:rPr>
          <w:rFonts w:ascii="仿宋" w:hAnsi="仿宋" w:eastAsia="仿宋" w:cs="仿宋"/>
          <w:szCs w:val="21"/>
        </w:rPr>
        <w:br w:type="page"/>
      </w:r>
    </w:p>
    <w:p>
      <w:pPr>
        <w:rPr>
          <w:rFonts w:hAnsi="宋体"/>
          <w:sz w:val="30"/>
          <w:szCs w:val="30"/>
        </w:rPr>
      </w:pPr>
      <w:r>
        <w:rPr>
          <w:rFonts w:hint="eastAsia" w:ascii="宋体" w:hAnsi="宋体" w:cs="Arial"/>
          <w:color w:val="000000"/>
          <w:sz w:val="30"/>
          <w:szCs w:val="30"/>
        </w:rPr>
        <w:t>附件5</w:t>
      </w:r>
    </w:p>
    <w:p>
      <w:pPr>
        <w:widowControl/>
        <w:jc w:val="center"/>
        <w:rPr>
          <w:rFonts w:ascii="宋体" w:hAnsi="宋体" w:cs="宋体"/>
          <w:b/>
          <w:bCs/>
          <w:sz w:val="36"/>
          <w:szCs w:val="36"/>
        </w:rPr>
      </w:pPr>
      <w:r>
        <w:rPr>
          <w:rFonts w:hint="eastAsia" w:ascii="宋体" w:hAnsi="宋体"/>
          <w:b/>
          <w:kern w:val="0"/>
          <w:sz w:val="28"/>
          <w:lang w:val="en-US" w:eastAsia="zh-CN"/>
        </w:rPr>
        <w:t>投标人</w:t>
      </w:r>
      <w:r>
        <w:rPr>
          <w:rFonts w:hint="eastAsia" w:ascii="宋体" w:hAnsi="宋体"/>
          <w:b/>
          <w:kern w:val="0"/>
          <w:sz w:val="28"/>
        </w:rPr>
        <w:t>资格性审查表</w:t>
      </w:r>
    </w:p>
    <w:p>
      <w:pPr>
        <w:ind w:firstLine="2891" w:firstLineChars="800"/>
        <w:rPr>
          <w:rFonts w:ascii="宋体" w:hAnsi="宋体" w:cs="宋体"/>
          <w:b/>
          <w:bCs/>
          <w:sz w:val="36"/>
          <w:szCs w:val="36"/>
        </w:rPr>
      </w:pPr>
    </w:p>
    <w:p>
      <w:pPr>
        <w:spacing w:line="360" w:lineRule="auto"/>
        <w:rPr>
          <w:rFonts w:ascii="宋体" w:hAnsi="宋体"/>
          <w:bCs/>
          <w:szCs w:val="21"/>
        </w:rPr>
      </w:pPr>
      <w:r>
        <w:rPr>
          <w:rFonts w:hint="eastAsia" w:ascii="宋体" w:hAnsi="宋体"/>
          <w:bCs/>
          <w:szCs w:val="21"/>
        </w:rPr>
        <w:t>项目名称：</w:t>
      </w:r>
      <w:r>
        <w:rPr>
          <w:rFonts w:hint="eastAsia" w:ascii="宋体" w:hAnsi="宋体" w:eastAsia="宋体"/>
          <w:sz w:val="24"/>
          <w:szCs w:val="24"/>
          <w:lang w:val="en-US" w:eastAsia="zh-CN"/>
        </w:rPr>
        <w:t>过江隧道北岸竖井周边降水工程</w:t>
      </w:r>
    </w:p>
    <w:tbl>
      <w:tblPr>
        <w:tblStyle w:val="17"/>
        <w:tblW w:w="844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rPr>
            </w:pPr>
            <w:r>
              <w:rPr>
                <w:rFonts w:hint="eastAsia" w:ascii="宋体" w:hAnsi="宋体" w:cs="宋体"/>
                <w:b/>
                <w:bCs/>
                <w:szCs w:val="21"/>
              </w:rPr>
              <w:t>序号</w:t>
            </w:r>
          </w:p>
        </w:tc>
        <w:tc>
          <w:tcPr>
            <w:tcW w:w="6862" w:type="dxa"/>
            <w:vAlign w:val="center"/>
          </w:tcPr>
          <w:p>
            <w:pPr>
              <w:ind w:firstLine="422"/>
              <w:jc w:val="center"/>
              <w:rPr>
                <w:rFonts w:ascii="宋体" w:hAnsi="宋体"/>
                <w:b/>
                <w:sz w:val="22"/>
                <w:szCs w:val="21"/>
              </w:rPr>
            </w:pPr>
            <w:r>
              <w:rPr>
                <w:rFonts w:hint="eastAsia" w:ascii="宋体" w:hAnsi="宋体" w:cs="宋体"/>
                <w:b/>
                <w:bCs/>
                <w:szCs w:val="21"/>
              </w:rPr>
              <w:t>评审内容</w:t>
            </w:r>
          </w:p>
        </w:tc>
        <w:tc>
          <w:tcPr>
            <w:tcW w:w="934"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rPr>
            </w:pPr>
            <w:r>
              <w:rPr>
                <w:rFonts w:hint="eastAsia" w:ascii="宋体" w:hAnsi="宋体" w:cs="宋体"/>
                <w:szCs w:val="21"/>
              </w:rPr>
              <w:t>1</w:t>
            </w:r>
          </w:p>
        </w:tc>
        <w:tc>
          <w:tcPr>
            <w:tcW w:w="6862" w:type="dxa"/>
            <w:shd w:val="clear" w:color="auto" w:fill="auto"/>
            <w:vAlign w:val="center"/>
          </w:tcPr>
          <w:p>
            <w:pPr>
              <w:rPr>
                <w:rFonts w:ascii="宋体" w:hAnsi="宋体"/>
                <w:sz w:val="18"/>
                <w:szCs w:val="18"/>
              </w:rPr>
            </w:pPr>
            <w:r>
              <w:rPr>
                <w:rFonts w:hint="eastAsia" w:ascii="宋体" w:hAnsi="宋体" w:eastAsia="宋体"/>
                <w:sz w:val="21"/>
                <w:szCs w:val="21"/>
              </w:rPr>
              <w:t>必须是具有独立承担民事责任能力的在中华人民共和国境内注册的法人，具备有效的工商营业执照、企业法人组织机构代码证书、税务登记证书（或三证合一），按国家法律经营。</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jc w:val="center"/>
        </w:trPr>
        <w:tc>
          <w:tcPr>
            <w:tcW w:w="648" w:type="dxa"/>
            <w:shd w:val="clear" w:color="auto" w:fill="auto"/>
            <w:vAlign w:val="center"/>
          </w:tcPr>
          <w:p>
            <w:pPr>
              <w:rPr>
                <w:rFonts w:ascii="宋体" w:hAnsi="宋体" w:cs="宋体"/>
                <w:szCs w:val="21"/>
              </w:rPr>
            </w:pPr>
            <w:r>
              <w:rPr>
                <w:rFonts w:ascii="宋体" w:hAnsi="宋体" w:cs="宋体"/>
                <w:szCs w:val="21"/>
              </w:rPr>
              <w:t>2</w:t>
            </w:r>
          </w:p>
        </w:tc>
        <w:tc>
          <w:tcPr>
            <w:tcW w:w="6862" w:type="dxa"/>
            <w:shd w:val="clear" w:color="auto" w:fill="auto"/>
            <w:vAlign w:val="center"/>
          </w:tcPr>
          <w:p>
            <w:pPr>
              <w:pStyle w:val="35"/>
              <w:numPr>
                <w:ilvl w:val="0"/>
                <w:numId w:val="0"/>
              </w:numPr>
              <w:spacing w:line="360" w:lineRule="auto"/>
              <w:rPr>
                <w:rFonts w:ascii="宋体" w:hAnsi="宋体" w:cs="宋体"/>
                <w:sz w:val="18"/>
                <w:szCs w:val="18"/>
              </w:rPr>
            </w:pPr>
            <w:r>
              <w:rPr>
                <w:rFonts w:hint="eastAsia" w:ascii="宋体" w:hAnsi="宋体" w:eastAsia="宋体"/>
                <w:sz w:val="21"/>
                <w:szCs w:val="21"/>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hint="eastAsia" w:ascii="宋体" w:hAnsi="宋体" w:eastAsia="宋体" w:cs="宋体"/>
                <w:szCs w:val="21"/>
                <w:lang w:val="en-US" w:eastAsia="zh-CN"/>
              </w:rPr>
            </w:pPr>
            <w:r>
              <w:rPr>
                <w:rFonts w:hint="eastAsia" w:ascii="宋体" w:hAnsi="宋体" w:cs="宋体"/>
                <w:szCs w:val="21"/>
                <w:lang w:val="en-US" w:eastAsia="zh-CN"/>
              </w:rPr>
              <w:t>3</w:t>
            </w:r>
          </w:p>
        </w:tc>
        <w:tc>
          <w:tcPr>
            <w:tcW w:w="6862" w:type="dxa"/>
            <w:shd w:val="clear" w:color="auto" w:fill="auto"/>
            <w:vAlign w:val="center"/>
          </w:tcPr>
          <w:p>
            <w:pPr>
              <w:pStyle w:val="35"/>
              <w:numPr>
                <w:ilvl w:val="0"/>
                <w:numId w:val="0"/>
              </w:numPr>
              <w:spacing w:line="360" w:lineRule="auto"/>
              <w:rPr>
                <w:rFonts w:ascii="宋体" w:hAnsi="宋体" w:cs="宋体"/>
                <w:sz w:val="18"/>
                <w:szCs w:val="18"/>
              </w:rPr>
            </w:pPr>
            <w:r>
              <w:rPr>
                <w:rFonts w:hint="eastAsia" w:ascii="宋体" w:hAnsi="宋体" w:eastAsia="宋体"/>
                <w:sz w:val="21"/>
                <w:szCs w:val="21"/>
              </w:rPr>
              <w:t>投标人20</w:t>
            </w:r>
            <w:r>
              <w:rPr>
                <w:rFonts w:hint="eastAsia" w:ascii="宋体" w:hAnsi="宋体" w:eastAsia="宋体"/>
                <w:sz w:val="21"/>
                <w:szCs w:val="21"/>
                <w:lang w:val="en-US" w:eastAsia="zh-CN"/>
              </w:rPr>
              <w:t>20</w:t>
            </w:r>
            <w:r>
              <w:rPr>
                <w:rFonts w:hint="eastAsia" w:ascii="宋体" w:hAnsi="宋体" w:eastAsia="宋体"/>
                <w:sz w:val="21"/>
                <w:szCs w:val="21"/>
              </w:rPr>
              <w:t>年1月1日至今完成过质量合格的类似项目业绩（需提供合同和验收报告等相关证明材料复印件，完成时间以竣工验收时间为准）</w:t>
            </w:r>
            <w:r>
              <w:rPr>
                <w:rFonts w:hint="eastAsia" w:ascii="宋体" w:hAnsi="宋体" w:eastAsia="宋体"/>
                <w:sz w:val="21"/>
                <w:szCs w:val="21"/>
                <w:lang w:eastAsia="zh-CN"/>
              </w:rPr>
              <w:t>。</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8" w:hRule="atLeast"/>
          <w:jc w:val="center"/>
        </w:trPr>
        <w:tc>
          <w:tcPr>
            <w:tcW w:w="648" w:type="dxa"/>
            <w:shd w:val="clear" w:color="auto" w:fill="auto"/>
            <w:vAlign w:val="center"/>
          </w:tcPr>
          <w:p>
            <w:pPr>
              <w:rPr>
                <w:rFonts w:hint="eastAsia" w:ascii="宋体" w:hAnsi="宋体" w:eastAsia="宋体" w:cs="宋体"/>
                <w:szCs w:val="21"/>
                <w:lang w:eastAsia="zh-CN"/>
              </w:rPr>
            </w:pPr>
            <w:r>
              <w:rPr>
                <w:rFonts w:hint="eastAsia" w:ascii="宋体" w:hAnsi="宋体" w:cs="宋体"/>
                <w:szCs w:val="21"/>
                <w:lang w:val="en-US" w:eastAsia="zh-CN"/>
              </w:rPr>
              <w:t>4</w:t>
            </w:r>
          </w:p>
        </w:tc>
        <w:tc>
          <w:tcPr>
            <w:tcW w:w="6862" w:type="dxa"/>
            <w:shd w:val="clear" w:color="auto" w:fill="auto"/>
            <w:vAlign w:val="center"/>
          </w:tcPr>
          <w:p>
            <w:pPr>
              <w:pStyle w:val="35"/>
              <w:numPr>
                <w:ilvl w:val="0"/>
                <w:numId w:val="0"/>
              </w:numPr>
              <w:spacing w:line="360" w:lineRule="auto"/>
              <w:rPr>
                <w:rFonts w:hint="eastAsia" w:ascii="宋体" w:hAnsi="宋体" w:eastAsia="宋体"/>
                <w:sz w:val="21"/>
                <w:szCs w:val="21"/>
              </w:rPr>
            </w:pPr>
            <w:r>
              <w:rPr>
                <w:rFonts w:hint="eastAsia" w:ascii="宋体" w:hAnsi="宋体" w:eastAsia="宋体"/>
                <w:sz w:val="21"/>
                <w:szCs w:val="21"/>
              </w:rPr>
              <w:t>具备</w:t>
            </w:r>
            <w:r>
              <w:rPr>
                <w:rFonts w:hint="eastAsia" w:ascii="宋体" w:hAnsi="宋体" w:eastAsia="宋体"/>
                <w:sz w:val="21"/>
                <w:szCs w:val="21"/>
                <w:lang w:val="en-US" w:eastAsia="zh-CN"/>
              </w:rPr>
              <w:t>以下资质之一：</w:t>
            </w:r>
          </w:p>
          <w:p>
            <w:pPr>
              <w:pStyle w:val="35"/>
              <w:numPr>
                <w:ilvl w:val="0"/>
                <w:numId w:val="0"/>
              </w:numPr>
              <w:spacing w:line="360" w:lineRule="auto"/>
              <w:rPr>
                <w:rFonts w:hint="eastAsia" w:ascii="宋体" w:hAnsi="宋体" w:eastAsia="宋体"/>
                <w:sz w:val="21"/>
                <w:szCs w:val="21"/>
                <w:lang w:eastAsia="zh-CN"/>
              </w:rPr>
            </w:pPr>
            <w:r>
              <w:rPr>
                <w:rFonts w:hint="eastAsia" w:ascii="宋体" w:hAnsi="宋体" w:eastAsia="宋体"/>
                <w:sz w:val="21"/>
                <w:szCs w:val="21"/>
                <w:lang w:val="en-US" w:eastAsia="zh-CN"/>
              </w:rPr>
              <w:t>1、建筑工程施工总承包三级资质或以上资质。</w:t>
            </w:r>
          </w:p>
          <w:p>
            <w:pPr>
              <w:pStyle w:val="35"/>
              <w:numPr>
                <w:ilvl w:val="0"/>
                <w:numId w:val="0"/>
              </w:numPr>
              <w:spacing w:line="360" w:lineRule="auto"/>
              <w:rPr>
                <w:rFonts w:hint="eastAsia" w:ascii="宋体" w:hAnsi="宋体" w:eastAsia="宋体"/>
                <w:sz w:val="21"/>
                <w:szCs w:val="21"/>
              </w:rPr>
            </w:pPr>
            <w:r>
              <w:rPr>
                <w:rFonts w:hint="eastAsia" w:ascii="宋体" w:hAnsi="宋体" w:eastAsia="宋体"/>
                <w:sz w:val="21"/>
                <w:szCs w:val="21"/>
                <w:lang w:val="en-US" w:eastAsia="zh-CN"/>
              </w:rPr>
              <w:t>2、建筑装修装饰工程专业承包资质二级或以上资质。</w:t>
            </w:r>
          </w:p>
          <w:p>
            <w:pPr>
              <w:tabs>
                <w:tab w:val="left" w:pos="0"/>
              </w:tabs>
              <w:rPr>
                <w:rFonts w:hint="eastAsia" w:ascii="宋体" w:hAnsi="宋体" w:eastAsia="宋体" w:cs="宋体"/>
                <w:sz w:val="18"/>
                <w:szCs w:val="18"/>
                <w:lang w:eastAsia="zh-CN"/>
              </w:rPr>
            </w:pP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8" w:hRule="atLeast"/>
          <w:jc w:val="center"/>
        </w:trPr>
        <w:tc>
          <w:tcPr>
            <w:tcW w:w="648" w:type="dxa"/>
            <w:vAlign w:val="center"/>
          </w:tcPr>
          <w:p>
            <w:pPr>
              <w:rPr>
                <w:rFonts w:hint="eastAsia" w:ascii="宋体" w:hAnsi="宋体" w:eastAsia="宋体"/>
                <w:bCs/>
                <w:szCs w:val="21"/>
                <w:lang w:eastAsia="zh-CN"/>
              </w:rPr>
            </w:pPr>
            <w:r>
              <w:rPr>
                <w:rFonts w:hint="eastAsia" w:ascii="宋体" w:hAnsi="宋体"/>
                <w:bCs/>
                <w:szCs w:val="21"/>
                <w:lang w:val="en-US" w:eastAsia="zh-CN"/>
              </w:rPr>
              <w:t>5</w:t>
            </w:r>
          </w:p>
        </w:tc>
        <w:tc>
          <w:tcPr>
            <w:tcW w:w="6862" w:type="dxa"/>
            <w:vAlign w:val="center"/>
          </w:tcPr>
          <w:p>
            <w:pPr>
              <w:rPr>
                <w:rFonts w:hint="eastAsia" w:ascii="宋体" w:hAnsi="宋体" w:eastAsia="宋体" w:cs="宋体"/>
                <w:bCs/>
                <w:sz w:val="18"/>
                <w:szCs w:val="18"/>
                <w:lang w:eastAsia="zh-CN"/>
              </w:rPr>
            </w:pPr>
            <w:r>
              <w:rPr>
                <w:rFonts w:hint="eastAsia" w:ascii="宋体" w:hAnsi="宋体" w:cs="宋体"/>
                <w:bCs/>
                <w:sz w:val="18"/>
                <w:szCs w:val="18"/>
              </w:rPr>
              <w:t>有效的</w:t>
            </w:r>
            <w:r>
              <w:rPr>
                <w:rFonts w:ascii="宋体" w:hAnsi="宋体" w:cs="宋体"/>
                <w:bCs/>
                <w:sz w:val="18"/>
                <w:szCs w:val="18"/>
              </w:rPr>
              <w:t>安全生产许可证</w:t>
            </w:r>
            <w:r>
              <w:rPr>
                <w:rFonts w:hint="eastAsia" w:ascii="宋体" w:hAnsi="宋体" w:cs="宋体"/>
                <w:bCs/>
                <w:sz w:val="18"/>
                <w:szCs w:val="18"/>
              </w:rPr>
              <w:t>（复印件盖章）</w:t>
            </w:r>
            <w:r>
              <w:rPr>
                <w:rFonts w:hint="eastAsia" w:ascii="宋体" w:hAnsi="宋体" w:cs="宋体"/>
                <w:bCs/>
                <w:sz w:val="18"/>
                <w:szCs w:val="18"/>
                <w:lang w:eastAsia="zh-CN"/>
              </w:rPr>
              <w:t>。</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p>
        </w:tc>
        <w:tc>
          <w:tcPr>
            <w:tcW w:w="6862" w:type="dxa"/>
            <w:vAlign w:val="center"/>
          </w:tcPr>
          <w:p>
            <w:pPr>
              <w:rPr>
                <w:rFonts w:ascii="宋体" w:hAnsi="宋体" w:cs="宋体"/>
                <w:bCs/>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934" w:type="dxa"/>
            <w:vAlign w:val="center"/>
          </w:tcPr>
          <w:p>
            <w:pPr>
              <w:spacing w:line="360" w:lineRule="auto"/>
              <w:rPr>
                <w:rFonts w:ascii="宋体" w:hAnsi="宋体"/>
                <w:b/>
                <w:szCs w:val="21"/>
              </w:rPr>
            </w:pPr>
          </w:p>
        </w:tc>
      </w:tr>
    </w:tbl>
    <w:p>
      <w:pPr>
        <w:spacing w:before="120" w:beforeLines="50" w:after="120" w:afterLines="50" w:line="360" w:lineRule="auto"/>
        <w:ind w:firstLine="480" w:firstLineChars="200"/>
        <w:rPr>
          <w:rFonts w:ascii="宋体" w:hAnsi="宋体"/>
          <w:sz w:val="24"/>
        </w:rPr>
      </w:pPr>
      <w:r>
        <w:rPr>
          <w:rFonts w:hint="eastAsia" w:ascii="宋体" w:hAnsi="宋体"/>
          <w:sz w:val="24"/>
        </w:rPr>
        <w:t>注：</w:t>
      </w:r>
    </w:p>
    <w:p>
      <w:pPr>
        <w:numPr>
          <w:ilvl w:val="0"/>
          <w:numId w:val="34"/>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34"/>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34"/>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34"/>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sz w:val="24"/>
        </w:rPr>
      </w:pPr>
      <w:r>
        <w:rPr>
          <w:rFonts w:hint="eastAsia" w:ascii="宋体" w:hAnsi="宋体"/>
          <w:bCs/>
          <w:sz w:val="24"/>
        </w:rPr>
        <w:t xml:space="preserve">评委签名：    </w:t>
      </w:r>
      <w:r>
        <w:rPr>
          <w:rFonts w:hint="eastAsia" w:ascii="宋体" w:hAnsi="宋体"/>
          <w:bCs/>
          <w:sz w:val="24"/>
          <w:lang w:val="en-US" w:eastAsia="zh-CN"/>
        </w:rPr>
        <w:t xml:space="preserve">                         </w:t>
      </w:r>
      <w:r>
        <w:rPr>
          <w:rFonts w:hint="eastAsia" w:ascii="宋体" w:hAnsi="宋体"/>
          <w:bCs/>
          <w:sz w:val="24"/>
        </w:rPr>
        <w:t>日 期：</w:t>
      </w:r>
      <w:r>
        <w:rPr>
          <w:rFonts w:hint="eastAsia" w:ascii="宋体" w:hAnsi="宋体"/>
          <w:sz w:val="24"/>
        </w:rPr>
        <w:t xml:space="preserve">    年   月   日</w:t>
      </w:r>
    </w:p>
    <w:p>
      <w:pPr>
        <w:rPr>
          <w:rFonts w:ascii="仿宋" w:hAnsi="仿宋" w:eastAsia="仿宋" w:cs="仿宋"/>
          <w:szCs w:val="21"/>
        </w:rPr>
      </w:pPr>
      <w:r>
        <w:rPr>
          <w:rFonts w:ascii="仿宋" w:hAnsi="仿宋" w:eastAsia="仿宋" w:cs="仿宋"/>
          <w:szCs w:val="21"/>
        </w:rPr>
        <w:br w:type="page"/>
      </w:r>
    </w:p>
    <w:p>
      <w:pPr>
        <w:spacing w:line="400" w:lineRule="exact"/>
        <w:rPr>
          <w:rFonts w:hAnsi="宋体"/>
          <w:szCs w:val="21"/>
        </w:rPr>
      </w:pPr>
      <w:r>
        <w:rPr>
          <w:rFonts w:hint="eastAsia" w:ascii="宋体" w:hAnsi="宋体" w:cs="Arial"/>
          <w:color w:val="000000"/>
          <w:sz w:val="30"/>
          <w:szCs w:val="30"/>
        </w:rPr>
        <w:t>附件6</w:t>
      </w:r>
    </w:p>
    <w:p>
      <w:pPr>
        <w:jc w:val="center"/>
        <w:rPr>
          <w:rFonts w:ascii="宋体" w:hAnsi="宋体" w:cs="宋体"/>
          <w:b/>
          <w:bCs/>
          <w:sz w:val="24"/>
        </w:rPr>
      </w:pPr>
      <w:r>
        <w:rPr>
          <w:rFonts w:hint="eastAsia" w:ascii="宋体" w:hAnsi="宋体" w:cs="宋体"/>
          <w:b/>
          <w:bCs/>
          <w:sz w:val="36"/>
          <w:szCs w:val="36"/>
        </w:rPr>
        <w:t>投标文件有效性审查表</w:t>
      </w:r>
    </w:p>
    <w:p>
      <w:pPr>
        <w:rPr>
          <w:rFonts w:ascii="宋体" w:hAnsi="宋体"/>
          <w:bCs/>
          <w:szCs w:val="21"/>
        </w:rPr>
      </w:pPr>
    </w:p>
    <w:p>
      <w:pPr>
        <w:spacing w:line="360" w:lineRule="auto"/>
        <w:rPr>
          <w:rFonts w:ascii="宋体" w:hAnsi="宋体"/>
          <w:bCs/>
          <w:szCs w:val="21"/>
        </w:rPr>
      </w:pPr>
      <w:r>
        <w:rPr>
          <w:rFonts w:hint="eastAsia" w:ascii="宋体" w:hAnsi="宋体"/>
          <w:bCs/>
          <w:szCs w:val="21"/>
        </w:rPr>
        <w:t>项目名称：</w:t>
      </w:r>
      <w:r>
        <w:rPr>
          <w:rFonts w:hint="eastAsia" w:ascii="宋体" w:hAnsi="宋体" w:eastAsia="宋体"/>
          <w:sz w:val="24"/>
          <w:szCs w:val="24"/>
          <w:lang w:val="en-US" w:eastAsia="zh-CN"/>
        </w:rPr>
        <w:t>过江隧道北岸竖井周边降水工程</w:t>
      </w:r>
    </w:p>
    <w:tbl>
      <w:tblPr>
        <w:tblStyle w:val="17"/>
        <w:tblW w:w="82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rPr>
            </w:pPr>
            <w:r>
              <w:rPr>
                <w:rFonts w:hint="eastAsia" w:ascii="宋体" w:hAnsi="宋体" w:cs="宋体"/>
                <w:b/>
                <w:bCs/>
                <w:szCs w:val="21"/>
              </w:rPr>
              <w:t>序号</w:t>
            </w:r>
          </w:p>
        </w:tc>
        <w:tc>
          <w:tcPr>
            <w:tcW w:w="6410" w:type="dxa"/>
            <w:vAlign w:val="center"/>
          </w:tcPr>
          <w:p>
            <w:pPr>
              <w:jc w:val="center"/>
              <w:rPr>
                <w:rFonts w:ascii="宋体" w:hAnsi="宋体"/>
                <w:b/>
                <w:szCs w:val="21"/>
              </w:rPr>
            </w:pPr>
            <w:r>
              <w:rPr>
                <w:rFonts w:hint="eastAsia" w:ascii="宋体" w:hAnsi="宋体" w:cs="宋体"/>
                <w:b/>
                <w:bCs/>
                <w:szCs w:val="21"/>
              </w:rPr>
              <w:t>评审内容</w:t>
            </w:r>
          </w:p>
        </w:tc>
        <w:tc>
          <w:tcPr>
            <w:tcW w:w="1218"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1</w:t>
            </w:r>
          </w:p>
        </w:tc>
        <w:tc>
          <w:tcPr>
            <w:tcW w:w="6410" w:type="dxa"/>
            <w:shd w:val="clear" w:color="auto" w:fill="auto"/>
            <w:vAlign w:val="center"/>
          </w:tcPr>
          <w:p>
            <w:pPr>
              <w:rPr>
                <w:rFonts w:ascii="宋体" w:hAnsi="宋体"/>
                <w:szCs w:val="21"/>
              </w:rPr>
            </w:pPr>
            <w:r>
              <w:rPr>
                <w:rFonts w:hint="eastAsia" w:ascii="宋体" w:hAnsi="宋体"/>
                <w:szCs w:val="21"/>
              </w:rPr>
              <w:t>投标文件按竞选文件的规定密封、盖章和签署；</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2</w:t>
            </w:r>
          </w:p>
        </w:tc>
        <w:tc>
          <w:tcPr>
            <w:tcW w:w="6410" w:type="dxa"/>
            <w:shd w:val="clear" w:color="auto" w:fill="auto"/>
            <w:vAlign w:val="center"/>
          </w:tcPr>
          <w:p>
            <w:pPr>
              <w:rPr>
                <w:rFonts w:ascii="宋体" w:hAnsi="宋体"/>
                <w:szCs w:val="21"/>
              </w:rPr>
            </w:pPr>
            <w:r>
              <w:rPr>
                <w:rFonts w:hint="eastAsia" w:ascii="宋体" w:hAnsi="宋体"/>
                <w:szCs w:val="21"/>
              </w:rPr>
              <w:t>投标文件按竞选文件规定的格式填写，内容</w:t>
            </w:r>
            <w:r>
              <w:rPr>
                <w:rFonts w:hint="eastAsia" w:ascii="宋体" w:hAnsi="宋体"/>
                <w:szCs w:val="21"/>
                <w:lang w:val="en-US" w:eastAsia="zh-CN"/>
              </w:rPr>
              <w:t>无</w:t>
            </w:r>
            <w:r>
              <w:rPr>
                <w:rFonts w:hint="eastAsia" w:ascii="宋体" w:hAnsi="宋体"/>
                <w:szCs w:val="21"/>
              </w:rPr>
              <w:t>不全或关键字迹模糊、无法辩认</w:t>
            </w:r>
            <w:r>
              <w:rPr>
                <w:rFonts w:hint="eastAsia" w:ascii="宋体" w:hAnsi="宋体"/>
                <w:szCs w:val="21"/>
                <w:lang w:val="en-US" w:eastAsia="zh-CN"/>
              </w:rPr>
              <w:t>情形</w:t>
            </w:r>
            <w:r>
              <w:rPr>
                <w:rFonts w:hint="eastAsia" w:ascii="宋体" w:hAnsi="宋体"/>
                <w:szCs w:val="21"/>
              </w:rPr>
              <w:t>；</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3</w:t>
            </w:r>
          </w:p>
        </w:tc>
        <w:tc>
          <w:tcPr>
            <w:tcW w:w="6410" w:type="dxa"/>
            <w:shd w:val="clear" w:color="auto" w:fill="auto"/>
            <w:vAlign w:val="center"/>
          </w:tcPr>
          <w:p>
            <w:pPr>
              <w:rPr>
                <w:rFonts w:ascii="宋体" w:hAnsi="宋体"/>
                <w:szCs w:val="21"/>
              </w:rPr>
            </w:pPr>
            <w:r>
              <w:rPr>
                <w:rFonts w:hint="eastAsia" w:ascii="宋体" w:hAnsi="宋体" w:cs="宋体"/>
                <w:szCs w:val="21"/>
              </w:rPr>
              <w:t>对同一竞选项目</w:t>
            </w:r>
            <w:r>
              <w:rPr>
                <w:rFonts w:hint="eastAsia" w:ascii="宋体" w:hAnsi="宋体" w:cs="宋体"/>
                <w:szCs w:val="21"/>
                <w:lang w:val="en-US" w:eastAsia="zh-CN"/>
              </w:rPr>
              <w:t>未</w:t>
            </w:r>
            <w:r>
              <w:rPr>
                <w:rFonts w:hint="eastAsia" w:ascii="宋体" w:hAnsi="宋体" w:cs="宋体"/>
                <w:szCs w:val="21"/>
              </w:rPr>
              <w:t>出现两个或以上的投标报价，且没声明哪个有效；</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4</w:t>
            </w:r>
          </w:p>
        </w:tc>
        <w:tc>
          <w:tcPr>
            <w:tcW w:w="6410" w:type="dxa"/>
            <w:shd w:val="clear" w:color="auto" w:fill="auto"/>
            <w:vAlign w:val="center"/>
          </w:tcPr>
          <w:p>
            <w:pPr>
              <w:rPr>
                <w:rFonts w:ascii="宋体" w:hAnsi="宋体"/>
                <w:szCs w:val="21"/>
              </w:rPr>
            </w:pPr>
            <w:r>
              <w:rPr>
                <w:rFonts w:hint="eastAsia" w:ascii="宋体" w:hAnsi="宋体" w:cs="宋体"/>
                <w:szCs w:val="21"/>
              </w:rPr>
              <w:t>投标总报价</w:t>
            </w:r>
            <w:r>
              <w:rPr>
                <w:rFonts w:hint="eastAsia" w:ascii="宋体" w:hAnsi="宋体" w:cs="宋体"/>
                <w:szCs w:val="21"/>
                <w:lang w:val="en-US" w:eastAsia="zh-CN"/>
              </w:rPr>
              <w:t>不</w:t>
            </w:r>
            <w:r>
              <w:rPr>
                <w:rFonts w:hint="eastAsia" w:ascii="宋体" w:hAnsi="宋体" w:cs="宋体"/>
                <w:szCs w:val="21"/>
              </w:rPr>
              <w:t>低于企业自身成本；</w:t>
            </w:r>
          </w:p>
        </w:tc>
        <w:tc>
          <w:tcPr>
            <w:tcW w:w="1218"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5</w:t>
            </w:r>
          </w:p>
        </w:tc>
        <w:tc>
          <w:tcPr>
            <w:tcW w:w="6410" w:type="dxa"/>
            <w:shd w:val="clear" w:color="auto" w:fill="auto"/>
            <w:vAlign w:val="center"/>
          </w:tcPr>
          <w:p>
            <w:pPr>
              <w:rPr>
                <w:rFonts w:ascii="宋体" w:hAnsi="宋体"/>
                <w:szCs w:val="21"/>
              </w:rPr>
            </w:pPr>
            <w:r>
              <w:rPr>
                <w:rFonts w:hint="eastAsia" w:ascii="宋体" w:hAnsi="宋体" w:cs="宋体"/>
                <w:szCs w:val="21"/>
              </w:rPr>
              <w:t>投标报价</w:t>
            </w:r>
            <w:r>
              <w:rPr>
                <w:rFonts w:hint="eastAsia" w:ascii="宋体" w:hAnsi="宋体" w:cs="宋体"/>
                <w:szCs w:val="21"/>
                <w:lang w:val="en-US" w:eastAsia="zh-CN"/>
              </w:rPr>
              <w:t>不</w:t>
            </w:r>
            <w:r>
              <w:rPr>
                <w:rFonts w:hint="eastAsia" w:ascii="宋体" w:hAnsi="宋体" w:cs="宋体"/>
                <w:szCs w:val="21"/>
              </w:rPr>
              <w:t>超过</w:t>
            </w:r>
            <w:r>
              <w:rPr>
                <w:rFonts w:hint="eastAsia" w:ascii="宋体" w:hAnsi="宋体"/>
                <w:szCs w:val="21"/>
              </w:rPr>
              <w:t>采购限价</w:t>
            </w:r>
            <w:r>
              <w:rPr>
                <w:rFonts w:hint="eastAsia" w:ascii="宋体" w:hAnsi="宋体" w:cs="宋体"/>
                <w:szCs w:val="21"/>
              </w:rPr>
              <w:t>；</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6</w:t>
            </w:r>
          </w:p>
        </w:tc>
        <w:tc>
          <w:tcPr>
            <w:tcW w:w="6410" w:type="dxa"/>
            <w:shd w:val="clear" w:color="auto" w:fill="auto"/>
            <w:vAlign w:val="center"/>
          </w:tcPr>
          <w:p>
            <w:pPr>
              <w:rPr>
                <w:szCs w:val="21"/>
              </w:rPr>
            </w:pPr>
            <w:r>
              <w:rPr>
                <w:rFonts w:hint="eastAsia" w:ascii="宋体" w:hAnsi="宋体" w:cs="宋体"/>
                <w:szCs w:val="21"/>
              </w:rPr>
              <w:t>工期满足竞选文件要求的；</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7</w:t>
            </w:r>
          </w:p>
        </w:tc>
        <w:tc>
          <w:tcPr>
            <w:tcW w:w="6410" w:type="dxa"/>
            <w:shd w:val="clear" w:color="auto" w:fill="auto"/>
            <w:vAlign w:val="center"/>
          </w:tcPr>
          <w:p>
            <w:pPr>
              <w:rPr>
                <w:szCs w:val="21"/>
              </w:rPr>
            </w:pPr>
            <w:r>
              <w:rPr>
                <w:rFonts w:hint="eastAsia" w:ascii="宋体" w:hAnsi="宋体" w:cs="宋体"/>
                <w:szCs w:val="21"/>
              </w:rPr>
              <w:t>施工方案或施工组织设计响应竞选文件中已明确必须要作实质性响应的内容；</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8</w:t>
            </w:r>
          </w:p>
        </w:tc>
        <w:tc>
          <w:tcPr>
            <w:tcW w:w="6410" w:type="dxa"/>
            <w:shd w:val="clear" w:color="auto" w:fill="auto"/>
            <w:vAlign w:val="center"/>
          </w:tcPr>
          <w:p>
            <w:pPr>
              <w:rPr>
                <w:szCs w:val="21"/>
              </w:rPr>
            </w:pPr>
            <w:r>
              <w:rPr>
                <w:rFonts w:hint="eastAsia" w:ascii="宋体" w:hAnsi="宋体" w:cs="宋体"/>
                <w:szCs w:val="21"/>
              </w:rPr>
              <w:t>投标文件</w:t>
            </w:r>
            <w:r>
              <w:rPr>
                <w:rFonts w:hint="eastAsia" w:ascii="宋体" w:hAnsi="宋体" w:cs="宋体"/>
                <w:szCs w:val="21"/>
                <w:lang w:val="en-US" w:eastAsia="zh-CN"/>
              </w:rPr>
              <w:t>未</w:t>
            </w:r>
            <w:r>
              <w:rPr>
                <w:rFonts w:hint="eastAsia" w:ascii="宋体" w:hAnsi="宋体" w:cs="宋体"/>
                <w:szCs w:val="21"/>
              </w:rPr>
              <w:t>附有采购人不能接受的条件；</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9</w:t>
            </w:r>
          </w:p>
        </w:tc>
        <w:tc>
          <w:tcPr>
            <w:tcW w:w="6410" w:type="dxa"/>
            <w:shd w:val="clear" w:color="auto" w:fill="auto"/>
            <w:vAlign w:val="center"/>
          </w:tcPr>
          <w:p>
            <w:pPr>
              <w:rPr>
                <w:szCs w:val="21"/>
              </w:rPr>
            </w:pPr>
            <w:r>
              <w:rPr>
                <w:rFonts w:hint="eastAsia" w:ascii="宋体" w:hAnsi="宋体" w:cs="宋体"/>
                <w:szCs w:val="21"/>
              </w:rPr>
              <w:t>符合竞选文件中规定的其他实质性要求。</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rPr>
            </w:pPr>
          </w:p>
        </w:tc>
        <w:tc>
          <w:tcPr>
            <w:tcW w:w="6410"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218" w:type="dxa"/>
            <w:vAlign w:val="center"/>
          </w:tcPr>
          <w:p>
            <w:pPr>
              <w:spacing w:line="360" w:lineRule="auto"/>
              <w:rPr>
                <w:rFonts w:ascii="宋体" w:hAnsi="宋体"/>
                <w:b/>
                <w:szCs w:val="21"/>
              </w:rPr>
            </w:pPr>
          </w:p>
        </w:tc>
      </w:tr>
    </w:tbl>
    <w:p>
      <w:pPr>
        <w:spacing w:before="120" w:beforeLines="50" w:after="120" w:afterLines="50" w:line="400" w:lineRule="exact"/>
        <w:ind w:firstLine="480" w:firstLineChars="200"/>
        <w:rPr>
          <w:rFonts w:ascii="宋体" w:hAnsi="宋体"/>
          <w:sz w:val="24"/>
        </w:rPr>
      </w:pPr>
      <w:r>
        <w:rPr>
          <w:rFonts w:hint="eastAsia" w:ascii="宋体" w:hAnsi="宋体"/>
          <w:sz w:val="24"/>
        </w:rPr>
        <w:t>注：</w:t>
      </w:r>
    </w:p>
    <w:p>
      <w:pPr>
        <w:numPr>
          <w:ilvl w:val="0"/>
          <w:numId w:val="35"/>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35"/>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35"/>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35"/>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 xml:space="preserve">    年   月   日</w:t>
      </w:r>
    </w:p>
    <w:p>
      <w:pPr>
        <w:spacing w:line="360" w:lineRule="auto"/>
        <w:rPr>
          <w:rFonts w:ascii="宋体" w:hAnsi="宋体" w:cs="宋体"/>
          <w:color w:val="000000"/>
          <w:szCs w:val="21"/>
        </w:rPr>
      </w:pPr>
    </w:p>
    <w:p>
      <w:pPr>
        <w:jc w:val="center"/>
        <w:rPr>
          <w:rFonts w:hint="eastAsia" w:ascii="宋体" w:hAnsi="宋体" w:eastAsia="宋体"/>
          <w:b/>
          <w:color w:val="000000"/>
          <w:sz w:val="44"/>
          <w:szCs w:val="44"/>
        </w:rPr>
      </w:pPr>
      <w:r>
        <w:rPr>
          <w:rFonts w:hint="eastAsia" w:ascii="宋体" w:hAnsi="宋体" w:cs="宋体"/>
          <w:color w:val="000000"/>
          <w:szCs w:val="21"/>
          <w:lang w:val="en-US" w:eastAsia="zh-CN"/>
        </w:rPr>
        <w:t>附件7</w:t>
      </w:r>
      <w:r>
        <w:rPr>
          <w:rFonts w:hint="eastAsia" w:ascii="宋体" w:hAnsi="宋体"/>
          <w:b/>
          <w:color w:val="000000"/>
          <w:sz w:val="44"/>
          <w:szCs w:val="44"/>
          <w:lang w:val="en-US" w:eastAsia="zh-CN"/>
        </w:rPr>
        <w:t>过江隧道北岸竖井周边降水</w:t>
      </w:r>
      <w:r>
        <w:rPr>
          <w:rFonts w:hint="eastAsia" w:ascii="宋体" w:hAnsi="宋体" w:eastAsia="宋体"/>
          <w:b/>
          <w:color w:val="000000"/>
          <w:sz w:val="44"/>
          <w:szCs w:val="44"/>
        </w:rPr>
        <w:t>工程技术方案</w:t>
      </w:r>
    </w:p>
    <w:p>
      <w:pPr>
        <w:jc w:val="center"/>
        <w:rPr>
          <w:rFonts w:hint="eastAsia" w:ascii="宋体" w:hAnsi="宋体" w:eastAsia="宋体"/>
          <w:b/>
          <w:color w:val="000000"/>
          <w:sz w:val="44"/>
          <w:szCs w:val="44"/>
          <w:lang w:val="en-US" w:eastAsia="zh-CN"/>
        </w:rPr>
      </w:pPr>
    </w:p>
    <w:p>
      <w:pPr>
        <w:numPr>
          <w:ilvl w:val="0"/>
          <w:numId w:val="36"/>
        </w:numPr>
        <w:rPr>
          <w:rFonts w:hint="eastAsia" w:ascii="仿宋" w:hAnsi="仿宋" w:eastAsia="仿宋"/>
          <w:b/>
          <w:color w:val="000000"/>
          <w:sz w:val="30"/>
          <w:szCs w:val="30"/>
          <w:lang w:val="en-US" w:eastAsia="zh-CN"/>
        </w:rPr>
      </w:pPr>
      <w:r>
        <w:rPr>
          <w:rFonts w:hint="eastAsia" w:ascii="仿宋" w:hAnsi="仿宋" w:eastAsia="仿宋"/>
          <w:b/>
          <w:color w:val="000000"/>
          <w:sz w:val="30"/>
          <w:szCs w:val="30"/>
          <w:lang w:val="en-US" w:eastAsia="zh-CN"/>
        </w:rPr>
        <w:t>项目基本情况</w:t>
      </w:r>
    </w:p>
    <w:p>
      <w:pPr>
        <w:numPr>
          <w:ilvl w:val="0"/>
          <w:numId w:val="0"/>
        </w:numPr>
        <w:ind w:firstLine="600" w:firstLineChars="200"/>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一）周边环境。项目过江隧道北岸通风亭周边为林地，雨水入土后由地表往南排，所以通风亭地下水非常丰富，低于室外地面约1.2m。室外地面深度1m-3m埋设110KV高压线、高质水、杂用水、供热及回水管、井底抽排水等管道及阀门及相应的排水井。室外无可畅通的机动车道路，部分道路仅1m宽供人行水泥砂浆路面，通风亭距已有道路距离现场实测，约200m。临电接驳口位于低于室外32m的竖井底。</w:t>
      </w:r>
    </w:p>
    <w:p>
      <w:pPr>
        <w:numPr>
          <w:ilvl w:val="0"/>
          <w:numId w:val="0"/>
        </w:numPr>
        <w:jc w:val="center"/>
        <w:rPr>
          <w:color w:val="000000"/>
        </w:rPr>
      </w:pPr>
      <w:r>
        <w:drawing>
          <wp:inline distT="0" distB="0" distL="114300" distR="114300">
            <wp:extent cx="5269865" cy="4335780"/>
            <wp:effectExtent l="0" t="0" r="6985" b="7620"/>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pic:cNvPicPr>
                      <a:picLocks noChangeAspect="1"/>
                    </pic:cNvPicPr>
                  </pic:nvPicPr>
                  <pic:blipFill>
                    <a:blip r:embed="rId16"/>
                    <a:stretch>
                      <a:fillRect/>
                    </a:stretch>
                  </pic:blipFill>
                  <pic:spPr>
                    <a:xfrm>
                      <a:off x="0" y="0"/>
                      <a:ext cx="5269865" cy="4335780"/>
                    </a:xfrm>
                    <a:prstGeom prst="rect">
                      <a:avLst/>
                    </a:prstGeom>
                    <a:noFill/>
                    <a:ln>
                      <a:noFill/>
                    </a:ln>
                  </pic:spPr>
                </pic:pic>
              </a:graphicData>
            </a:graphic>
          </wp:inline>
        </w:drawing>
      </w:r>
    </w:p>
    <w:p>
      <w:pPr>
        <w:numPr>
          <w:ilvl w:val="0"/>
          <w:numId w:val="0"/>
        </w:numPr>
        <w:jc w:val="center"/>
        <w:rPr>
          <w:rFonts w:hint="eastAsia" w:eastAsia="宋体"/>
          <w:color w:val="000000"/>
          <w:lang w:val="en-US" w:eastAsia="zh-CN"/>
        </w:rPr>
      </w:pPr>
      <w:r>
        <w:rPr>
          <w:rFonts w:hint="eastAsia"/>
          <w:color w:val="000000"/>
          <w:lang w:val="en-US" w:eastAsia="zh-CN"/>
        </w:rPr>
        <w:t>地理位置</w:t>
      </w:r>
    </w:p>
    <w:p>
      <w:pPr>
        <w:numPr>
          <w:ilvl w:val="0"/>
          <w:numId w:val="0"/>
        </w:numPr>
        <w:jc w:val="center"/>
        <w:rPr>
          <w:rFonts w:hint="eastAsia"/>
          <w:color w:val="000000"/>
          <w:lang w:val="en-US" w:eastAsia="zh-CN"/>
        </w:rPr>
      </w:pPr>
      <w:r>
        <w:rPr>
          <w:rFonts w:hint="eastAsia"/>
          <w:color w:val="000000"/>
          <w:lang w:val="en-US" w:eastAsia="zh-CN"/>
        </w:rPr>
        <w:drawing>
          <wp:inline distT="0" distB="0" distL="114300" distR="114300">
            <wp:extent cx="1924685" cy="1445260"/>
            <wp:effectExtent l="0" t="0" r="2540" b="18415"/>
            <wp:docPr id="69" name="图片 24" descr="C:/Users/zhoux/AppData/Local/Temp/picturecompress_202106151501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descr="C:/Users/zhoux/AppData/Local/Temp/picturecompress_20210615150124/output_1.jpgoutput_1"/>
                    <pic:cNvPicPr>
                      <a:picLocks noChangeAspect="1"/>
                    </pic:cNvPicPr>
                  </pic:nvPicPr>
                  <pic:blipFill>
                    <a:blip r:embed="rId17"/>
                    <a:stretch>
                      <a:fillRect/>
                    </a:stretch>
                  </pic:blipFill>
                  <pic:spPr>
                    <a:xfrm rot="5400000">
                      <a:off x="0" y="0"/>
                      <a:ext cx="1924685" cy="1445260"/>
                    </a:xfrm>
                    <a:prstGeom prst="rect">
                      <a:avLst/>
                    </a:prstGeom>
                    <a:noFill/>
                    <a:ln>
                      <a:noFill/>
                    </a:ln>
                  </pic:spPr>
                </pic:pic>
              </a:graphicData>
            </a:graphic>
          </wp:inline>
        </w:drawing>
      </w:r>
      <w:r>
        <w:rPr>
          <w:rFonts w:hint="eastAsia"/>
          <w:color w:val="000000"/>
          <w:lang w:val="en-US" w:eastAsia="zh-CN"/>
        </w:rPr>
        <w:drawing>
          <wp:inline distT="0" distB="0" distL="114300" distR="114300">
            <wp:extent cx="1927860" cy="1448435"/>
            <wp:effectExtent l="0" t="0" r="18415" b="15240"/>
            <wp:docPr id="66" name="图片 25" descr="C:/Users/zhoux/AppData/Local/Temp/picturecompress_202106151502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descr="C:/Users/zhoux/AppData/Local/Temp/picturecompress_20210615150257/output_1.jpgoutput_1"/>
                    <pic:cNvPicPr>
                      <a:picLocks noChangeAspect="1"/>
                    </pic:cNvPicPr>
                  </pic:nvPicPr>
                  <pic:blipFill>
                    <a:blip r:embed="rId18"/>
                    <a:stretch>
                      <a:fillRect/>
                    </a:stretch>
                  </pic:blipFill>
                  <pic:spPr>
                    <a:xfrm rot="5400000">
                      <a:off x="0" y="0"/>
                      <a:ext cx="1927860" cy="1448435"/>
                    </a:xfrm>
                    <a:prstGeom prst="rect">
                      <a:avLst/>
                    </a:prstGeom>
                    <a:noFill/>
                    <a:ln>
                      <a:noFill/>
                    </a:ln>
                  </pic:spPr>
                </pic:pic>
              </a:graphicData>
            </a:graphic>
          </wp:inline>
        </w:drawing>
      </w:r>
      <w:r>
        <w:rPr>
          <w:rFonts w:hint="eastAsia"/>
          <w:color w:val="000000"/>
          <w:lang w:val="en-US" w:eastAsia="zh-CN"/>
        </w:rPr>
        <w:drawing>
          <wp:inline distT="0" distB="0" distL="114300" distR="114300">
            <wp:extent cx="1926590" cy="1447165"/>
            <wp:effectExtent l="0" t="0" r="635" b="16510"/>
            <wp:docPr id="70" name="图片 26" descr="C:/Users/zhoux/AppData/Local/Temp/picturecompress_202106151503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descr="C:/Users/zhoux/AppData/Local/Temp/picturecompress_20210615150312/output_1.jpgoutput_1"/>
                    <pic:cNvPicPr>
                      <a:picLocks noChangeAspect="1"/>
                    </pic:cNvPicPr>
                  </pic:nvPicPr>
                  <pic:blipFill>
                    <a:blip r:embed="rId19"/>
                    <a:stretch>
                      <a:fillRect/>
                    </a:stretch>
                  </pic:blipFill>
                  <pic:spPr>
                    <a:xfrm rot="5400000">
                      <a:off x="0" y="0"/>
                      <a:ext cx="1926590" cy="1447165"/>
                    </a:xfrm>
                    <a:prstGeom prst="rect">
                      <a:avLst/>
                    </a:prstGeom>
                    <a:noFill/>
                    <a:ln>
                      <a:noFill/>
                    </a:ln>
                  </pic:spPr>
                </pic:pic>
              </a:graphicData>
            </a:graphic>
          </wp:inline>
        </w:drawing>
      </w:r>
      <w:r>
        <w:rPr>
          <w:rFonts w:hint="eastAsia"/>
          <w:color w:val="000000"/>
          <w:lang w:val="en-US" w:eastAsia="zh-CN"/>
        </w:rPr>
        <w:drawing>
          <wp:inline distT="0" distB="0" distL="114300" distR="114300">
            <wp:extent cx="2016125" cy="1514475"/>
            <wp:effectExtent l="0" t="0" r="9525" b="3175"/>
            <wp:docPr id="67" name="图片 27" descr="C:/Users/zhoux/AppData/Local/Temp/picturecompress_202106151501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 descr="C:/Users/zhoux/AppData/Local/Temp/picturecompress_20210615150148/output_1.jpgoutput_1"/>
                    <pic:cNvPicPr>
                      <a:picLocks noChangeAspect="1"/>
                    </pic:cNvPicPr>
                  </pic:nvPicPr>
                  <pic:blipFill>
                    <a:blip r:embed="rId20"/>
                    <a:stretch>
                      <a:fillRect/>
                    </a:stretch>
                  </pic:blipFill>
                  <pic:spPr>
                    <a:xfrm rot="5400000">
                      <a:off x="0" y="0"/>
                      <a:ext cx="2016125" cy="1514475"/>
                    </a:xfrm>
                    <a:prstGeom prst="rect">
                      <a:avLst/>
                    </a:prstGeom>
                    <a:noFill/>
                    <a:ln>
                      <a:noFill/>
                    </a:ln>
                  </pic:spPr>
                </pic:pic>
              </a:graphicData>
            </a:graphic>
          </wp:inline>
        </w:drawing>
      </w:r>
      <w:r>
        <w:rPr>
          <w:rFonts w:hint="eastAsia"/>
          <w:color w:val="000000"/>
          <w:lang w:val="en-US" w:eastAsia="zh-CN"/>
        </w:rPr>
        <w:drawing>
          <wp:inline distT="0" distB="0" distL="114300" distR="114300">
            <wp:extent cx="2033905" cy="1527810"/>
            <wp:effectExtent l="0" t="0" r="15240" b="4445"/>
            <wp:docPr id="68" name="图片 28" descr="C:/Users/zhoux/AppData/Local/Temp/picturecompress_202106151503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descr="C:/Users/zhoux/AppData/Local/Temp/picturecompress_20210615150324/output_1.jpgoutput_1"/>
                    <pic:cNvPicPr>
                      <a:picLocks noChangeAspect="1"/>
                    </pic:cNvPicPr>
                  </pic:nvPicPr>
                  <pic:blipFill>
                    <a:blip r:embed="rId21"/>
                    <a:stretch>
                      <a:fillRect/>
                    </a:stretch>
                  </pic:blipFill>
                  <pic:spPr>
                    <a:xfrm rot="5400000">
                      <a:off x="0" y="0"/>
                      <a:ext cx="2033905" cy="1527810"/>
                    </a:xfrm>
                    <a:prstGeom prst="rect">
                      <a:avLst/>
                    </a:prstGeom>
                    <a:noFill/>
                    <a:ln>
                      <a:noFill/>
                    </a:ln>
                  </pic:spPr>
                </pic:pic>
              </a:graphicData>
            </a:graphic>
          </wp:inline>
        </w:drawing>
      </w:r>
    </w:p>
    <w:p>
      <w:pPr>
        <w:numPr>
          <w:ilvl w:val="0"/>
          <w:numId w:val="0"/>
        </w:numPr>
        <w:jc w:val="center"/>
        <w:rPr>
          <w:rFonts w:hint="eastAsia" w:eastAsia="宋体"/>
          <w:color w:val="000000"/>
          <w:lang w:val="en-US" w:eastAsia="zh-CN"/>
        </w:rPr>
      </w:pPr>
      <w:r>
        <w:rPr>
          <w:rFonts w:hint="eastAsia"/>
          <w:color w:val="000000"/>
          <w:lang w:val="en-US" w:eastAsia="zh-CN"/>
        </w:rPr>
        <w:t>竖井地面四周照片</w:t>
      </w:r>
    </w:p>
    <w:p>
      <w:pPr>
        <w:numPr>
          <w:ilvl w:val="0"/>
          <w:numId w:val="0"/>
        </w:numPr>
        <w:ind w:firstLine="600" w:firstLineChars="200"/>
        <w:jc w:val="left"/>
        <w:rPr>
          <w:rFonts w:hint="eastAsia" w:ascii="仿宋" w:hAnsi="仿宋" w:eastAsia="仿宋"/>
          <w:color w:val="000000"/>
          <w:sz w:val="32"/>
          <w:szCs w:val="32"/>
          <w:lang w:val="en-US" w:eastAsia="zh-CN"/>
        </w:rPr>
      </w:pPr>
      <w:r>
        <w:rPr>
          <w:rFonts w:hint="eastAsia" w:ascii="仿宋" w:hAnsi="仿宋" w:eastAsia="仿宋"/>
          <w:color w:val="000000"/>
          <w:sz w:val="30"/>
          <w:szCs w:val="30"/>
          <w:lang w:val="en-US" w:eastAsia="zh-CN"/>
        </w:rPr>
        <w:t>二）</w:t>
      </w:r>
      <w:r>
        <w:rPr>
          <w:rFonts w:hint="eastAsia" w:ascii="仿宋" w:hAnsi="仿宋" w:eastAsia="仿宋"/>
          <w:color w:val="000000"/>
          <w:sz w:val="32"/>
          <w:szCs w:val="32"/>
          <w:lang w:val="en-US" w:eastAsia="zh-CN"/>
        </w:rPr>
        <w:t>过江隧道实施前周边地质情况</w:t>
      </w:r>
    </w:p>
    <w:p>
      <w:pPr>
        <w:numPr>
          <w:ilvl w:val="0"/>
          <w:numId w:val="0"/>
        </w:numPr>
        <w:ind w:firstLine="640" w:firstLineChars="200"/>
        <w:jc w:val="left"/>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1) 全新统人工填士层(Q4ml)。</w:t>
      </w:r>
    </w:p>
    <w:p>
      <w:pPr>
        <w:numPr>
          <w:ilvl w:val="0"/>
          <w:numId w:val="0"/>
        </w:numPr>
        <w:ind w:firstLine="640" w:firstLineChars="200"/>
        <w:jc w:val="left"/>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02耕土:呈灰黄色、褐黄色，可塑，主要亚粘土组成，含少量植物根系。此层均出露于地表，层厚0. 80~2.4m，平均1. 73m。</w:t>
      </w:r>
    </w:p>
    <w:p>
      <w:pPr>
        <w:numPr>
          <w:ilvl w:val="0"/>
          <w:numId w:val="0"/>
        </w:numPr>
        <w:ind w:firstLine="640" w:firstLineChars="200"/>
        <w:jc w:val="left"/>
        <w:rPr>
          <w:rFonts w:hint="eastAsia" w:ascii="仿宋" w:hAnsi="仿宋" w:eastAsia="仿宋"/>
          <w:color w:val="000000"/>
          <w:sz w:val="30"/>
          <w:szCs w:val="30"/>
          <w:lang w:val="en-US" w:eastAsia="zh-CN"/>
        </w:rPr>
      </w:pPr>
      <w:r>
        <w:rPr>
          <w:rFonts w:hint="eastAsia" w:ascii="仿宋" w:hAnsi="仿宋" w:eastAsia="仿宋"/>
          <w:color w:val="000000"/>
          <w:sz w:val="32"/>
          <w:szCs w:val="32"/>
          <w:lang w:val="en-US" w:eastAsia="zh-CN"/>
        </w:rPr>
        <w:t>2)全新统海陆交互相沉积层(Q4mc)。总层厚约5.5~8.7m。根据其岩性可划分为:③1淤泥:呈层状连续分布。呈灰色、深灰色，饱和，流塑，含腐植物，普遍夹薄层线状粉细砂，偶见贝壳碎片。层顶埋深0.8~2. 40m，层厚1.5~2. 7m，平均2.2m。标贯击数N=1.0~</w:t>
      </w:r>
      <w:r>
        <w:rPr>
          <w:rFonts w:hint="eastAsia" w:ascii="仿宋" w:hAnsi="仿宋" w:eastAsia="仿宋"/>
          <w:color w:val="000000"/>
          <w:sz w:val="30"/>
          <w:szCs w:val="30"/>
          <w:lang w:val="en-US" w:eastAsia="zh-CN"/>
        </w:rPr>
        <w:t>2.0击，平均1.2击。</w:t>
      </w:r>
    </w:p>
    <w:p>
      <w:pPr>
        <w:numPr>
          <w:ilvl w:val="0"/>
          <w:numId w:val="0"/>
        </w:numPr>
        <w:ind w:firstLine="600" w:firstLineChars="200"/>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③2淤泥质细砂、细砂:呈层状连续分布。呈灰色，饱和，松散，含少量淤泥质，局部可见贝壳碎片,局部相变为淤泥质中砂、粗砂。层顶埋深3. 5~4.80m,层厚4~6m，平均5m。标贯击数N=2. 0~5.0击，平均2.5击。</w:t>
      </w:r>
    </w:p>
    <w:p>
      <w:pPr>
        <w:numPr>
          <w:ilvl w:val="0"/>
          <w:numId w:val="0"/>
        </w:numPr>
        <w:ind w:firstLine="600" w:firstLineChars="200"/>
        <w:jc w:val="left"/>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三）与本项目相关的过江隧道实施内容</w:t>
      </w:r>
    </w:p>
    <w:p>
      <w:pPr>
        <w:numPr>
          <w:ilvl w:val="0"/>
          <w:numId w:val="0"/>
        </w:numPr>
        <w:ind w:leftChars="200"/>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地基加固平面图见附件1</w:t>
      </w:r>
    </w:p>
    <w:p>
      <w:pPr>
        <w:numPr>
          <w:ilvl w:val="0"/>
          <w:numId w:val="0"/>
        </w:numPr>
        <w:ind w:leftChars="200"/>
        <w:jc w:val="left"/>
        <w:rPr>
          <w:rFonts w:hint="eastAsia" w:ascii="仿宋" w:hAnsi="仿宋" w:eastAsia="仿宋"/>
          <w:color w:val="000000"/>
          <w:sz w:val="30"/>
          <w:szCs w:val="30"/>
          <w:lang w:val="en-US" w:eastAsia="zh-CN"/>
        </w:rPr>
      </w:pPr>
      <w:r>
        <w:drawing>
          <wp:inline distT="0" distB="0" distL="114300" distR="114300">
            <wp:extent cx="4539615" cy="1911985"/>
            <wp:effectExtent l="0" t="0" r="13335" b="12065"/>
            <wp:docPr id="7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
                    <pic:cNvPicPr>
                      <a:picLocks noChangeAspect="1"/>
                    </pic:cNvPicPr>
                  </pic:nvPicPr>
                  <pic:blipFill>
                    <a:blip r:embed="rId22"/>
                    <a:stretch>
                      <a:fillRect/>
                    </a:stretch>
                  </pic:blipFill>
                  <pic:spPr>
                    <a:xfrm>
                      <a:off x="0" y="0"/>
                      <a:ext cx="4539615" cy="1911985"/>
                    </a:xfrm>
                    <a:prstGeom prst="rect">
                      <a:avLst/>
                    </a:prstGeom>
                    <a:noFill/>
                    <a:ln>
                      <a:noFill/>
                    </a:ln>
                  </pic:spPr>
                </pic:pic>
              </a:graphicData>
            </a:graphic>
          </wp:inline>
        </w:drawing>
      </w:r>
    </w:p>
    <w:p>
      <w:pPr>
        <w:numPr>
          <w:ilvl w:val="0"/>
          <w:numId w:val="0"/>
        </w:numPr>
        <w:ind w:leftChars="200"/>
        <w:jc w:val="center"/>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原导墙施工示意图</w:t>
      </w:r>
    </w:p>
    <w:p>
      <w:pPr>
        <w:numPr>
          <w:ilvl w:val="0"/>
          <w:numId w:val="0"/>
        </w:numPr>
        <w:ind w:leftChars="200"/>
        <w:jc w:val="center"/>
      </w:pPr>
      <w:r>
        <w:drawing>
          <wp:inline distT="0" distB="0" distL="114300" distR="114300">
            <wp:extent cx="4660265" cy="3399155"/>
            <wp:effectExtent l="0" t="0" r="6985" b="10795"/>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23"/>
                    <a:stretch>
                      <a:fillRect/>
                    </a:stretch>
                  </pic:blipFill>
                  <pic:spPr>
                    <a:xfrm>
                      <a:off x="0" y="0"/>
                      <a:ext cx="4660265" cy="3399155"/>
                    </a:xfrm>
                    <a:prstGeom prst="rect">
                      <a:avLst/>
                    </a:prstGeom>
                    <a:noFill/>
                    <a:ln>
                      <a:noFill/>
                    </a:ln>
                  </pic:spPr>
                </pic:pic>
              </a:graphicData>
            </a:graphic>
          </wp:inline>
        </w:drawing>
      </w:r>
    </w:p>
    <w:p>
      <w:pPr>
        <w:numPr>
          <w:ilvl w:val="0"/>
          <w:numId w:val="0"/>
        </w:numPr>
        <w:ind w:leftChars="200"/>
        <w:jc w:val="center"/>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导墙配筋图</w:t>
      </w:r>
    </w:p>
    <w:p>
      <w:pPr>
        <w:numPr>
          <w:ilvl w:val="0"/>
          <w:numId w:val="0"/>
        </w:numPr>
        <w:jc w:val="center"/>
        <w:rPr>
          <w:rFonts w:hint="eastAsia" w:ascii="仿宋" w:hAnsi="仿宋" w:eastAsia="仿宋"/>
          <w:color w:val="000000"/>
          <w:sz w:val="30"/>
          <w:szCs w:val="30"/>
          <w:lang w:val="en-US" w:eastAsia="zh-CN"/>
        </w:rPr>
      </w:pPr>
      <w:r>
        <w:rPr>
          <w:rFonts w:hint="eastAsia" w:ascii="仿宋" w:hAnsi="仿宋" w:eastAsia="仿宋"/>
          <w:color w:val="FF0000"/>
          <w:sz w:val="30"/>
          <w:szCs w:val="30"/>
          <w:lang w:val="en-US" w:eastAsia="zh-CN"/>
        </w:rPr>
        <w:t>竖井周边现状图详见附件2</w:t>
      </w:r>
    </w:p>
    <w:p>
      <w:pPr>
        <w:numPr>
          <w:ilvl w:val="0"/>
          <w:numId w:val="0"/>
        </w:numPr>
        <w:ind w:leftChars="200"/>
        <w:jc w:val="center"/>
        <w:rPr>
          <w:rFonts w:hint="default" w:ascii="仿宋" w:hAnsi="仿宋" w:eastAsia="仿宋"/>
          <w:color w:val="000000"/>
          <w:sz w:val="30"/>
          <w:szCs w:val="30"/>
          <w:lang w:val="en-US" w:eastAsia="zh-CN"/>
        </w:rPr>
      </w:pPr>
      <w:r>
        <w:drawing>
          <wp:inline distT="0" distB="0" distL="114300" distR="114300">
            <wp:extent cx="4612005" cy="3036570"/>
            <wp:effectExtent l="0" t="0" r="17145" b="11430"/>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24"/>
                    <a:stretch>
                      <a:fillRect/>
                    </a:stretch>
                  </pic:blipFill>
                  <pic:spPr>
                    <a:xfrm>
                      <a:off x="0" y="0"/>
                      <a:ext cx="4612005" cy="3036570"/>
                    </a:xfrm>
                    <a:prstGeom prst="rect">
                      <a:avLst/>
                    </a:prstGeom>
                    <a:noFill/>
                    <a:ln>
                      <a:noFill/>
                    </a:ln>
                  </pic:spPr>
                </pic:pic>
              </a:graphicData>
            </a:graphic>
          </wp:inline>
        </w:drawing>
      </w:r>
    </w:p>
    <w:p>
      <w:pPr>
        <w:numPr>
          <w:ilvl w:val="0"/>
          <w:numId w:val="0"/>
        </w:numPr>
        <w:ind w:leftChars="200"/>
        <w:jc w:val="center"/>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竖井剖面图</w:t>
      </w:r>
    </w:p>
    <w:p>
      <w:pPr>
        <w:numPr>
          <w:ilvl w:val="0"/>
          <w:numId w:val="0"/>
        </w:numPr>
        <w:ind w:left="0" w:leftChars="0" w:firstLine="630" w:firstLineChars="210"/>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四）渗水情况。过江隧道北岸竖井及通风亭渗水情况简要如下：1、竖井南侧墙壁与顶板交接阴角处渗水(渗水面标高低于室外地平面约1.6m，高于竖井底部28m，旁边离低于室外地面3m范围内110KV高压线管，但不含110KV穿墙管道补漏工作)，通风亭所有外墙与室内地面交接阴角处长期渗水(渗水面标高低于室外地面1.8m)。</w:t>
      </w:r>
    </w:p>
    <w:p>
      <w:pPr>
        <w:widowControl w:val="0"/>
        <w:numPr>
          <w:ilvl w:val="0"/>
          <w:numId w:val="0"/>
        </w:numPr>
        <w:jc w:val="center"/>
        <w:rPr>
          <w:color w:val="000000"/>
        </w:rPr>
      </w:pPr>
      <w:r>
        <w:rPr>
          <w:color w:val="000000"/>
        </w:rPr>
        <w:drawing>
          <wp:inline distT="0" distB="0" distL="114300" distR="114300">
            <wp:extent cx="2364105" cy="1610360"/>
            <wp:effectExtent l="0" t="0" r="17145" b="8890"/>
            <wp:docPr id="7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2"/>
                    <pic:cNvPicPr>
                      <a:picLocks noChangeAspect="1"/>
                    </pic:cNvPicPr>
                  </pic:nvPicPr>
                  <pic:blipFill>
                    <a:blip r:embed="rId25"/>
                    <a:stretch>
                      <a:fillRect/>
                    </a:stretch>
                  </pic:blipFill>
                  <pic:spPr>
                    <a:xfrm>
                      <a:off x="0" y="0"/>
                      <a:ext cx="2364105" cy="1610360"/>
                    </a:xfrm>
                    <a:prstGeom prst="rect">
                      <a:avLst/>
                    </a:prstGeom>
                    <a:noFill/>
                    <a:ln>
                      <a:noFill/>
                    </a:ln>
                  </pic:spPr>
                </pic:pic>
              </a:graphicData>
            </a:graphic>
          </wp:inline>
        </w:drawing>
      </w:r>
    </w:p>
    <w:p>
      <w:pPr>
        <w:widowControl w:val="0"/>
        <w:numPr>
          <w:ilvl w:val="0"/>
          <w:numId w:val="0"/>
        </w:numPr>
        <w:jc w:val="center"/>
        <w:rPr>
          <w:rFonts w:hint="eastAsia" w:ascii="仿宋" w:hAnsi="仿宋" w:eastAsia="仿宋"/>
          <w:color w:val="000000"/>
          <w:sz w:val="30"/>
          <w:szCs w:val="30"/>
          <w:lang w:val="en-US" w:eastAsia="zh-CN"/>
        </w:rPr>
      </w:pPr>
      <w:r>
        <w:rPr>
          <w:color w:val="000000"/>
        </w:rPr>
        <w:drawing>
          <wp:inline distT="0" distB="0" distL="114300" distR="114300">
            <wp:extent cx="1268095" cy="1480820"/>
            <wp:effectExtent l="0" t="0" r="8255" b="5080"/>
            <wp:docPr id="7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
                    <pic:cNvPicPr>
                      <a:picLocks noChangeAspect="1"/>
                    </pic:cNvPicPr>
                  </pic:nvPicPr>
                  <pic:blipFill>
                    <a:blip r:embed="rId26"/>
                    <a:stretch>
                      <a:fillRect/>
                    </a:stretch>
                  </pic:blipFill>
                  <pic:spPr>
                    <a:xfrm>
                      <a:off x="0" y="0"/>
                      <a:ext cx="1268095" cy="1480820"/>
                    </a:xfrm>
                    <a:prstGeom prst="rect">
                      <a:avLst/>
                    </a:prstGeom>
                    <a:noFill/>
                    <a:ln>
                      <a:noFill/>
                    </a:ln>
                  </pic:spPr>
                </pic:pic>
              </a:graphicData>
            </a:graphic>
          </wp:inline>
        </w:drawing>
      </w:r>
      <w:r>
        <w:rPr>
          <w:color w:val="000000"/>
        </w:rPr>
        <w:drawing>
          <wp:inline distT="0" distB="0" distL="114300" distR="114300">
            <wp:extent cx="1822450" cy="1514475"/>
            <wp:effectExtent l="0" t="0" r="6350" b="9525"/>
            <wp:docPr id="7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4"/>
                    <pic:cNvPicPr>
                      <a:picLocks noChangeAspect="1"/>
                    </pic:cNvPicPr>
                  </pic:nvPicPr>
                  <pic:blipFill>
                    <a:blip r:embed="rId27"/>
                    <a:stretch>
                      <a:fillRect/>
                    </a:stretch>
                  </pic:blipFill>
                  <pic:spPr>
                    <a:xfrm>
                      <a:off x="0" y="0"/>
                      <a:ext cx="1822450" cy="1514475"/>
                    </a:xfrm>
                    <a:prstGeom prst="rect">
                      <a:avLst/>
                    </a:prstGeom>
                    <a:noFill/>
                    <a:ln>
                      <a:noFill/>
                    </a:ln>
                  </pic:spPr>
                </pic:pic>
              </a:graphicData>
            </a:graphic>
          </wp:inline>
        </w:drawing>
      </w:r>
      <w:r>
        <w:rPr>
          <w:color w:val="000000"/>
        </w:rPr>
        <w:drawing>
          <wp:inline distT="0" distB="0" distL="114300" distR="114300">
            <wp:extent cx="1456690" cy="1492250"/>
            <wp:effectExtent l="0" t="0" r="10160" b="12700"/>
            <wp:docPr id="7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5"/>
                    <pic:cNvPicPr>
                      <a:picLocks noChangeAspect="1"/>
                    </pic:cNvPicPr>
                  </pic:nvPicPr>
                  <pic:blipFill>
                    <a:blip r:embed="rId28"/>
                    <a:stretch>
                      <a:fillRect/>
                    </a:stretch>
                  </pic:blipFill>
                  <pic:spPr>
                    <a:xfrm>
                      <a:off x="0" y="0"/>
                      <a:ext cx="1456690" cy="1492250"/>
                    </a:xfrm>
                    <a:prstGeom prst="rect">
                      <a:avLst/>
                    </a:prstGeom>
                    <a:noFill/>
                    <a:ln>
                      <a:noFill/>
                    </a:ln>
                  </pic:spPr>
                </pic:pic>
              </a:graphicData>
            </a:graphic>
          </wp:inline>
        </w:drawing>
      </w:r>
      <w:r>
        <w:rPr>
          <w:rFonts w:hint="eastAsia" w:ascii="仿宋" w:hAnsi="仿宋" w:eastAsia="仿宋"/>
          <w:color w:val="000000"/>
          <w:sz w:val="30"/>
          <w:szCs w:val="30"/>
          <w:lang w:val="en-US" w:eastAsia="zh-CN"/>
        </w:rPr>
        <w:drawing>
          <wp:inline distT="0" distB="0" distL="114300" distR="114300">
            <wp:extent cx="2665095" cy="1998980"/>
            <wp:effectExtent l="0" t="0" r="1905" b="1270"/>
            <wp:docPr id="58" name="图片 3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6" descr="04"/>
                    <pic:cNvPicPr>
                      <a:picLocks noChangeAspect="1"/>
                    </pic:cNvPicPr>
                  </pic:nvPicPr>
                  <pic:blipFill>
                    <a:blip r:embed="rId29"/>
                    <a:stretch>
                      <a:fillRect/>
                    </a:stretch>
                  </pic:blipFill>
                  <pic:spPr>
                    <a:xfrm>
                      <a:off x="0" y="0"/>
                      <a:ext cx="2665095" cy="1998980"/>
                    </a:xfrm>
                    <a:prstGeom prst="rect">
                      <a:avLst/>
                    </a:prstGeom>
                    <a:noFill/>
                    <a:ln>
                      <a:noFill/>
                    </a:ln>
                  </pic:spPr>
                </pic:pic>
              </a:graphicData>
            </a:graphic>
          </wp:inline>
        </w:drawing>
      </w:r>
    </w:p>
    <w:p>
      <w:pPr>
        <w:numPr>
          <w:ilvl w:val="0"/>
          <w:numId w:val="0"/>
        </w:numPr>
        <w:ind w:leftChars="200"/>
        <w:jc w:val="center"/>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渗水照片</w:t>
      </w:r>
    </w:p>
    <w:p>
      <w:pPr>
        <w:widowControl w:val="0"/>
        <w:numPr>
          <w:ilvl w:val="0"/>
          <w:numId w:val="0"/>
        </w:numPr>
        <w:jc w:val="center"/>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drawing>
          <wp:inline distT="0" distB="0" distL="114300" distR="114300">
            <wp:extent cx="2533650" cy="1900555"/>
            <wp:effectExtent l="0" t="0" r="0" b="4445"/>
            <wp:docPr id="64" name="图片 37" descr="792e55e1da376acfd19d9ccca1b2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7" descr="792e55e1da376acfd19d9ccca1b22d2"/>
                    <pic:cNvPicPr>
                      <a:picLocks noChangeAspect="1"/>
                    </pic:cNvPicPr>
                  </pic:nvPicPr>
                  <pic:blipFill>
                    <a:blip r:embed="rId30"/>
                    <a:stretch>
                      <a:fillRect/>
                    </a:stretch>
                  </pic:blipFill>
                  <pic:spPr>
                    <a:xfrm>
                      <a:off x="0" y="0"/>
                      <a:ext cx="2533650" cy="1900555"/>
                    </a:xfrm>
                    <a:prstGeom prst="rect">
                      <a:avLst/>
                    </a:prstGeom>
                    <a:noFill/>
                    <a:ln>
                      <a:noFill/>
                    </a:ln>
                  </pic:spPr>
                </pic:pic>
              </a:graphicData>
            </a:graphic>
          </wp:inline>
        </w:drawing>
      </w:r>
      <w:r>
        <w:rPr>
          <w:rFonts w:hint="eastAsia" w:ascii="仿宋" w:hAnsi="仿宋" w:eastAsia="仿宋"/>
          <w:color w:val="000000"/>
          <w:sz w:val="30"/>
          <w:szCs w:val="30"/>
          <w:lang w:val="en-US" w:eastAsia="zh-CN"/>
        </w:rPr>
        <w:t xml:space="preserve"> </w:t>
      </w:r>
      <w:r>
        <w:rPr>
          <w:rFonts w:hint="eastAsia" w:ascii="仿宋" w:hAnsi="仿宋" w:eastAsia="仿宋"/>
          <w:color w:val="000000"/>
          <w:sz w:val="30"/>
          <w:szCs w:val="30"/>
          <w:lang w:val="en-US" w:eastAsia="zh-CN"/>
        </w:rPr>
        <w:drawing>
          <wp:inline distT="0" distB="0" distL="114300" distR="114300">
            <wp:extent cx="2527935" cy="1896110"/>
            <wp:effectExtent l="0" t="0" r="5715" b="8890"/>
            <wp:docPr id="59" name="图片 38" descr="7c67754699c275bff303ced0a855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8" descr="7c67754699c275bff303ced0a8557a2"/>
                    <pic:cNvPicPr>
                      <a:picLocks noChangeAspect="1"/>
                    </pic:cNvPicPr>
                  </pic:nvPicPr>
                  <pic:blipFill>
                    <a:blip r:embed="rId31"/>
                    <a:stretch>
                      <a:fillRect/>
                    </a:stretch>
                  </pic:blipFill>
                  <pic:spPr>
                    <a:xfrm>
                      <a:off x="0" y="0"/>
                      <a:ext cx="2527935" cy="1896110"/>
                    </a:xfrm>
                    <a:prstGeom prst="rect">
                      <a:avLst/>
                    </a:prstGeom>
                    <a:noFill/>
                    <a:ln>
                      <a:noFill/>
                    </a:ln>
                  </pic:spPr>
                </pic:pic>
              </a:graphicData>
            </a:graphic>
          </wp:inline>
        </w:drawing>
      </w:r>
    </w:p>
    <w:p>
      <w:pPr>
        <w:widowControl w:val="0"/>
        <w:numPr>
          <w:ilvl w:val="0"/>
          <w:numId w:val="0"/>
        </w:numPr>
        <w:jc w:val="center"/>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高压线缆原管沟保护施工情况</w:t>
      </w:r>
    </w:p>
    <w:p>
      <w:pPr>
        <w:numPr>
          <w:ilvl w:val="0"/>
          <w:numId w:val="0"/>
        </w:numPr>
        <w:rPr>
          <w:rFonts w:hint="eastAsia" w:ascii="仿宋" w:hAnsi="仿宋" w:eastAsia="仿宋"/>
          <w:b/>
          <w:color w:val="000000"/>
          <w:sz w:val="30"/>
          <w:szCs w:val="30"/>
          <w:lang w:val="en-US" w:eastAsia="zh-CN"/>
        </w:rPr>
      </w:pPr>
      <w:r>
        <w:rPr>
          <w:rFonts w:hint="eastAsia" w:ascii="仿宋" w:hAnsi="仿宋" w:eastAsia="仿宋"/>
          <w:b/>
          <w:color w:val="000000"/>
          <w:sz w:val="30"/>
          <w:szCs w:val="30"/>
          <w:lang w:val="en-US" w:eastAsia="zh-CN"/>
        </w:rPr>
        <w:t>二、专家意见</w:t>
      </w:r>
    </w:p>
    <w:p>
      <w:pPr>
        <w:numPr>
          <w:ilvl w:val="0"/>
          <w:numId w:val="0"/>
        </w:numPr>
        <w:ind w:leftChars="0" w:firstLine="600" w:firstLineChars="200"/>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2021年3月4日专家组经勘查过江隧道南、北岸竖井及设备房现场渗漏水情况，查阅了竣工图等相关资料，经分析讨论，形成如下咨询意见:</w:t>
      </w:r>
    </w:p>
    <w:p>
      <w:pPr>
        <w:numPr>
          <w:ilvl w:val="0"/>
          <w:numId w:val="0"/>
        </w:numPr>
        <w:ind w:left="0" w:leftChars="0" w:firstLine="600" w:firstLineChars="200"/>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1、顶板以上混凝土与砖墙交界处渗漏，主要原因是该交界处低于地室外地面，如地下水高于该交界处就会产生渗漏，建议在室外外墙修建一排水沟，确保地下水位低于交界处。</w:t>
      </w:r>
    </w:p>
    <w:p>
      <w:pPr>
        <w:numPr>
          <w:ilvl w:val="0"/>
          <w:numId w:val="0"/>
        </w:numPr>
        <w:ind w:left="0" w:leftChars="0" w:firstLine="600" w:firstLineChars="200"/>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2、对电缆穿墙管处渗漏，建议在室外对应电缆修建-排水井，设水泵将排水井内水抽排，确保排水井内水位低于电缆穿墙管标高，同时将四周的排水沟与排水井连通，通过排水井将水排走。</w:t>
      </w:r>
    </w:p>
    <w:p>
      <w:pPr>
        <w:numPr>
          <w:ilvl w:val="0"/>
          <w:numId w:val="0"/>
        </w:numPr>
        <w:ind w:left="0" w:leftChars="0" w:firstLine="600" w:firstLineChars="200"/>
        <w:jc w:val="left"/>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根据专家意见，在室外外墙修建排水沟、排水井，四周的排水沟与排水井连通，通过排水井将水排走。</w:t>
      </w:r>
    </w:p>
    <w:p>
      <w:pPr>
        <w:numPr>
          <w:ilvl w:val="0"/>
          <w:numId w:val="0"/>
        </w:numPr>
        <w:rPr>
          <w:rFonts w:hint="eastAsia" w:ascii="仿宋" w:hAnsi="仿宋" w:eastAsia="仿宋"/>
          <w:b/>
          <w:bCs/>
          <w:color w:val="000000"/>
          <w:sz w:val="30"/>
          <w:szCs w:val="30"/>
        </w:rPr>
      </w:pPr>
      <w:r>
        <w:rPr>
          <w:rFonts w:hint="eastAsia" w:ascii="仿宋" w:hAnsi="仿宋" w:eastAsia="仿宋"/>
          <w:b/>
          <w:bCs/>
          <w:color w:val="000000"/>
          <w:sz w:val="30"/>
          <w:szCs w:val="30"/>
          <w:lang w:val="en-US" w:eastAsia="zh-CN"/>
        </w:rPr>
        <w:t>三、明沟降水方案</w:t>
      </w:r>
    </w:p>
    <w:p>
      <w:pPr>
        <w:numPr>
          <w:ilvl w:val="0"/>
          <w:numId w:val="0"/>
        </w:numPr>
        <w:ind w:firstLine="602" w:firstLineChars="200"/>
        <w:rPr>
          <w:rFonts w:hint="eastAsia" w:ascii="仿宋" w:hAnsi="仿宋" w:eastAsia="仿宋"/>
          <w:b/>
          <w:bCs/>
          <w:color w:val="FF0000"/>
          <w:sz w:val="30"/>
          <w:szCs w:val="30"/>
          <w:lang w:val="en-US" w:eastAsia="zh-CN"/>
        </w:rPr>
      </w:pPr>
      <w:r>
        <w:rPr>
          <w:rFonts w:hint="eastAsia" w:ascii="仿宋" w:hAnsi="仿宋" w:eastAsia="仿宋"/>
          <w:b/>
          <w:bCs/>
          <w:color w:val="FF0000"/>
          <w:sz w:val="30"/>
          <w:szCs w:val="30"/>
          <w:lang w:val="en-US" w:eastAsia="zh-CN"/>
        </w:rPr>
        <w:t>方案：明沟排水。</w:t>
      </w:r>
    </w:p>
    <w:p>
      <w:pPr>
        <w:numPr>
          <w:ilvl w:val="0"/>
          <w:numId w:val="0"/>
        </w:numPr>
        <w:ind w:firstLine="600" w:firstLineChars="200"/>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1、东西南三侧排水明沟（开挖）。排水明沟需要做挡土墙，外墙与竖井顶板交界处深1.6m，排水沟深度1.9m，开挖深度2.2m（8cm垫层+20cm混凝土）,挡土墙高度2.1m，四周长度共约60m；高压电缆深3.05m，建议集水井深度4m（放坡开挖）。</w:t>
      </w:r>
    </w:p>
    <w:p>
      <w:pPr>
        <w:numPr>
          <w:ilvl w:val="0"/>
          <w:numId w:val="0"/>
        </w:numPr>
        <w:jc w:val="center"/>
        <w:rPr>
          <w:rFonts w:hint="eastAsia"/>
          <w:color w:val="000000"/>
          <w:lang w:val="en-US" w:eastAsia="zh-CN"/>
        </w:rPr>
      </w:pPr>
      <w:r>
        <w:drawing>
          <wp:inline distT="0" distB="0" distL="114300" distR="114300">
            <wp:extent cx="1657350" cy="2072005"/>
            <wp:effectExtent l="0" t="0" r="0" b="4445"/>
            <wp:docPr id="6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9"/>
                    <pic:cNvPicPr>
                      <a:picLocks noChangeAspect="1"/>
                    </pic:cNvPicPr>
                  </pic:nvPicPr>
                  <pic:blipFill>
                    <a:blip r:embed="rId4"/>
                    <a:stretch>
                      <a:fillRect/>
                    </a:stretch>
                  </pic:blipFill>
                  <pic:spPr>
                    <a:xfrm>
                      <a:off x="0" y="0"/>
                      <a:ext cx="1657350" cy="2072005"/>
                    </a:xfrm>
                    <a:prstGeom prst="rect">
                      <a:avLst/>
                    </a:prstGeom>
                    <a:noFill/>
                    <a:ln>
                      <a:noFill/>
                    </a:ln>
                  </pic:spPr>
                </pic:pic>
              </a:graphicData>
            </a:graphic>
          </wp:inline>
        </w:drawing>
      </w:r>
      <w:r>
        <w:drawing>
          <wp:inline distT="0" distB="0" distL="114300" distR="114300">
            <wp:extent cx="1647190" cy="2095500"/>
            <wp:effectExtent l="0" t="0" r="10160" b="0"/>
            <wp:docPr id="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0"/>
                    <pic:cNvPicPr>
                      <a:picLocks noChangeAspect="1"/>
                    </pic:cNvPicPr>
                  </pic:nvPicPr>
                  <pic:blipFill>
                    <a:blip r:embed="rId5"/>
                    <a:stretch>
                      <a:fillRect/>
                    </a:stretch>
                  </pic:blipFill>
                  <pic:spPr>
                    <a:xfrm>
                      <a:off x="0" y="0"/>
                      <a:ext cx="1647190" cy="2095500"/>
                    </a:xfrm>
                    <a:prstGeom prst="rect">
                      <a:avLst/>
                    </a:prstGeom>
                    <a:noFill/>
                    <a:ln>
                      <a:noFill/>
                    </a:ln>
                  </pic:spPr>
                </pic:pic>
              </a:graphicData>
            </a:graphic>
          </wp:inline>
        </w:drawing>
      </w:r>
      <w:r>
        <w:drawing>
          <wp:inline distT="0" distB="0" distL="114300" distR="114300">
            <wp:extent cx="1551940" cy="2075815"/>
            <wp:effectExtent l="0" t="0" r="10160" b="635"/>
            <wp:docPr id="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pic:cNvPicPr>
                      <a:picLocks noChangeAspect="1"/>
                    </pic:cNvPicPr>
                  </pic:nvPicPr>
                  <pic:blipFill>
                    <a:blip r:embed="rId6"/>
                    <a:stretch>
                      <a:fillRect/>
                    </a:stretch>
                  </pic:blipFill>
                  <pic:spPr>
                    <a:xfrm>
                      <a:off x="0" y="0"/>
                      <a:ext cx="1551940" cy="2075815"/>
                    </a:xfrm>
                    <a:prstGeom prst="rect">
                      <a:avLst/>
                    </a:prstGeom>
                    <a:noFill/>
                    <a:ln>
                      <a:noFill/>
                    </a:ln>
                  </pic:spPr>
                </pic:pic>
              </a:graphicData>
            </a:graphic>
          </wp:inline>
        </w:drawing>
      </w:r>
    </w:p>
    <w:p>
      <w:pPr>
        <w:numPr>
          <w:ilvl w:val="0"/>
          <w:numId w:val="0"/>
        </w:numPr>
        <w:jc w:val="center"/>
        <w:rPr>
          <w:rFonts w:hint="eastAsia"/>
          <w:color w:val="000000"/>
          <w:lang w:val="en-US" w:eastAsia="zh-CN"/>
        </w:rPr>
      </w:pPr>
      <w:r>
        <w:rPr>
          <w:rFonts w:hint="eastAsia"/>
          <w:color w:val="000000"/>
          <w:lang w:val="en-US" w:eastAsia="zh-CN"/>
        </w:rPr>
        <w:t>排水明沟大致位置</w:t>
      </w:r>
    </w:p>
    <w:p>
      <w:pPr>
        <w:numPr>
          <w:ilvl w:val="0"/>
          <w:numId w:val="0"/>
        </w:numPr>
        <w:jc w:val="center"/>
      </w:pPr>
      <w:r>
        <w:drawing>
          <wp:inline distT="0" distB="0" distL="114300" distR="114300">
            <wp:extent cx="5270500" cy="4406900"/>
            <wp:effectExtent l="0" t="0" r="6350" b="12700"/>
            <wp:docPr id="6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pic:cNvPicPr>
                      <a:picLocks noChangeAspect="1"/>
                    </pic:cNvPicPr>
                  </pic:nvPicPr>
                  <pic:blipFill>
                    <a:blip r:embed="rId7"/>
                    <a:stretch>
                      <a:fillRect/>
                    </a:stretch>
                  </pic:blipFill>
                  <pic:spPr>
                    <a:xfrm>
                      <a:off x="0" y="0"/>
                      <a:ext cx="5270500" cy="4406900"/>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val="en-US" w:eastAsia="zh-CN"/>
        </w:rPr>
        <w:t>排水沟平面图</w:t>
      </w:r>
    </w:p>
    <w:p>
      <w:pPr>
        <w:numPr>
          <w:ilvl w:val="0"/>
          <w:numId w:val="0"/>
        </w:numPr>
        <w:jc w:val="left"/>
        <w:rPr>
          <w:rFonts w:hint="default"/>
          <w:color w:val="000000"/>
          <w:lang w:val="en-US" w:eastAsia="zh-CN"/>
        </w:rPr>
      </w:pPr>
      <w:r>
        <w:rPr>
          <w:rFonts w:hint="eastAsia" w:ascii="仿宋" w:hAnsi="仿宋" w:eastAsia="仿宋"/>
          <w:color w:val="000000"/>
          <w:sz w:val="30"/>
          <w:szCs w:val="30"/>
          <w:lang w:val="en-US" w:eastAsia="zh-CN"/>
        </w:rPr>
        <w:t>2、排水沟详图</w:t>
      </w:r>
    </w:p>
    <w:p>
      <w:pPr>
        <w:numPr>
          <w:ilvl w:val="0"/>
          <w:numId w:val="0"/>
        </w:numPr>
        <w:jc w:val="center"/>
        <w:rPr>
          <w:rFonts w:hint="eastAsia"/>
          <w:color w:val="FF0000"/>
          <w:lang w:val="en-US" w:eastAsia="zh-CN"/>
        </w:rPr>
      </w:pPr>
      <w:r>
        <w:drawing>
          <wp:inline distT="0" distB="0" distL="114300" distR="114300">
            <wp:extent cx="5262880" cy="3555365"/>
            <wp:effectExtent l="0" t="0" r="13970" b="6985"/>
            <wp:docPr id="5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pic:cNvPicPr>
                      <a:picLocks noChangeAspect="1"/>
                    </pic:cNvPicPr>
                  </pic:nvPicPr>
                  <pic:blipFill>
                    <a:blip r:embed="rId8"/>
                    <a:stretch>
                      <a:fillRect/>
                    </a:stretch>
                  </pic:blipFill>
                  <pic:spPr>
                    <a:xfrm>
                      <a:off x="0" y="0"/>
                      <a:ext cx="5262880" cy="3555365"/>
                    </a:xfrm>
                    <a:prstGeom prst="rect">
                      <a:avLst/>
                    </a:prstGeom>
                    <a:noFill/>
                    <a:ln>
                      <a:noFill/>
                    </a:ln>
                  </pic:spPr>
                </pic:pic>
              </a:graphicData>
            </a:graphic>
          </wp:inline>
        </w:drawing>
      </w:r>
    </w:p>
    <w:p>
      <w:pPr>
        <w:numPr>
          <w:ilvl w:val="0"/>
          <w:numId w:val="0"/>
        </w:numPr>
        <w:jc w:val="center"/>
        <w:rPr>
          <w:rFonts w:hint="default"/>
          <w:lang w:val="en-US" w:eastAsia="zh-CN"/>
        </w:rPr>
      </w:pPr>
      <w:r>
        <w:rPr>
          <w:rFonts w:hint="eastAsia"/>
          <w:lang w:val="en-US" w:eastAsia="zh-CN"/>
        </w:rPr>
        <w:t>放坡开挖剖面图</w:t>
      </w:r>
    </w:p>
    <w:p>
      <w:pPr>
        <w:numPr>
          <w:ilvl w:val="0"/>
          <w:numId w:val="0"/>
        </w:numPr>
        <w:jc w:val="center"/>
      </w:pPr>
      <w:r>
        <w:drawing>
          <wp:inline distT="0" distB="0" distL="114300" distR="114300">
            <wp:extent cx="5265420" cy="3850640"/>
            <wp:effectExtent l="0" t="0" r="11430" b="16510"/>
            <wp:docPr id="5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pic:cNvPicPr>
                      <a:picLocks noChangeAspect="1"/>
                    </pic:cNvPicPr>
                  </pic:nvPicPr>
                  <pic:blipFill>
                    <a:blip r:embed="rId9"/>
                    <a:stretch>
                      <a:fillRect/>
                    </a:stretch>
                  </pic:blipFill>
                  <pic:spPr>
                    <a:xfrm>
                      <a:off x="0" y="0"/>
                      <a:ext cx="5265420" cy="3850640"/>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val="en-US" w:eastAsia="zh-CN"/>
        </w:rPr>
        <w:t>排水沟（挡土墙）大样图</w:t>
      </w:r>
    </w:p>
    <w:p>
      <w:pPr>
        <w:numPr>
          <w:ilvl w:val="0"/>
          <w:numId w:val="0"/>
        </w:numPr>
        <w:ind w:firstLine="600" w:firstLineChars="200"/>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3、挡土墙钢筋混凝土参数。基本参数：混凝土强度等级C30，靠土体侧混凝土保护层最小厚度为50mm（其余不少于30mm），防水混凝土设计抗渗等级P6,垫层混凝土强度等级不应小于C15，厚度不应小于100mm,钢筋选用HRB400级热轧钢筋。钢盖板的面板宜用花纹钢板或采取其他防滑措施。配筋依据挡土墙大样图尺寸，按照钢筋混凝土地沟详图配筋布置</w:t>
      </w:r>
    </w:p>
    <w:p>
      <w:pPr>
        <w:numPr>
          <w:ilvl w:val="0"/>
          <w:numId w:val="0"/>
        </w:numPr>
        <w:jc w:val="center"/>
      </w:pPr>
      <w:r>
        <w:drawing>
          <wp:inline distT="0" distB="0" distL="114300" distR="114300">
            <wp:extent cx="2600325" cy="2948305"/>
            <wp:effectExtent l="0" t="0" r="9525" b="4445"/>
            <wp:docPr id="5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pic:cNvPicPr>
                      <a:picLocks noChangeAspect="1"/>
                    </pic:cNvPicPr>
                  </pic:nvPicPr>
                  <pic:blipFill>
                    <a:blip r:embed="rId10"/>
                    <a:stretch>
                      <a:fillRect/>
                    </a:stretch>
                  </pic:blipFill>
                  <pic:spPr>
                    <a:xfrm>
                      <a:off x="0" y="0"/>
                      <a:ext cx="2600325" cy="2948305"/>
                    </a:xfrm>
                    <a:prstGeom prst="rect">
                      <a:avLst/>
                    </a:prstGeom>
                    <a:noFill/>
                    <a:ln>
                      <a:noFill/>
                    </a:ln>
                  </pic:spPr>
                </pic:pic>
              </a:graphicData>
            </a:graphic>
          </wp:inline>
        </w:drawing>
      </w:r>
      <w:r>
        <w:drawing>
          <wp:inline distT="0" distB="0" distL="114300" distR="114300">
            <wp:extent cx="4378960" cy="1258570"/>
            <wp:effectExtent l="0" t="0" r="2540" b="17780"/>
            <wp:docPr id="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pic:cNvPicPr>
                      <a:picLocks noChangeAspect="1"/>
                    </pic:cNvPicPr>
                  </pic:nvPicPr>
                  <pic:blipFill>
                    <a:blip r:embed="rId11"/>
                    <a:stretch>
                      <a:fillRect/>
                    </a:stretch>
                  </pic:blipFill>
                  <pic:spPr>
                    <a:xfrm>
                      <a:off x="0" y="0"/>
                      <a:ext cx="4378960" cy="1258570"/>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val="en-US" w:eastAsia="zh-CN"/>
        </w:rPr>
        <w:t>钢筋布置参数（供参考）</w:t>
      </w:r>
    </w:p>
    <w:p>
      <w:pPr>
        <w:numPr>
          <w:ilvl w:val="0"/>
          <w:numId w:val="0"/>
        </w:numPr>
        <w:ind w:firstLine="600" w:firstLineChars="200"/>
        <w:jc w:val="left"/>
        <w:rPr>
          <w:rFonts w:hint="default"/>
          <w:color w:val="000000"/>
          <w:lang w:val="en-US" w:eastAsia="zh-CN"/>
        </w:rPr>
      </w:pPr>
      <w:r>
        <w:rPr>
          <w:rFonts w:hint="eastAsia" w:ascii="仿宋" w:hAnsi="仿宋" w:eastAsia="仿宋"/>
          <w:color w:val="000000"/>
          <w:sz w:val="30"/>
          <w:szCs w:val="30"/>
          <w:lang w:val="en-US" w:eastAsia="zh-CN"/>
        </w:rPr>
        <w:t>4、集水井参数。该集水井深4m，参考图集如下。井深2m-4m处内壁无需抹防水砂浆，外围填铺透水细石材料，井外水渗透至井内。集水井砖砌部位环形10cm垫层，集水井内单独制作圆形混凝土板，避免水流冲刷。其余参考图集</w:t>
      </w:r>
    </w:p>
    <w:p>
      <w:pPr>
        <w:numPr>
          <w:ilvl w:val="0"/>
          <w:numId w:val="0"/>
        </w:numPr>
        <w:jc w:val="center"/>
      </w:pPr>
      <w:r>
        <w:drawing>
          <wp:inline distT="0" distB="0" distL="114300" distR="114300">
            <wp:extent cx="5260340" cy="3669665"/>
            <wp:effectExtent l="0" t="0" r="16510" b="6985"/>
            <wp:docPr id="5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pic:cNvPicPr>
                      <a:picLocks noChangeAspect="1"/>
                    </pic:cNvPicPr>
                  </pic:nvPicPr>
                  <pic:blipFill>
                    <a:blip r:embed="rId12"/>
                    <a:stretch>
                      <a:fillRect/>
                    </a:stretch>
                  </pic:blipFill>
                  <pic:spPr>
                    <a:xfrm>
                      <a:off x="0" y="0"/>
                      <a:ext cx="5260340" cy="3669665"/>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val="en-US" w:eastAsia="zh-CN"/>
        </w:rPr>
        <w:t>集水井图集</w:t>
      </w:r>
    </w:p>
    <w:p>
      <w:pPr>
        <w:numPr>
          <w:ilvl w:val="0"/>
          <w:numId w:val="0"/>
        </w:numPr>
        <w:ind w:firstLine="600" w:firstLineChars="200"/>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5、水沟盖板。单个尺寸600*300，定制。</w:t>
      </w:r>
    </w:p>
    <w:p>
      <w:pPr>
        <w:numPr>
          <w:ilvl w:val="0"/>
          <w:numId w:val="0"/>
        </w:numPr>
        <w:jc w:val="center"/>
      </w:pPr>
      <w:r>
        <w:drawing>
          <wp:inline distT="0" distB="0" distL="114300" distR="114300">
            <wp:extent cx="3080385" cy="1943735"/>
            <wp:effectExtent l="0" t="0" r="5715" b="18415"/>
            <wp:docPr id="5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8"/>
                    <pic:cNvPicPr>
                      <a:picLocks noChangeAspect="1"/>
                    </pic:cNvPicPr>
                  </pic:nvPicPr>
                  <pic:blipFill>
                    <a:blip r:embed="rId13"/>
                    <a:stretch>
                      <a:fillRect/>
                    </a:stretch>
                  </pic:blipFill>
                  <pic:spPr>
                    <a:xfrm>
                      <a:off x="0" y="0"/>
                      <a:ext cx="3080385" cy="1943735"/>
                    </a:xfrm>
                    <a:prstGeom prst="rect">
                      <a:avLst/>
                    </a:prstGeom>
                    <a:noFill/>
                    <a:ln>
                      <a:noFill/>
                    </a:ln>
                  </pic:spPr>
                </pic:pic>
              </a:graphicData>
            </a:graphic>
          </wp:inline>
        </w:drawing>
      </w:r>
      <w:r>
        <w:drawing>
          <wp:inline distT="0" distB="0" distL="114300" distR="114300">
            <wp:extent cx="3086100" cy="1517650"/>
            <wp:effectExtent l="0" t="0" r="0" b="6350"/>
            <wp:docPr id="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pic:cNvPicPr>
                      <a:picLocks noChangeAspect="1"/>
                    </pic:cNvPicPr>
                  </pic:nvPicPr>
                  <pic:blipFill>
                    <a:blip r:embed="rId14"/>
                    <a:stretch>
                      <a:fillRect/>
                    </a:stretch>
                  </pic:blipFill>
                  <pic:spPr>
                    <a:xfrm>
                      <a:off x="0" y="0"/>
                      <a:ext cx="3086100" cy="1517650"/>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val="en-US" w:eastAsia="zh-CN"/>
        </w:rPr>
        <w:t>盖板供参考</w:t>
      </w:r>
    </w:p>
    <w:p>
      <w:pPr>
        <w:numPr>
          <w:ilvl w:val="0"/>
          <w:numId w:val="0"/>
        </w:numPr>
        <w:ind w:firstLine="600" w:firstLineChars="200"/>
        <w:jc w:val="left"/>
        <w:rPr>
          <w:rFonts w:hint="default"/>
          <w:color w:val="000000"/>
          <w:lang w:val="en-US" w:eastAsia="zh-CN"/>
        </w:rPr>
      </w:pPr>
      <w:r>
        <w:rPr>
          <w:rFonts w:hint="eastAsia" w:ascii="仿宋" w:hAnsi="仿宋" w:eastAsia="仿宋"/>
          <w:color w:val="000000"/>
          <w:sz w:val="30"/>
          <w:szCs w:val="30"/>
          <w:lang w:val="en-US" w:eastAsia="zh-CN"/>
        </w:rPr>
        <w:t>6、潜水泵。采用肯富来品牌</w:t>
      </w:r>
    </w:p>
    <w:p>
      <w:pPr>
        <w:numPr>
          <w:ilvl w:val="0"/>
          <w:numId w:val="0"/>
        </w:numPr>
        <w:jc w:val="center"/>
        <w:rPr>
          <w:rFonts w:hint="default"/>
          <w:lang w:val="en-US" w:eastAsia="zh-CN"/>
        </w:rPr>
      </w:pPr>
      <w:r>
        <w:rPr>
          <w:rFonts w:hint="default"/>
          <w:lang w:val="en-US" w:eastAsia="zh-CN"/>
        </w:rPr>
        <w:drawing>
          <wp:inline distT="0" distB="0" distL="114300" distR="114300">
            <wp:extent cx="2811145" cy="3748405"/>
            <wp:effectExtent l="0" t="0" r="4445" b="8255"/>
            <wp:docPr id="60" name="图片 50" descr="ed572580915bbdf151aa5bcc83a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0" descr="ed572580915bbdf151aa5bcc83a6809"/>
                    <pic:cNvPicPr>
                      <a:picLocks noChangeAspect="1"/>
                    </pic:cNvPicPr>
                  </pic:nvPicPr>
                  <pic:blipFill>
                    <a:blip r:embed="rId15"/>
                    <a:stretch>
                      <a:fillRect/>
                    </a:stretch>
                  </pic:blipFill>
                  <pic:spPr>
                    <a:xfrm rot="5400000">
                      <a:off x="0" y="0"/>
                      <a:ext cx="2811145" cy="3748405"/>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val="en-US" w:eastAsia="zh-CN"/>
        </w:rPr>
        <w:t>潜水泵供参考</w:t>
      </w:r>
    </w:p>
    <w:p>
      <w:pPr>
        <w:rPr>
          <w:rFonts w:hint="eastAsia" w:ascii="仿宋" w:hAnsi="仿宋" w:eastAsia="仿宋"/>
          <w:b/>
          <w:sz w:val="30"/>
          <w:szCs w:val="30"/>
        </w:rPr>
      </w:pPr>
      <w:r>
        <w:rPr>
          <w:rFonts w:hint="eastAsia"/>
          <w:sz w:val="28"/>
          <w:szCs w:val="28"/>
          <w:lang w:val="en-US" w:eastAsia="zh-CN"/>
        </w:rPr>
        <w:t>四</w:t>
      </w:r>
      <w:r>
        <w:rPr>
          <w:rFonts w:hint="eastAsia"/>
          <w:sz w:val="28"/>
          <w:szCs w:val="28"/>
        </w:rPr>
        <w:t>、</w:t>
      </w:r>
      <w:r>
        <w:rPr>
          <w:rFonts w:hint="eastAsia" w:ascii="仿宋" w:hAnsi="仿宋" w:eastAsia="仿宋"/>
          <w:b/>
          <w:sz w:val="30"/>
          <w:szCs w:val="30"/>
        </w:rPr>
        <w:t>工程量</w:t>
      </w:r>
    </w:p>
    <w:tbl>
      <w:tblPr>
        <w:tblStyle w:val="17"/>
        <w:tblpPr w:leftFromText="180" w:rightFromText="180" w:vertAnchor="text" w:horzAnchor="page" w:tblpXSpec="center" w:tblpY="212"/>
        <w:tblOverlap w:val="never"/>
        <w:tblW w:w="8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889"/>
        <w:gridCol w:w="4474"/>
        <w:gridCol w:w="962"/>
        <w:gridCol w:w="97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6"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bidi="ar"/>
              </w:rPr>
              <w:t>序号</w:t>
            </w:r>
          </w:p>
        </w:tc>
        <w:tc>
          <w:tcPr>
            <w:tcW w:w="889"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项目名称</w:t>
            </w:r>
          </w:p>
        </w:tc>
        <w:tc>
          <w:tcPr>
            <w:tcW w:w="4474"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项目特征</w:t>
            </w:r>
          </w:p>
        </w:tc>
        <w:tc>
          <w:tcPr>
            <w:tcW w:w="96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计量单位</w:t>
            </w:r>
          </w:p>
        </w:tc>
        <w:tc>
          <w:tcPr>
            <w:tcW w:w="977"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val="en-US" w:eastAsia="zh-CN" w:bidi="ar"/>
              </w:rPr>
              <w:t>原</w:t>
            </w:r>
            <w:r>
              <w:rPr>
                <w:rFonts w:hint="eastAsia" w:ascii="宋体" w:hAnsi="宋体" w:cs="宋体"/>
                <w:color w:val="000000"/>
                <w:kern w:val="0"/>
                <w:sz w:val="24"/>
                <w:szCs w:val="24"/>
                <w:lang w:bidi="ar"/>
              </w:rPr>
              <w:t>工程量</w:t>
            </w:r>
          </w:p>
        </w:tc>
        <w:tc>
          <w:tcPr>
            <w:tcW w:w="977" w:type="dxa"/>
            <w:noWrap w:val="0"/>
            <w:vAlign w:val="center"/>
          </w:tcPr>
          <w:p>
            <w:pPr>
              <w:widowControl/>
              <w:spacing w:line="0" w:lineRule="atLeast"/>
              <w:jc w:val="left"/>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1</w:t>
            </w:r>
          </w:p>
        </w:tc>
        <w:tc>
          <w:tcPr>
            <w:tcW w:w="889"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地表清理</w:t>
            </w:r>
          </w:p>
        </w:tc>
        <w:tc>
          <w:tcPr>
            <w:tcW w:w="4474"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1、根据施工需要，清理地表杂草、枯枝等</w:t>
            </w:r>
          </w:p>
        </w:tc>
        <w:tc>
          <w:tcPr>
            <w:tcW w:w="962" w:type="dxa"/>
            <w:noWrap w:val="0"/>
            <w:vAlign w:val="center"/>
          </w:tcPr>
          <w:p>
            <w:pPr>
              <w:widowControl/>
              <w:spacing w:line="0" w:lineRule="atLeast"/>
              <w:jc w:val="center"/>
              <w:textAlignment w:val="center"/>
              <w:rPr>
                <w:rFonts w:hint="eastAsia" w:ascii="仿宋" w:hAnsi="仿宋" w:eastAsia="仿宋"/>
                <w:sz w:val="30"/>
                <w:szCs w:val="30"/>
                <w:lang w:val="en-US" w:eastAsia="zh-CN"/>
              </w:rPr>
            </w:pPr>
            <w:r>
              <w:rPr>
                <w:rFonts w:hint="eastAsia" w:ascii="宋体" w:hAnsi="宋体" w:cs="宋体"/>
                <w:sz w:val="24"/>
                <w:szCs w:val="24"/>
                <w:lang w:val="en-US" w:eastAsia="zh-CN"/>
              </w:rPr>
              <w:t>㎡</w:t>
            </w:r>
          </w:p>
        </w:tc>
        <w:tc>
          <w:tcPr>
            <w:tcW w:w="977"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80</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2</w:t>
            </w:r>
          </w:p>
        </w:tc>
        <w:tc>
          <w:tcPr>
            <w:tcW w:w="889"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土方开挖</w:t>
            </w:r>
          </w:p>
        </w:tc>
        <w:tc>
          <w:tcPr>
            <w:tcW w:w="4474" w:type="dxa"/>
            <w:noWrap w:val="0"/>
            <w:vAlign w:val="center"/>
          </w:tcPr>
          <w:p>
            <w:pPr>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根据施工需求，原竖井外围施工遗留的钢筋混凝土导墙拆除</w:t>
            </w:r>
            <w:r>
              <w:rPr>
                <w:rFonts w:hint="eastAsia" w:ascii="宋体" w:hAnsi="宋体" w:cs="宋体"/>
                <w:sz w:val="24"/>
                <w:szCs w:val="24"/>
              </w:rPr>
              <w:t>。</w:t>
            </w:r>
          </w:p>
          <w:p>
            <w:pPr>
              <w:rPr>
                <w:rFonts w:hint="eastAsia" w:ascii="宋体" w:hAnsi="宋体" w:cs="宋体"/>
                <w:sz w:val="24"/>
                <w:szCs w:val="24"/>
                <w:lang w:val="en-US" w:eastAsia="zh-CN"/>
              </w:rPr>
            </w:pPr>
            <w:r>
              <w:rPr>
                <w:rFonts w:hint="eastAsia" w:ascii="宋体" w:hAnsi="宋体" w:cs="宋体"/>
                <w:sz w:val="24"/>
                <w:szCs w:val="24"/>
              </w:rPr>
              <w:t>2、</w:t>
            </w:r>
            <w:r>
              <w:rPr>
                <w:rFonts w:hint="eastAsia" w:ascii="宋体" w:hAnsi="宋体" w:cs="宋体"/>
                <w:sz w:val="24"/>
                <w:szCs w:val="24"/>
                <w:lang w:val="en-US" w:eastAsia="zh-CN"/>
              </w:rPr>
              <w:t>放坡开挖1:1。</w:t>
            </w:r>
          </w:p>
          <w:p>
            <w:pPr>
              <w:rPr>
                <w:rFonts w:hint="eastAsia" w:ascii="宋体" w:hAnsi="宋体" w:cs="宋体"/>
                <w:sz w:val="24"/>
                <w:szCs w:val="24"/>
                <w:lang w:val="en-US" w:eastAsia="zh-CN"/>
              </w:rPr>
            </w:pPr>
            <w:r>
              <w:rPr>
                <w:rFonts w:hint="eastAsia" w:ascii="宋体" w:hAnsi="宋体" w:cs="宋体"/>
                <w:sz w:val="24"/>
                <w:szCs w:val="24"/>
              </w:rPr>
              <w:t>3、</w:t>
            </w:r>
            <w:r>
              <w:rPr>
                <w:rFonts w:hint="eastAsia" w:ascii="宋体" w:hAnsi="宋体" w:cs="宋体"/>
                <w:sz w:val="24"/>
                <w:szCs w:val="24"/>
                <w:lang w:val="en-US" w:eastAsia="zh-CN"/>
              </w:rPr>
              <w:t>土方堆放离土方开挖边沿线距离不少于开挖深度。</w:t>
            </w:r>
          </w:p>
          <w:p>
            <w:pPr>
              <w:rPr>
                <w:rFonts w:hint="eastAsia" w:ascii="宋体" w:hAnsi="宋体" w:cs="宋体"/>
                <w:sz w:val="24"/>
                <w:szCs w:val="24"/>
                <w:lang w:val="en-US" w:eastAsia="zh-CN"/>
              </w:rPr>
            </w:pPr>
            <w:r>
              <w:rPr>
                <w:rFonts w:hint="eastAsia" w:ascii="宋体" w:hAnsi="宋体" w:cs="宋体"/>
                <w:sz w:val="24"/>
                <w:szCs w:val="24"/>
                <w:lang w:val="en-US" w:eastAsia="zh-CN"/>
              </w:rPr>
              <w:t>4、不破坏原有阀门井、板房、周边树木，需采取有效保护措施，如有损坏则修复（不低于原标准）</w:t>
            </w:r>
          </w:p>
          <w:p>
            <w:pPr>
              <w:rPr>
                <w:rFonts w:hint="default" w:ascii="宋体" w:hAnsi="宋体" w:cs="宋体"/>
                <w:sz w:val="24"/>
                <w:szCs w:val="24"/>
                <w:lang w:val="en-US" w:eastAsia="zh-CN"/>
              </w:rPr>
            </w:pPr>
            <w:r>
              <w:rPr>
                <w:rFonts w:hint="eastAsia" w:ascii="宋体" w:hAnsi="宋体" w:cs="宋体"/>
                <w:sz w:val="24"/>
                <w:szCs w:val="24"/>
                <w:lang w:val="en-US" w:eastAsia="zh-CN"/>
              </w:rPr>
              <w:t>5、含场地内土方临时周转及绿网覆盖</w:t>
            </w:r>
          </w:p>
        </w:tc>
        <w:tc>
          <w:tcPr>
            <w:tcW w:w="962"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eastAsia="zh-CN" w:bidi="ar"/>
              </w:rPr>
            </w:pPr>
            <w:r>
              <w:rPr>
                <w:rFonts w:hint="eastAsia" w:ascii="仿宋" w:hAnsi="仿宋" w:eastAsia="仿宋"/>
                <w:sz w:val="30"/>
                <w:szCs w:val="30"/>
                <w:lang w:val="en-US" w:eastAsia="zh-CN"/>
              </w:rPr>
              <w:t>m³</w:t>
            </w:r>
          </w:p>
        </w:tc>
        <w:tc>
          <w:tcPr>
            <w:tcW w:w="977"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250</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3</w:t>
            </w:r>
          </w:p>
        </w:tc>
        <w:tc>
          <w:tcPr>
            <w:tcW w:w="889"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排水措施</w:t>
            </w:r>
          </w:p>
        </w:tc>
        <w:tc>
          <w:tcPr>
            <w:tcW w:w="4474" w:type="dxa"/>
            <w:noWrap w:val="0"/>
            <w:vAlign w:val="center"/>
          </w:tcPr>
          <w:p>
            <w:pPr>
              <w:rPr>
                <w:rFonts w:hint="eastAsia" w:ascii="宋体" w:hAnsi="宋体" w:cs="宋体"/>
                <w:sz w:val="24"/>
                <w:szCs w:val="24"/>
                <w:lang w:val="en-US" w:eastAsia="zh-CN"/>
              </w:rPr>
            </w:pPr>
            <w:r>
              <w:rPr>
                <w:rFonts w:hint="eastAsia" w:ascii="宋体" w:hAnsi="宋体" w:cs="宋体"/>
                <w:sz w:val="24"/>
                <w:szCs w:val="24"/>
                <w:lang w:val="en-US" w:eastAsia="zh-CN"/>
              </w:rPr>
              <w:t>1、开挖后，及时抽排水，满足正常施工用要求</w:t>
            </w:r>
          </w:p>
          <w:p>
            <w:pPr>
              <w:rPr>
                <w:rFonts w:hint="default" w:ascii="宋体" w:hAnsi="宋体" w:cs="宋体"/>
                <w:sz w:val="24"/>
                <w:szCs w:val="24"/>
                <w:lang w:val="en-US" w:eastAsia="zh-CN"/>
              </w:rPr>
            </w:pPr>
            <w:r>
              <w:rPr>
                <w:rFonts w:hint="eastAsia" w:ascii="宋体" w:hAnsi="宋体" w:cs="宋体"/>
                <w:sz w:val="24"/>
                <w:szCs w:val="24"/>
                <w:lang w:val="en-US" w:eastAsia="zh-CN"/>
              </w:rPr>
              <w:t>2、排水沟内水位低于混凝土基础面不少于100mm</w:t>
            </w:r>
          </w:p>
        </w:tc>
        <w:tc>
          <w:tcPr>
            <w:tcW w:w="962" w:type="dxa"/>
            <w:noWrap w:val="0"/>
            <w:vAlign w:val="center"/>
          </w:tcPr>
          <w:p>
            <w:pPr>
              <w:widowControl/>
              <w:spacing w:line="0" w:lineRule="atLeast"/>
              <w:jc w:val="center"/>
              <w:textAlignment w:val="center"/>
              <w:rPr>
                <w:rFonts w:hint="default" w:ascii="仿宋" w:hAnsi="仿宋" w:eastAsia="仿宋"/>
                <w:sz w:val="30"/>
                <w:szCs w:val="30"/>
                <w:lang w:val="en-US" w:eastAsia="zh-CN"/>
              </w:rPr>
            </w:pPr>
            <w:r>
              <w:rPr>
                <w:rFonts w:hint="eastAsia" w:ascii="仿宋" w:hAnsi="仿宋" w:eastAsia="仿宋"/>
                <w:sz w:val="30"/>
                <w:szCs w:val="30"/>
                <w:lang w:val="en-US" w:eastAsia="zh-CN"/>
              </w:rPr>
              <w:t>项</w:t>
            </w:r>
          </w:p>
        </w:tc>
        <w:tc>
          <w:tcPr>
            <w:tcW w:w="977"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4</w:t>
            </w:r>
          </w:p>
        </w:tc>
        <w:tc>
          <w:tcPr>
            <w:tcW w:w="889"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钢管支护</w:t>
            </w:r>
          </w:p>
        </w:tc>
        <w:tc>
          <w:tcPr>
            <w:tcW w:w="4474" w:type="dxa"/>
            <w:noWrap w:val="0"/>
            <w:vAlign w:val="center"/>
          </w:tcPr>
          <w:p>
            <w:pPr>
              <w:numPr>
                <w:ilvl w:val="0"/>
                <w:numId w:val="6"/>
              </w:numPr>
              <w:rPr>
                <w:rFonts w:hint="eastAsia" w:ascii="宋体" w:hAnsi="宋体" w:cs="宋体"/>
                <w:sz w:val="24"/>
                <w:szCs w:val="24"/>
                <w:lang w:val="en-US" w:eastAsia="zh-CN"/>
              </w:rPr>
            </w:pPr>
            <w:r>
              <w:rPr>
                <w:rFonts w:hint="eastAsia" w:ascii="宋体" w:hAnsi="宋体" w:cs="宋体"/>
                <w:sz w:val="24"/>
                <w:szCs w:val="24"/>
                <w:lang w:val="en-US" w:eastAsia="zh-CN"/>
              </w:rPr>
              <w:t>采用钢管脚手架（长度6m，无弯曲变形，无锈蚀）按竹排（间距不大于钢管直径）形式搭设支护，钢管入土深度不少于1.5m、且低于基坑底部不少于1m，竖杆间距不大于6cm，横杆间距不大于0.4m，采用钢管斜撑梅花形、间距1m，采用扣件与竖杆连接。</w:t>
            </w:r>
          </w:p>
          <w:p>
            <w:pPr>
              <w:numPr>
                <w:ilvl w:val="0"/>
                <w:numId w:val="6"/>
              </w:numPr>
              <w:rPr>
                <w:rFonts w:hint="eastAsia" w:ascii="宋体" w:hAnsi="宋体" w:cs="宋体"/>
                <w:sz w:val="24"/>
                <w:szCs w:val="24"/>
                <w:lang w:val="en-US" w:eastAsia="zh-CN"/>
              </w:rPr>
            </w:pPr>
            <w:r>
              <w:rPr>
                <w:rFonts w:hint="eastAsia" w:ascii="宋体" w:hAnsi="宋体" w:cs="宋体"/>
                <w:sz w:val="24"/>
                <w:szCs w:val="24"/>
                <w:lang w:val="en-US" w:eastAsia="zh-CN"/>
              </w:rPr>
              <w:t>钢管采用静压或锤击方式贯入土体内，</w:t>
            </w:r>
          </w:p>
        </w:tc>
        <w:tc>
          <w:tcPr>
            <w:tcW w:w="962"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m</w:t>
            </w:r>
          </w:p>
        </w:tc>
        <w:tc>
          <w:tcPr>
            <w:tcW w:w="977"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5</w:t>
            </w:r>
          </w:p>
        </w:tc>
        <w:tc>
          <w:tcPr>
            <w:tcW w:w="889"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挡土墙下碎石回填</w:t>
            </w:r>
          </w:p>
        </w:tc>
        <w:tc>
          <w:tcPr>
            <w:tcW w:w="4474" w:type="dxa"/>
            <w:noWrap w:val="0"/>
            <w:vAlign w:val="center"/>
          </w:tcPr>
          <w:p>
            <w:pPr>
              <w:numPr>
                <w:ilvl w:val="0"/>
                <w:numId w:val="7"/>
              </w:numPr>
              <w:rPr>
                <w:rFonts w:hint="eastAsia" w:ascii="宋体" w:hAnsi="宋体" w:cs="宋体"/>
                <w:sz w:val="24"/>
                <w:szCs w:val="24"/>
                <w:lang w:val="en-US" w:eastAsia="zh-CN"/>
              </w:rPr>
            </w:pPr>
            <w:r>
              <w:rPr>
                <w:rFonts w:hint="eastAsia" w:ascii="宋体" w:hAnsi="宋体" w:cs="宋体"/>
                <w:sz w:val="24"/>
                <w:szCs w:val="24"/>
                <w:lang w:val="en-US" w:eastAsia="zh-CN"/>
              </w:rPr>
              <w:t>石灰岩粗石，颗粒规格基本统一，粒径不大于60mm</w:t>
            </w:r>
          </w:p>
          <w:p>
            <w:pPr>
              <w:numPr>
                <w:ilvl w:val="0"/>
                <w:numId w:val="7"/>
              </w:numPr>
              <w:rPr>
                <w:rFonts w:hint="default" w:ascii="宋体" w:hAnsi="宋体" w:cs="宋体"/>
                <w:sz w:val="24"/>
                <w:szCs w:val="24"/>
                <w:lang w:val="en-US" w:eastAsia="zh-CN"/>
              </w:rPr>
            </w:pPr>
            <w:r>
              <w:rPr>
                <w:rFonts w:hint="eastAsia" w:ascii="宋体" w:hAnsi="宋体" w:cs="宋体"/>
                <w:sz w:val="24"/>
                <w:szCs w:val="24"/>
                <w:lang w:val="en-US" w:eastAsia="zh-CN"/>
              </w:rPr>
              <w:t>铺平并实、振捣密实，厚度不小于10cm</w:t>
            </w:r>
          </w:p>
        </w:tc>
        <w:tc>
          <w:tcPr>
            <w:tcW w:w="962" w:type="dxa"/>
            <w:noWrap w:val="0"/>
            <w:vAlign w:val="center"/>
          </w:tcPr>
          <w:p>
            <w:pPr>
              <w:widowControl/>
              <w:spacing w:line="0" w:lineRule="atLeast"/>
              <w:jc w:val="center"/>
              <w:textAlignment w:val="center"/>
              <w:rPr>
                <w:rFonts w:hint="default" w:ascii="仿宋" w:hAnsi="仿宋" w:eastAsia="仿宋"/>
                <w:sz w:val="30"/>
                <w:szCs w:val="30"/>
                <w:lang w:val="en-US" w:eastAsia="zh-CN"/>
              </w:rPr>
            </w:pPr>
            <w:r>
              <w:rPr>
                <w:rFonts w:hint="eastAsia" w:ascii="仿宋" w:hAnsi="仿宋" w:eastAsia="仿宋"/>
                <w:sz w:val="30"/>
                <w:szCs w:val="30"/>
                <w:lang w:val="en-US" w:eastAsia="zh-CN"/>
              </w:rPr>
              <w:t>m³</w:t>
            </w:r>
          </w:p>
        </w:tc>
        <w:tc>
          <w:tcPr>
            <w:tcW w:w="977"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4.5</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6</w:t>
            </w:r>
          </w:p>
        </w:tc>
        <w:tc>
          <w:tcPr>
            <w:tcW w:w="889" w:type="dxa"/>
            <w:noWrap w:val="0"/>
            <w:vAlign w:val="center"/>
          </w:tcPr>
          <w:p>
            <w:pPr>
              <w:rPr>
                <w:rFonts w:hint="default" w:ascii="宋体" w:hAnsi="宋体" w:cs="宋体"/>
                <w:sz w:val="24"/>
                <w:szCs w:val="24"/>
                <w:lang w:val="en-US"/>
              </w:rPr>
            </w:pPr>
            <w:r>
              <w:rPr>
                <w:rFonts w:hint="eastAsia" w:ascii="宋体" w:hAnsi="宋体" w:cs="宋体"/>
                <w:sz w:val="24"/>
                <w:szCs w:val="24"/>
                <w:lang w:val="en-US" w:eastAsia="zh-CN"/>
              </w:rPr>
              <w:t>混凝土垫层</w:t>
            </w:r>
          </w:p>
        </w:tc>
        <w:tc>
          <w:tcPr>
            <w:tcW w:w="4474" w:type="dxa"/>
            <w:noWrap w:val="0"/>
            <w:vAlign w:val="center"/>
          </w:tcPr>
          <w:p>
            <w:pPr>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、垫层混凝土强度等级不应小于C15，厚度不应小于100mm</w:t>
            </w:r>
          </w:p>
        </w:tc>
        <w:tc>
          <w:tcPr>
            <w:tcW w:w="962"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仿宋" w:hAnsi="仿宋" w:eastAsia="仿宋"/>
                <w:sz w:val="30"/>
                <w:szCs w:val="30"/>
                <w:lang w:val="en-US" w:eastAsia="zh-CN"/>
              </w:rPr>
              <w:t>m³</w:t>
            </w:r>
          </w:p>
        </w:tc>
        <w:tc>
          <w:tcPr>
            <w:tcW w:w="977" w:type="dxa"/>
            <w:noWrap w:val="0"/>
            <w:vAlign w:val="center"/>
          </w:tcPr>
          <w:p>
            <w:pPr>
              <w:widowControl/>
              <w:spacing w:line="0" w:lineRule="atLeast"/>
              <w:jc w:val="center"/>
              <w:textAlignment w:val="center"/>
              <w:rPr>
                <w:rFonts w:hint="default" w:ascii="宋体" w:hAnsi="宋体" w:cs="宋体"/>
                <w:color w:val="000000"/>
                <w:kern w:val="0"/>
                <w:sz w:val="24"/>
                <w:szCs w:val="24"/>
                <w:lang w:val="en-US" w:bidi="ar"/>
              </w:rPr>
            </w:pPr>
            <w:r>
              <w:rPr>
                <w:rFonts w:hint="eastAsia" w:ascii="宋体" w:hAnsi="宋体" w:cs="宋体"/>
                <w:color w:val="000000"/>
                <w:kern w:val="0"/>
                <w:sz w:val="24"/>
                <w:szCs w:val="24"/>
                <w:lang w:val="en-US" w:eastAsia="zh-CN" w:bidi="ar"/>
              </w:rPr>
              <w:t>4.5</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889"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混凝土（钢筋混凝土挡土墙）</w:t>
            </w:r>
          </w:p>
        </w:tc>
        <w:tc>
          <w:tcPr>
            <w:tcW w:w="4474" w:type="dxa"/>
            <w:noWrap w:val="0"/>
            <w:vAlign w:val="center"/>
          </w:tcPr>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1、混凝土强度等级C30，振捣密实，无蜂窝麻面，表面平整</w:t>
            </w:r>
          </w:p>
          <w:p>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2、图形依照剖面图，明沟上部每米一处支撑（300*300*600，配构造钢筋），预埋爬梯2处（直径16螺纹钢材质、表面油漆防腐）</w:t>
            </w:r>
          </w:p>
          <w:p>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3、排水坡度1%</w:t>
            </w:r>
          </w:p>
          <w:p>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4、混凝土洒水养护不少于14天</w:t>
            </w:r>
          </w:p>
        </w:tc>
        <w:tc>
          <w:tcPr>
            <w:tcW w:w="962" w:type="dxa"/>
            <w:noWrap w:val="0"/>
            <w:vAlign w:val="center"/>
          </w:tcPr>
          <w:p>
            <w:pPr>
              <w:jc w:val="center"/>
              <w:rPr>
                <w:rFonts w:ascii="宋体" w:hAnsi="宋体" w:cs="宋体"/>
                <w:sz w:val="24"/>
                <w:szCs w:val="24"/>
              </w:rPr>
            </w:pPr>
            <w:r>
              <w:rPr>
                <w:rFonts w:hint="eastAsia" w:ascii="仿宋" w:hAnsi="仿宋" w:eastAsia="仿宋"/>
                <w:sz w:val="30"/>
                <w:szCs w:val="30"/>
                <w:lang w:val="en-US" w:eastAsia="zh-CN"/>
              </w:rPr>
              <w:t>m³</w:t>
            </w:r>
          </w:p>
        </w:tc>
        <w:tc>
          <w:tcPr>
            <w:tcW w:w="977"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34</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8</w:t>
            </w:r>
          </w:p>
        </w:tc>
        <w:tc>
          <w:tcPr>
            <w:tcW w:w="889" w:type="dxa"/>
            <w:noWrap w:val="0"/>
            <w:vAlign w:val="center"/>
          </w:tcPr>
          <w:p>
            <w:p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钢筋（钢筋混凝土挡土墙）</w:t>
            </w:r>
          </w:p>
        </w:tc>
        <w:tc>
          <w:tcPr>
            <w:tcW w:w="4474" w:type="dxa"/>
            <w:noWrap w:val="0"/>
            <w:vAlign w:val="center"/>
          </w:tcPr>
          <w:p>
            <w:pPr>
              <w:numPr>
                <w:ilvl w:val="0"/>
                <w:numId w:val="8"/>
              </w:numPr>
              <w:rPr>
                <w:rFonts w:hint="eastAsia" w:ascii="宋体" w:hAnsi="宋体" w:cs="宋体"/>
                <w:sz w:val="24"/>
                <w:szCs w:val="24"/>
                <w:lang w:val="en-US" w:eastAsia="zh-CN"/>
              </w:rPr>
            </w:pPr>
            <w:r>
              <w:rPr>
                <w:rFonts w:hint="eastAsia" w:ascii="宋体" w:hAnsi="宋体" w:cs="宋体"/>
                <w:sz w:val="24"/>
                <w:szCs w:val="24"/>
                <w:lang w:val="en-US" w:eastAsia="zh-CN"/>
              </w:rPr>
              <w:t>钢筋选用HRB400级热轧钢筋，靠土体一侧混凝土保护层最小厚度为50mm、其余保护层30mm，</w:t>
            </w:r>
          </w:p>
          <w:p>
            <w:pPr>
              <w:numPr>
                <w:ilvl w:val="0"/>
                <w:numId w:val="8"/>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具体规格参数见图，包加工、包安装</w:t>
            </w:r>
          </w:p>
        </w:tc>
        <w:tc>
          <w:tcPr>
            <w:tcW w:w="962" w:type="dxa"/>
            <w:noWrap w:val="0"/>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吨</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3</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9</w:t>
            </w:r>
          </w:p>
        </w:tc>
        <w:tc>
          <w:tcPr>
            <w:tcW w:w="889" w:type="dxa"/>
            <w:noWrap w:val="0"/>
            <w:vAlign w:val="center"/>
          </w:tcPr>
          <w:p>
            <w:pPr>
              <w:rPr>
                <w:rFonts w:hint="eastAsia" w:ascii="宋体" w:hAnsi="宋体" w:eastAsia="宋体" w:cs="宋体"/>
                <w:sz w:val="24"/>
                <w:szCs w:val="24"/>
                <w:lang w:val="en-US" w:eastAsia="zh-CN"/>
              </w:rPr>
            </w:pPr>
            <w:r>
              <w:rPr>
                <w:rFonts w:hint="eastAsia" w:ascii="宋体" w:hAnsi="宋体" w:cs="宋体"/>
                <w:sz w:val="24"/>
                <w:szCs w:val="24"/>
                <w:lang w:val="en-US" w:eastAsia="zh-CN"/>
              </w:rPr>
              <w:t>模板措施费</w:t>
            </w:r>
          </w:p>
        </w:tc>
        <w:tc>
          <w:tcPr>
            <w:tcW w:w="4474" w:type="dxa"/>
            <w:noWrap w:val="0"/>
            <w:vAlign w:val="center"/>
          </w:tcPr>
          <w:p>
            <w:pPr>
              <w:numPr>
                <w:ilvl w:val="0"/>
                <w:numId w:val="9"/>
              </w:numPr>
              <w:rPr>
                <w:rFonts w:hint="eastAsia" w:ascii="宋体" w:hAnsi="宋体" w:cs="宋体"/>
                <w:sz w:val="24"/>
                <w:szCs w:val="24"/>
                <w:lang w:val="en-US" w:eastAsia="zh-CN"/>
              </w:rPr>
            </w:pPr>
            <w:r>
              <w:rPr>
                <w:rFonts w:hint="eastAsia" w:ascii="宋体" w:hAnsi="宋体" w:cs="宋体"/>
                <w:sz w:val="24"/>
                <w:szCs w:val="24"/>
                <w:lang w:val="en-US" w:eastAsia="zh-CN"/>
              </w:rPr>
              <w:t>含两侧新模板、拉杆等措施费，安装牢固，无涨模、爆模，平整度、垂直度均满足规范要求</w:t>
            </w:r>
          </w:p>
          <w:p>
            <w:pPr>
              <w:numPr>
                <w:ilvl w:val="0"/>
                <w:numId w:val="9"/>
              </w:numPr>
              <w:rPr>
                <w:rFonts w:hint="default" w:ascii="宋体" w:hAnsi="宋体" w:cs="宋体"/>
                <w:sz w:val="24"/>
                <w:szCs w:val="24"/>
                <w:lang w:val="en-US" w:eastAsia="zh-CN"/>
              </w:rPr>
            </w:pPr>
            <w:r>
              <w:rPr>
                <w:rFonts w:hint="eastAsia" w:ascii="宋体" w:hAnsi="宋体" w:cs="宋体"/>
                <w:sz w:val="24"/>
                <w:szCs w:val="24"/>
                <w:lang w:val="en-US" w:eastAsia="zh-CN"/>
              </w:rPr>
              <w:t>安装、拆卸</w:t>
            </w:r>
          </w:p>
        </w:tc>
        <w:tc>
          <w:tcPr>
            <w:tcW w:w="962" w:type="dxa"/>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m</w:t>
            </w:r>
          </w:p>
        </w:tc>
        <w:tc>
          <w:tcPr>
            <w:tcW w:w="977" w:type="dxa"/>
            <w:noWrap w:val="0"/>
            <w:vAlign w:val="center"/>
          </w:tcPr>
          <w:p>
            <w:pPr>
              <w:rPr>
                <w:rFonts w:hint="default" w:ascii="宋体" w:hAnsi="宋体" w:eastAsia="宋体" w:cs="宋体"/>
                <w:sz w:val="24"/>
                <w:szCs w:val="24"/>
                <w:lang w:val="en-US" w:eastAsia="zh-CN"/>
              </w:rPr>
            </w:pPr>
            <w:r>
              <w:rPr>
                <w:rFonts w:hint="eastAsia" w:ascii="宋体" w:hAnsi="宋体" w:cs="宋体"/>
                <w:sz w:val="24"/>
                <w:szCs w:val="24"/>
                <w:lang w:val="en-US" w:eastAsia="zh-CN"/>
              </w:rPr>
              <w:t>56</w:t>
            </w:r>
          </w:p>
        </w:tc>
        <w:tc>
          <w:tcPr>
            <w:tcW w:w="977"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按挡土墙长度计量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10</w:t>
            </w:r>
          </w:p>
        </w:tc>
        <w:tc>
          <w:tcPr>
            <w:tcW w:w="889" w:type="dxa"/>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集水井1</w:t>
            </w:r>
          </w:p>
        </w:tc>
        <w:tc>
          <w:tcPr>
            <w:tcW w:w="4474" w:type="dxa"/>
            <w:noWrap w:val="0"/>
            <w:vAlign w:val="center"/>
          </w:tcPr>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采用灰砂砖砌筑，直径100cm，深度4m，</w:t>
            </w:r>
          </w:p>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井深2m-4m处内壁无需抹防水砂浆，外围填铺透水细石材料，厚度不少于10cm，井外水渗透至井内。</w:t>
            </w:r>
          </w:p>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镀锌钢管爬梯，参考图集</w:t>
            </w:r>
          </w:p>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集水井砖砌部位环形10cm厚C15混凝土垫层，井内浇注10cm厚C20混凝土板，避免水流冲刷。</w:t>
            </w:r>
          </w:p>
          <w:p>
            <w:pPr>
              <w:numPr>
                <w:ilvl w:val="0"/>
                <w:numId w:val="10"/>
              </w:numPr>
              <w:rPr>
                <w:rFonts w:hint="eastAsia" w:ascii="宋体" w:hAnsi="宋体" w:cs="宋体"/>
                <w:sz w:val="24"/>
                <w:szCs w:val="24"/>
                <w:lang w:val="en-US" w:eastAsia="zh-CN"/>
              </w:rPr>
            </w:pPr>
            <w:r>
              <w:rPr>
                <w:rFonts w:hint="eastAsia" w:ascii="宋体" w:hAnsi="宋体" w:cs="宋体"/>
                <w:sz w:val="24"/>
                <w:szCs w:val="24"/>
                <w:lang w:val="en-US" w:eastAsia="zh-CN"/>
              </w:rPr>
              <w:t>含盖板等配件，其余参考图集</w:t>
            </w:r>
          </w:p>
        </w:tc>
        <w:tc>
          <w:tcPr>
            <w:tcW w:w="962" w:type="dxa"/>
            <w:noWrap w:val="0"/>
            <w:vAlign w:val="center"/>
          </w:tcPr>
          <w:p>
            <w:pPr>
              <w:jc w:val="center"/>
              <w:rPr>
                <w:rFonts w:hint="default" w:ascii="仿宋" w:hAnsi="仿宋" w:eastAsia="仿宋"/>
                <w:sz w:val="30"/>
                <w:szCs w:val="30"/>
                <w:lang w:val="en-US" w:eastAsia="zh-CN"/>
              </w:rPr>
            </w:pPr>
            <w:r>
              <w:rPr>
                <w:rFonts w:hint="eastAsia" w:ascii="宋体" w:hAnsi="宋体" w:cs="宋体"/>
                <w:sz w:val="24"/>
                <w:szCs w:val="24"/>
                <w:lang w:val="en-US" w:eastAsia="zh-CN"/>
              </w:rPr>
              <w:t>个</w:t>
            </w:r>
          </w:p>
        </w:tc>
        <w:tc>
          <w:tcPr>
            <w:tcW w:w="977"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2</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11</w:t>
            </w:r>
          </w:p>
        </w:tc>
        <w:tc>
          <w:tcPr>
            <w:tcW w:w="889"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集水井2</w:t>
            </w:r>
          </w:p>
        </w:tc>
        <w:tc>
          <w:tcPr>
            <w:tcW w:w="4474" w:type="dxa"/>
            <w:noWrap w:val="0"/>
            <w:vAlign w:val="center"/>
          </w:tcPr>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1、采用灰砂砖砌筑，直径100cm，深度3m，</w:t>
            </w:r>
          </w:p>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2、井深2m-4m处内壁无需抹防水砂浆，外围填铺透水细石材料，厚度不少于10cm，井外水渗透至井内。</w:t>
            </w:r>
          </w:p>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3、镀锌钢管爬梯，参考图集</w:t>
            </w:r>
          </w:p>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4、集水井砖砌部位环形10cm厚C15混凝土垫层，井内浇注10cm厚C20混凝土板，避免水流冲刷。</w:t>
            </w:r>
          </w:p>
          <w:p>
            <w:pPr>
              <w:numPr>
                <w:ilvl w:val="0"/>
                <w:numId w:val="0"/>
              </w:num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5、含盖板等配件，其余参考图集</w:t>
            </w:r>
          </w:p>
        </w:tc>
        <w:tc>
          <w:tcPr>
            <w:tcW w:w="962" w:type="dxa"/>
            <w:noWrap w:val="0"/>
            <w:vAlign w:val="center"/>
          </w:tcPr>
          <w:p>
            <w:pPr>
              <w:jc w:val="center"/>
              <w:rPr>
                <w:rFonts w:hint="eastAsia" w:ascii="仿宋" w:hAnsi="仿宋" w:eastAsia="仿宋" w:cs="Times New Roman"/>
                <w:kern w:val="2"/>
                <w:sz w:val="30"/>
                <w:szCs w:val="30"/>
                <w:lang w:val="en-US" w:eastAsia="zh-CN" w:bidi="ar-SA"/>
              </w:rPr>
            </w:pPr>
            <w:r>
              <w:rPr>
                <w:rFonts w:hint="eastAsia" w:ascii="宋体" w:hAnsi="宋体" w:cs="宋体"/>
                <w:sz w:val="24"/>
                <w:szCs w:val="24"/>
                <w:lang w:val="en-US" w:eastAsia="zh-CN"/>
              </w:rPr>
              <w:t>个</w:t>
            </w:r>
          </w:p>
        </w:tc>
        <w:tc>
          <w:tcPr>
            <w:tcW w:w="977" w:type="dxa"/>
            <w:noWrap w:val="0"/>
            <w:vAlign w:val="center"/>
          </w:tcPr>
          <w:p>
            <w:p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2</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12</w:t>
            </w:r>
          </w:p>
        </w:tc>
        <w:tc>
          <w:tcPr>
            <w:tcW w:w="889" w:type="dxa"/>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连通管</w:t>
            </w:r>
          </w:p>
        </w:tc>
        <w:tc>
          <w:tcPr>
            <w:tcW w:w="4474" w:type="dxa"/>
            <w:noWrap w:val="0"/>
            <w:vAlign w:val="center"/>
          </w:tcPr>
          <w:p>
            <w:pPr>
              <w:numPr>
                <w:ilvl w:val="0"/>
                <w:numId w:val="11"/>
              </w:numPr>
              <w:rPr>
                <w:rFonts w:hint="eastAsia" w:ascii="宋体" w:hAnsi="宋体" w:cs="宋体"/>
                <w:sz w:val="24"/>
                <w:szCs w:val="24"/>
                <w:lang w:val="en-US" w:eastAsia="zh-CN"/>
              </w:rPr>
            </w:pPr>
            <w:r>
              <w:rPr>
                <w:rFonts w:hint="eastAsia" w:ascii="宋体" w:hAnsi="宋体" w:cs="宋体"/>
                <w:sz w:val="24"/>
                <w:szCs w:val="24"/>
                <w:lang w:val="en-US" w:eastAsia="zh-CN"/>
              </w:rPr>
              <w:t>排水沟与集水井连通</w:t>
            </w:r>
          </w:p>
          <w:p>
            <w:pPr>
              <w:numPr>
                <w:ilvl w:val="0"/>
                <w:numId w:val="11"/>
              </w:numPr>
              <w:rPr>
                <w:rFonts w:hint="default" w:ascii="宋体" w:hAnsi="宋体" w:cs="宋体"/>
                <w:sz w:val="24"/>
                <w:szCs w:val="24"/>
                <w:lang w:val="en-US" w:eastAsia="zh-CN"/>
              </w:rPr>
            </w:pPr>
            <w:r>
              <w:rPr>
                <w:rFonts w:hint="eastAsia" w:ascii="宋体" w:hAnsi="宋体" w:cs="宋体"/>
                <w:sz w:val="24"/>
                <w:szCs w:val="24"/>
                <w:lang w:val="en-US" w:eastAsia="zh-CN"/>
              </w:rPr>
              <w:t>采用DN200钢带PE管连通</w:t>
            </w:r>
          </w:p>
        </w:tc>
        <w:tc>
          <w:tcPr>
            <w:tcW w:w="962" w:type="dxa"/>
            <w:noWrap w:val="0"/>
            <w:vAlign w:val="center"/>
          </w:tcPr>
          <w:p>
            <w:pPr>
              <w:jc w:val="center"/>
              <w:rPr>
                <w:rFonts w:hint="default" w:ascii="仿宋" w:hAnsi="仿宋" w:eastAsia="仿宋"/>
                <w:sz w:val="30"/>
                <w:szCs w:val="30"/>
                <w:lang w:val="en-US" w:eastAsia="zh-CN"/>
              </w:rPr>
            </w:pPr>
            <w:r>
              <w:rPr>
                <w:rFonts w:hint="eastAsia" w:ascii="仿宋" w:hAnsi="仿宋" w:eastAsia="仿宋"/>
                <w:sz w:val="30"/>
                <w:szCs w:val="30"/>
                <w:lang w:val="en-US" w:eastAsia="zh-CN"/>
              </w:rPr>
              <w:t>m</w:t>
            </w:r>
          </w:p>
        </w:tc>
        <w:tc>
          <w:tcPr>
            <w:tcW w:w="977" w:type="dxa"/>
            <w:noWrap w:val="0"/>
            <w:vAlign w:val="center"/>
          </w:tcPr>
          <w:p>
            <w:pPr>
              <w:rPr>
                <w:rFonts w:hint="default" w:ascii="宋体" w:hAnsi="宋体" w:cs="宋体"/>
                <w:sz w:val="24"/>
                <w:szCs w:val="24"/>
                <w:lang w:val="en-US" w:eastAsia="zh-CN"/>
              </w:rPr>
            </w:pPr>
            <w:r>
              <w:rPr>
                <w:rFonts w:hint="eastAsia" w:ascii="宋体" w:hAnsi="宋体" w:cs="宋体"/>
                <w:sz w:val="24"/>
                <w:szCs w:val="24"/>
                <w:lang w:val="en-US" w:eastAsia="zh-CN"/>
              </w:rPr>
              <w:t>40</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13</w:t>
            </w:r>
          </w:p>
        </w:tc>
        <w:tc>
          <w:tcPr>
            <w:tcW w:w="889"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预埋水位监测管</w:t>
            </w:r>
          </w:p>
        </w:tc>
        <w:tc>
          <w:tcPr>
            <w:tcW w:w="4474" w:type="dxa"/>
            <w:noWrap w:val="0"/>
            <w:vAlign w:val="center"/>
          </w:tcPr>
          <w:p>
            <w:pPr>
              <w:numPr>
                <w:ilvl w:val="0"/>
                <w:numId w:val="12"/>
              </w:numPr>
              <w:rPr>
                <w:rFonts w:hint="eastAsia" w:ascii="宋体" w:hAnsi="宋体" w:cs="宋体"/>
                <w:sz w:val="24"/>
                <w:szCs w:val="24"/>
                <w:lang w:val="en-US" w:eastAsia="zh-CN"/>
              </w:rPr>
            </w:pPr>
            <w:r>
              <w:rPr>
                <w:rFonts w:hint="eastAsia" w:ascii="宋体" w:hAnsi="宋体" w:cs="宋体"/>
                <w:sz w:val="24"/>
                <w:szCs w:val="24"/>
                <w:lang w:val="en-US" w:eastAsia="zh-CN"/>
              </w:rPr>
              <w:t>垂直预埋DN50PE管，管道内无杂物，侧壁均匀布置5mm小孔，管外包裹2层无妨土工布</w:t>
            </w:r>
          </w:p>
          <w:p>
            <w:pPr>
              <w:numPr>
                <w:ilvl w:val="0"/>
                <w:numId w:val="12"/>
              </w:numPr>
              <w:rPr>
                <w:rFonts w:hint="default" w:ascii="宋体" w:hAnsi="宋体" w:cs="宋体"/>
                <w:sz w:val="24"/>
                <w:szCs w:val="24"/>
                <w:lang w:val="en-US" w:eastAsia="zh-CN"/>
              </w:rPr>
            </w:pPr>
            <w:r>
              <w:rPr>
                <w:rFonts w:hint="eastAsia" w:ascii="宋体" w:hAnsi="宋体" w:cs="宋体"/>
                <w:sz w:val="24"/>
                <w:szCs w:val="24"/>
                <w:lang w:val="en-US" w:eastAsia="zh-CN"/>
              </w:rPr>
              <w:t>顶部盖子方便拆装，便于检测地下水位</w:t>
            </w:r>
          </w:p>
          <w:p>
            <w:pPr>
              <w:numPr>
                <w:ilvl w:val="0"/>
                <w:numId w:val="0"/>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3、沿挡土墙外围均匀布置，管底低于排水沟不少于60cm</w:t>
            </w:r>
          </w:p>
        </w:tc>
        <w:tc>
          <w:tcPr>
            <w:tcW w:w="962" w:type="dxa"/>
            <w:noWrap w:val="0"/>
            <w:vAlign w:val="center"/>
          </w:tcPr>
          <w:p>
            <w:pPr>
              <w:jc w:val="center"/>
              <w:rPr>
                <w:rFonts w:hint="eastAsia" w:ascii="仿宋" w:hAnsi="仿宋" w:eastAsia="仿宋" w:cs="Times New Roman"/>
                <w:kern w:val="2"/>
                <w:sz w:val="30"/>
                <w:szCs w:val="30"/>
                <w:lang w:val="en-US" w:eastAsia="zh-CN" w:bidi="ar-SA"/>
              </w:rPr>
            </w:pPr>
            <w:r>
              <w:rPr>
                <w:rFonts w:hint="eastAsia" w:ascii="仿宋" w:hAnsi="仿宋" w:eastAsia="仿宋"/>
                <w:sz w:val="30"/>
                <w:szCs w:val="30"/>
                <w:lang w:val="en-US" w:eastAsia="zh-CN"/>
              </w:rPr>
              <w:t>m</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30</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16"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14</w:t>
            </w:r>
          </w:p>
        </w:tc>
        <w:tc>
          <w:tcPr>
            <w:tcW w:w="889"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土方回填</w:t>
            </w:r>
          </w:p>
        </w:tc>
        <w:tc>
          <w:tcPr>
            <w:tcW w:w="4474" w:type="dxa"/>
            <w:noWrap w:val="0"/>
            <w:vAlign w:val="center"/>
          </w:tcPr>
          <w:p>
            <w:pPr>
              <w:numPr>
                <w:ilvl w:val="0"/>
                <w:numId w:val="13"/>
              </w:numPr>
              <w:rPr>
                <w:rFonts w:hint="eastAsia" w:ascii="宋体" w:hAnsi="宋体" w:cs="宋体"/>
                <w:sz w:val="24"/>
                <w:szCs w:val="24"/>
                <w:lang w:val="en-US" w:eastAsia="zh-CN"/>
              </w:rPr>
            </w:pPr>
            <w:r>
              <w:rPr>
                <w:rFonts w:hint="eastAsia" w:ascii="宋体" w:hAnsi="宋体" w:cs="宋体"/>
                <w:sz w:val="24"/>
                <w:szCs w:val="24"/>
                <w:lang w:val="en-US" w:eastAsia="zh-CN"/>
              </w:rPr>
              <w:t>土方回填至原地面标高，并夯实并浇水，静置</w:t>
            </w:r>
          </w:p>
          <w:p>
            <w:pPr>
              <w:numPr>
                <w:ilvl w:val="0"/>
                <w:numId w:val="13"/>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不得回填淤泥</w:t>
            </w:r>
          </w:p>
        </w:tc>
        <w:tc>
          <w:tcPr>
            <w:tcW w:w="962" w:type="dxa"/>
            <w:noWrap w:val="0"/>
            <w:vAlign w:val="center"/>
          </w:tcPr>
          <w:p>
            <w:pPr>
              <w:jc w:val="center"/>
              <w:rPr>
                <w:rFonts w:hint="default" w:ascii="宋体" w:hAnsi="宋体" w:eastAsia="宋体" w:cs="宋体"/>
                <w:kern w:val="2"/>
                <w:sz w:val="24"/>
                <w:szCs w:val="24"/>
                <w:lang w:val="en-US" w:eastAsia="zh-CN" w:bidi="ar-SA"/>
              </w:rPr>
            </w:pPr>
            <w:r>
              <w:rPr>
                <w:rFonts w:hint="eastAsia" w:ascii="仿宋" w:hAnsi="仿宋" w:eastAsia="仿宋"/>
                <w:sz w:val="30"/>
                <w:szCs w:val="30"/>
                <w:lang w:val="en-US" w:eastAsia="zh-CN"/>
              </w:rPr>
              <w:t>m³</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200</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16"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15</w:t>
            </w:r>
          </w:p>
        </w:tc>
        <w:tc>
          <w:tcPr>
            <w:tcW w:w="889" w:type="dxa"/>
            <w:noWrap w:val="0"/>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水沟盖板</w:t>
            </w:r>
          </w:p>
        </w:tc>
        <w:tc>
          <w:tcPr>
            <w:tcW w:w="4474" w:type="dxa"/>
            <w:noWrap w:val="0"/>
            <w:vAlign w:val="center"/>
          </w:tcPr>
          <w:p>
            <w:pPr>
              <w:numPr>
                <w:ilvl w:val="0"/>
                <w:numId w:val="14"/>
              </w:numPr>
              <w:rPr>
                <w:rFonts w:hint="eastAsia" w:ascii="宋体" w:hAnsi="宋体" w:cs="宋体"/>
                <w:sz w:val="24"/>
                <w:szCs w:val="24"/>
                <w:lang w:val="en-US" w:eastAsia="zh-CN"/>
              </w:rPr>
            </w:pPr>
            <w:r>
              <w:rPr>
                <w:rFonts w:hint="eastAsia" w:ascii="宋体" w:hAnsi="宋体" w:cs="宋体"/>
                <w:sz w:val="24"/>
                <w:szCs w:val="24"/>
                <w:lang w:val="en-US" w:eastAsia="zh-CN"/>
              </w:rPr>
              <w:t>采用热镀锌材质复合盖板，单个尺寸300*600，单个承重200KG不明显变形，不影响正常使用</w:t>
            </w:r>
          </w:p>
          <w:p>
            <w:pPr>
              <w:numPr>
                <w:ilvl w:val="0"/>
                <w:numId w:val="14"/>
              </w:num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盖板两边混凝土需切槽，便于盖板搭接，盖板与混凝土之间填缝</w:t>
            </w:r>
          </w:p>
        </w:tc>
        <w:tc>
          <w:tcPr>
            <w:tcW w:w="962" w:type="dxa"/>
            <w:noWrap w:val="0"/>
            <w:vAlign w:val="center"/>
          </w:tcPr>
          <w:p>
            <w:pPr>
              <w:jc w:val="center"/>
              <w:rPr>
                <w:rFonts w:hint="eastAsia" w:ascii="仿宋" w:hAnsi="仿宋" w:eastAsia="仿宋" w:cs="Times New Roman"/>
                <w:kern w:val="2"/>
                <w:sz w:val="30"/>
                <w:szCs w:val="30"/>
                <w:lang w:val="en-US" w:eastAsia="zh-CN" w:bidi="ar-SA"/>
              </w:rPr>
            </w:pPr>
            <w:r>
              <w:rPr>
                <w:rFonts w:hint="eastAsia" w:ascii="宋体" w:hAnsi="宋体" w:cs="宋体"/>
                <w:sz w:val="24"/>
                <w:szCs w:val="24"/>
                <w:lang w:val="en-US" w:eastAsia="zh-CN"/>
              </w:rPr>
              <w:t>㎡</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33</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16"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16</w:t>
            </w:r>
          </w:p>
        </w:tc>
        <w:tc>
          <w:tcPr>
            <w:tcW w:w="889"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地面恢复</w:t>
            </w:r>
          </w:p>
        </w:tc>
        <w:tc>
          <w:tcPr>
            <w:tcW w:w="4474" w:type="dxa"/>
            <w:noWrap w:val="0"/>
            <w:vAlign w:val="center"/>
          </w:tcPr>
          <w:p>
            <w:pPr>
              <w:numPr>
                <w:ilvl w:val="0"/>
                <w:numId w:val="15"/>
              </w:numPr>
              <w:rPr>
                <w:rFonts w:hint="eastAsia" w:ascii="宋体" w:hAnsi="宋体" w:cs="宋体"/>
                <w:sz w:val="24"/>
                <w:szCs w:val="24"/>
                <w:lang w:val="en-US" w:eastAsia="zh-CN"/>
              </w:rPr>
            </w:pPr>
            <w:r>
              <w:rPr>
                <w:rFonts w:hint="eastAsia" w:ascii="宋体" w:hAnsi="宋体" w:cs="宋体"/>
                <w:sz w:val="24"/>
                <w:szCs w:val="24"/>
                <w:lang w:val="en-US" w:eastAsia="zh-CN"/>
              </w:rPr>
              <w:t>地面平整 夯实</w:t>
            </w:r>
          </w:p>
          <w:p>
            <w:pPr>
              <w:numPr>
                <w:ilvl w:val="0"/>
                <w:numId w:val="15"/>
              </w:numPr>
              <w:rPr>
                <w:rFonts w:hint="default" w:ascii="宋体" w:hAnsi="宋体" w:cs="宋体"/>
                <w:sz w:val="24"/>
                <w:szCs w:val="24"/>
                <w:lang w:val="en-US" w:eastAsia="zh-CN"/>
              </w:rPr>
            </w:pPr>
            <w:r>
              <w:rPr>
                <w:rFonts w:hint="eastAsia" w:ascii="宋体" w:hAnsi="宋体" w:cs="宋体"/>
                <w:sz w:val="24"/>
                <w:szCs w:val="24"/>
                <w:lang w:val="en-US" w:eastAsia="zh-CN"/>
              </w:rPr>
              <w:t>铺8cm后石粉垫层</w:t>
            </w:r>
          </w:p>
          <w:p>
            <w:pPr>
              <w:numPr>
                <w:ilvl w:val="0"/>
                <w:numId w:val="15"/>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10cm厚C25细石混凝土</w:t>
            </w:r>
          </w:p>
        </w:tc>
        <w:tc>
          <w:tcPr>
            <w:tcW w:w="962" w:type="dxa"/>
            <w:noWrap w:val="0"/>
            <w:vAlign w:val="center"/>
          </w:tcPr>
          <w:p>
            <w:pPr>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140</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16"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17</w:t>
            </w:r>
          </w:p>
        </w:tc>
        <w:tc>
          <w:tcPr>
            <w:tcW w:w="889" w:type="dxa"/>
            <w:noWrap w:val="0"/>
            <w:vAlign w:val="center"/>
          </w:tcPr>
          <w:p>
            <w:pPr>
              <w:jc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潜水泵安装</w:t>
            </w:r>
          </w:p>
        </w:tc>
        <w:tc>
          <w:tcPr>
            <w:tcW w:w="4474" w:type="dxa"/>
            <w:noWrap w:val="0"/>
            <w:vAlign w:val="center"/>
          </w:tcPr>
          <w:p>
            <w:pPr>
              <w:numPr>
                <w:ilvl w:val="0"/>
                <w:numId w:val="16"/>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水泵，功率1.5kW，扬程10m，25m³/h，330V，电缆视情况延长</w:t>
            </w:r>
          </w:p>
          <w:p>
            <w:pPr>
              <w:numPr>
                <w:ilvl w:val="0"/>
                <w:numId w:val="16"/>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配4m长软管、吊起绳子</w:t>
            </w:r>
          </w:p>
        </w:tc>
        <w:tc>
          <w:tcPr>
            <w:tcW w:w="962" w:type="dxa"/>
            <w:noWrap w:val="0"/>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套</w:t>
            </w:r>
          </w:p>
        </w:tc>
        <w:tc>
          <w:tcPr>
            <w:tcW w:w="977" w:type="dxa"/>
            <w:noWrap w:val="0"/>
            <w:vAlign w:val="center"/>
          </w:tcPr>
          <w:p>
            <w:p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2</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16" w:type="dxa"/>
            <w:noWrap w:val="0"/>
            <w:vAlign w:val="center"/>
          </w:tcPr>
          <w:p>
            <w:pPr>
              <w:widowControl/>
              <w:spacing w:line="0" w:lineRule="atLeast"/>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18</w:t>
            </w:r>
          </w:p>
        </w:tc>
        <w:tc>
          <w:tcPr>
            <w:tcW w:w="889" w:type="dxa"/>
            <w:noWrap w:val="0"/>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潜水水位控制器</w:t>
            </w:r>
          </w:p>
        </w:tc>
        <w:tc>
          <w:tcPr>
            <w:tcW w:w="4474" w:type="dxa"/>
            <w:noWrap w:val="0"/>
            <w:vAlign w:val="center"/>
          </w:tcPr>
          <w:p>
            <w:pPr>
              <w:numPr>
                <w:ilvl w:val="0"/>
                <w:numId w:val="0"/>
              </w:numPr>
              <w:ind w:left="0" w:leftChars="0" w:firstLine="0" w:firstLineChars="0"/>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1、参考电气图纸，材料选用施耐德、西门子等品牌</w:t>
            </w:r>
          </w:p>
        </w:tc>
        <w:tc>
          <w:tcPr>
            <w:tcW w:w="962" w:type="dxa"/>
            <w:noWrap w:val="0"/>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套</w:t>
            </w:r>
          </w:p>
        </w:tc>
        <w:tc>
          <w:tcPr>
            <w:tcW w:w="977" w:type="dxa"/>
            <w:noWrap w:val="0"/>
            <w:vAlign w:val="center"/>
          </w:tcPr>
          <w:p>
            <w:pP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2</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16" w:type="dxa"/>
            <w:noWrap w:val="0"/>
            <w:vAlign w:val="center"/>
          </w:tcPr>
          <w:p>
            <w:pPr>
              <w:widowControl/>
              <w:tabs>
                <w:tab w:val="left" w:pos="275"/>
              </w:tabs>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19</w:t>
            </w:r>
          </w:p>
        </w:tc>
        <w:tc>
          <w:tcPr>
            <w:tcW w:w="889" w:type="dxa"/>
            <w:noWrap w:val="0"/>
            <w:vAlign w:val="center"/>
          </w:tcPr>
          <w:p>
            <w:pPr>
              <w:spacing w:line="240" w:lineRule="atLeast"/>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镀锌钢管安装</w:t>
            </w:r>
          </w:p>
        </w:tc>
        <w:tc>
          <w:tcPr>
            <w:tcW w:w="4474" w:type="dxa"/>
            <w:noWrap w:val="0"/>
            <w:vAlign w:val="center"/>
          </w:tcPr>
          <w:p>
            <w:pPr>
              <w:numPr>
                <w:ilvl w:val="0"/>
                <w:numId w:val="0"/>
              </w:numPr>
              <w:rPr>
                <w:rFonts w:hint="default" w:ascii="宋体" w:hAnsi="宋体" w:cs="宋体"/>
                <w:sz w:val="24"/>
                <w:szCs w:val="24"/>
                <w:lang w:val="en-US" w:eastAsia="zh-CN"/>
              </w:rPr>
            </w:pPr>
            <w:r>
              <w:rPr>
                <w:rFonts w:hint="eastAsia" w:ascii="宋体" w:hAnsi="宋体" w:cs="宋体"/>
                <w:sz w:val="24"/>
                <w:szCs w:val="24"/>
                <w:lang w:val="en-US" w:eastAsia="zh-CN"/>
              </w:rPr>
              <w:t>1、热镀锌钢管，内径50mm，壁厚不少于3.8mm</w:t>
            </w:r>
          </w:p>
          <w:p>
            <w:pPr>
              <w:numPr>
                <w:ilvl w:val="0"/>
                <w:numId w:val="0"/>
              </w:numPr>
              <w:ind w:left="0" w:leftChars="0" w:firstLine="0" w:firstLineChars="0"/>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2、上端接水泵，下端接入末端排水明沟，含弯头，包安装</w:t>
            </w:r>
          </w:p>
        </w:tc>
        <w:tc>
          <w:tcPr>
            <w:tcW w:w="962" w:type="dxa"/>
            <w:noWrap w:val="0"/>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m</w:t>
            </w:r>
          </w:p>
        </w:tc>
        <w:tc>
          <w:tcPr>
            <w:tcW w:w="977" w:type="dxa"/>
            <w:noWrap w:val="0"/>
            <w:vAlign w:val="center"/>
          </w:tcPr>
          <w:p>
            <w:pP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16</w:t>
            </w:r>
          </w:p>
        </w:tc>
        <w:tc>
          <w:tcPr>
            <w:tcW w:w="977" w:type="dxa"/>
            <w:noWrap w:val="0"/>
            <w:vAlign w:val="center"/>
          </w:tcPr>
          <w:p>
            <w:pPr>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20</w:t>
            </w:r>
          </w:p>
        </w:tc>
        <w:tc>
          <w:tcPr>
            <w:tcW w:w="889" w:type="dxa"/>
            <w:noWrap w:val="0"/>
            <w:vAlign w:val="center"/>
          </w:tcPr>
          <w:p>
            <w:pPr>
              <w:spacing w:line="240" w:lineRule="atLeast"/>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排水沟恢复</w:t>
            </w:r>
          </w:p>
        </w:tc>
        <w:tc>
          <w:tcPr>
            <w:tcW w:w="4474" w:type="dxa"/>
            <w:noWrap w:val="0"/>
            <w:vAlign w:val="center"/>
          </w:tcPr>
          <w:p>
            <w:pPr>
              <w:numPr>
                <w:ilvl w:val="0"/>
                <w:numId w:val="17"/>
              </w:numPr>
              <w:rPr>
                <w:rFonts w:hint="eastAsia" w:ascii="宋体" w:hAnsi="宋体" w:cs="宋体"/>
                <w:sz w:val="24"/>
                <w:szCs w:val="24"/>
                <w:lang w:val="en-US" w:eastAsia="zh-CN"/>
              </w:rPr>
            </w:pPr>
            <w:r>
              <w:rPr>
                <w:rFonts w:hint="eastAsia" w:ascii="宋体" w:hAnsi="宋体" w:cs="宋体"/>
                <w:sz w:val="24"/>
                <w:szCs w:val="24"/>
                <w:lang w:val="en-US" w:eastAsia="zh-CN"/>
              </w:rPr>
              <w:t>5cm厚C15混凝土垫层、</w:t>
            </w:r>
          </w:p>
          <w:p>
            <w:pPr>
              <w:numPr>
                <w:ilvl w:val="0"/>
                <w:numId w:val="17"/>
              </w:numPr>
              <w:rPr>
                <w:rFonts w:hint="eastAsia" w:ascii="宋体" w:hAnsi="宋体" w:cs="宋体"/>
                <w:sz w:val="24"/>
                <w:szCs w:val="24"/>
                <w:lang w:val="en-US" w:eastAsia="zh-CN"/>
              </w:rPr>
            </w:pPr>
            <w:r>
              <w:rPr>
                <w:rFonts w:hint="eastAsia" w:ascii="宋体" w:hAnsi="宋体" w:cs="宋体"/>
                <w:sz w:val="24"/>
                <w:szCs w:val="24"/>
                <w:lang w:val="en-US" w:eastAsia="zh-CN"/>
              </w:rPr>
              <w:t>采用灰砂砖砌筑，尺寸30cm宽*20cm深，两侧底部表面抹灰</w:t>
            </w:r>
          </w:p>
          <w:p>
            <w:pPr>
              <w:numPr>
                <w:ilvl w:val="0"/>
                <w:numId w:val="17"/>
              </w:numP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无不均匀沉降、开裂</w:t>
            </w:r>
          </w:p>
        </w:tc>
        <w:tc>
          <w:tcPr>
            <w:tcW w:w="962" w:type="dxa"/>
            <w:noWrap w:val="0"/>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m</w:t>
            </w:r>
          </w:p>
        </w:tc>
        <w:tc>
          <w:tcPr>
            <w:tcW w:w="977" w:type="dxa"/>
            <w:noWrap w:val="0"/>
            <w:vAlign w:val="center"/>
          </w:tcPr>
          <w:p>
            <w:pP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25</w:t>
            </w:r>
          </w:p>
        </w:tc>
        <w:tc>
          <w:tcPr>
            <w:tcW w:w="977" w:type="dxa"/>
            <w:noWrap w:val="0"/>
            <w:vAlign w:val="center"/>
          </w:tcPr>
          <w:p>
            <w:pP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516" w:type="dxa"/>
            <w:noWrap w:val="0"/>
            <w:vAlign w:val="center"/>
          </w:tcPr>
          <w:p>
            <w:pPr>
              <w:widowControl/>
              <w:tabs>
                <w:tab w:val="left" w:pos="275"/>
              </w:tabs>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21</w:t>
            </w:r>
          </w:p>
        </w:tc>
        <w:tc>
          <w:tcPr>
            <w:tcW w:w="889" w:type="dxa"/>
            <w:noWrap w:val="0"/>
            <w:vAlign w:val="center"/>
          </w:tcPr>
          <w:p>
            <w:pPr>
              <w:widowControl/>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配电箱</w:t>
            </w:r>
          </w:p>
        </w:tc>
        <w:tc>
          <w:tcPr>
            <w:tcW w:w="4474" w:type="dxa"/>
            <w:noWrap w:val="0"/>
            <w:vAlign w:val="center"/>
          </w:tcPr>
          <w:p>
            <w:pPr>
              <w:widowControl/>
              <w:numPr>
                <w:ilvl w:val="0"/>
                <w:numId w:val="18"/>
              </w:numPr>
              <w:spacing w:line="0" w:lineRule="atLeast"/>
              <w:jc w:val="left"/>
              <w:rPr>
                <w:rFonts w:hint="eastAsia" w:ascii="宋体" w:hAnsi="宋体" w:cs="宋体"/>
                <w:color w:val="000000"/>
                <w:kern w:val="0"/>
                <w:sz w:val="24"/>
                <w:szCs w:val="24"/>
              </w:rPr>
            </w:pPr>
            <w:r>
              <w:rPr>
                <w:rFonts w:hint="eastAsia" w:ascii="宋体" w:hAnsi="宋体" w:cs="宋体"/>
                <w:color w:val="000000"/>
                <w:kern w:val="0"/>
                <w:sz w:val="24"/>
                <w:szCs w:val="24"/>
              </w:rPr>
              <w:t>配电箱防护等级</w:t>
            </w:r>
            <w:r>
              <w:rPr>
                <w:rFonts w:ascii="微软雅黑" w:hAnsi="微软雅黑" w:eastAsia="微软雅黑" w:cs="微软雅黑"/>
                <w:color w:val="000000"/>
                <w:sz w:val="24"/>
                <w:szCs w:val="24"/>
                <w:shd w:val="clear" w:color="auto" w:fill="FFFFFF"/>
              </w:rPr>
              <w:t>IP67</w:t>
            </w:r>
            <w:r>
              <w:rPr>
                <w:rFonts w:hint="eastAsia" w:ascii="宋体" w:hAnsi="宋体" w:cs="宋体"/>
                <w:color w:val="000000"/>
                <w:kern w:val="0"/>
                <w:sz w:val="24"/>
                <w:szCs w:val="24"/>
              </w:rPr>
              <w:t>，明装</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回路，箱内配置2P20A带漏电保护开关(30mA)</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个、</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P10A开关</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个</w:t>
            </w:r>
          </w:p>
          <w:p>
            <w:pPr>
              <w:widowControl/>
              <w:numPr>
                <w:ilvl w:val="0"/>
                <w:numId w:val="18"/>
              </w:numPr>
              <w:spacing w:line="0" w:lineRule="atLeast"/>
              <w:jc w:val="left"/>
              <w:rPr>
                <w:rFonts w:hint="eastAsia" w:ascii="宋体" w:hAnsi="宋体" w:cs="宋体"/>
                <w:color w:val="000000"/>
                <w:kern w:val="0"/>
                <w:sz w:val="24"/>
                <w:szCs w:val="24"/>
                <w:lang w:bidi="ar"/>
              </w:rPr>
            </w:pPr>
            <w:r>
              <w:rPr>
                <w:rFonts w:hint="eastAsia" w:ascii="宋体" w:hAnsi="宋体" w:cs="宋体"/>
                <w:color w:val="000000"/>
                <w:kern w:val="0"/>
                <w:sz w:val="24"/>
                <w:szCs w:val="24"/>
              </w:rPr>
              <w:t>施耐德等同等质量品牌</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内置一套电表</w:t>
            </w:r>
          </w:p>
          <w:p>
            <w:pPr>
              <w:widowControl/>
              <w:numPr>
                <w:ilvl w:val="0"/>
                <w:numId w:val="18"/>
              </w:numPr>
              <w:spacing w:line="0" w:lineRule="atLeast"/>
              <w:jc w:val="left"/>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rPr>
              <w:t>安装在电房内，就近接电</w:t>
            </w:r>
          </w:p>
          <w:p>
            <w:pPr>
              <w:widowControl/>
              <w:numPr>
                <w:ilvl w:val="0"/>
                <w:numId w:val="18"/>
              </w:numPr>
              <w:spacing w:line="0" w:lineRule="atLeast"/>
              <w:jc w:val="left"/>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箱内贴标识牌</w:t>
            </w:r>
          </w:p>
        </w:tc>
        <w:tc>
          <w:tcPr>
            <w:tcW w:w="962" w:type="dxa"/>
            <w:noWrap w:val="0"/>
            <w:vAlign w:val="center"/>
          </w:tcPr>
          <w:p>
            <w:pPr>
              <w:widowControl/>
              <w:jc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rPr>
              <w:t>套</w:t>
            </w:r>
          </w:p>
        </w:tc>
        <w:tc>
          <w:tcPr>
            <w:tcW w:w="977" w:type="dxa"/>
            <w:noWrap w:val="0"/>
            <w:vAlign w:val="center"/>
          </w:tcPr>
          <w:p>
            <w:pPr>
              <w:widowControl/>
              <w:jc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rPr>
              <w:t>1</w:t>
            </w:r>
          </w:p>
        </w:tc>
        <w:tc>
          <w:tcPr>
            <w:tcW w:w="977" w:type="dxa"/>
            <w:noWrap w:val="0"/>
            <w:vAlign w:val="center"/>
          </w:tcPr>
          <w:p>
            <w:pP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22</w:t>
            </w:r>
          </w:p>
        </w:tc>
        <w:tc>
          <w:tcPr>
            <w:tcW w:w="889" w:type="dxa"/>
            <w:noWrap w:val="0"/>
            <w:vAlign w:val="center"/>
          </w:tcPr>
          <w:p>
            <w:pPr>
              <w:widowControl/>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电缆</w:t>
            </w:r>
          </w:p>
        </w:tc>
        <w:tc>
          <w:tcPr>
            <w:tcW w:w="4474" w:type="dxa"/>
            <w:noWrap w:val="0"/>
            <w:vAlign w:val="center"/>
          </w:tcPr>
          <w:p>
            <w:pPr>
              <w:widowControl/>
              <w:numPr>
                <w:ilvl w:val="0"/>
                <w:numId w:val="0"/>
              </w:numPr>
              <w:spacing w:line="0" w:lineRule="atLeast"/>
              <w:ind w:left="0" w:leftChars="0" w:firstLine="0" w:firstLineChars="0"/>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w:t>
            </w:r>
            <w:r>
              <w:rPr>
                <w:rFonts w:hint="eastAsia" w:ascii="宋体" w:hAnsi="宋体" w:cs="宋体"/>
                <w:color w:val="000000"/>
                <w:kern w:val="0"/>
                <w:sz w:val="24"/>
                <w:szCs w:val="24"/>
                <w:lang w:bidi="ar"/>
              </w:rPr>
              <w:t>电线采用ZR－BV-</w:t>
            </w:r>
            <w:r>
              <w:rPr>
                <w:rFonts w:hint="eastAsia" w:ascii="宋体" w:hAnsi="宋体" w:cs="宋体"/>
                <w:color w:val="000000"/>
                <w:kern w:val="0"/>
                <w:sz w:val="24"/>
                <w:szCs w:val="24"/>
                <w:lang w:val="en-US" w:eastAsia="zh-CN" w:bidi="ar"/>
              </w:rPr>
              <w:t>4</w:t>
            </w:r>
            <w:r>
              <w:rPr>
                <w:rFonts w:hint="eastAsia" w:ascii="宋体" w:hAnsi="宋体" w:cs="宋体"/>
                <w:color w:val="000000"/>
                <w:kern w:val="0"/>
                <w:sz w:val="24"/>
                <w:szCs w:val="24"/>
                <w:lang w:bidi="ar"/>
              </w:rPr>
              <w:t>单芯铜线，珠江等同等质量品牌</w:t>
            </w:r>
          </w:p>
        </w:tc>
        <w:tc>
          <w:tcPr>
            <w:tcW w:w="962" w:type="dxa"/>
            <w:noWrap w:val="0"/>
            <w:vAlign w:val="center"/>
          </w:tcPr>
          <w:p>
            <w:pPr>
              <w:widowControl/>
              <w:spacing w:line="0" w:lineRule="atLeast"/>
              <w:jc w:val="center"/>
              <w:textAlignment w:val="center"/>
              <w:rPr>
                <w:rFonts w:hint="eastAsia"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m</w:t>
            </w:r>
          </w:p>
        </w:tc>
        <w:tc>
          <w:tcPr>
            <w:tcW w:w="977" w:type="dxa"/>
            <w:noWrap w:val="0"/>
            <w:vAlign w:val="center"/>
          </w:tcPr>
          <w:p>
            <w:pPr>
              <w:widowControl/>
              <w:spacing w:line="0" w:lineRule="atLeast"/>
              <w:jc w:val="center"/>
              <w:textAlignment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160</w:t>
            </w:r>
          </w:p>
        </w:tc>
        <w:tc>
          <w:tcPr>
            <w:tcW w:w="977" w:type="dxa"/>
            <w:noWrap w:val="0"/>
            <w:vAlign w:val="center"/>
          </w:tcPr>
          <w:p>
            <w:pPr>
              <w:widowControl/>
              <w:jc w:val="center"/>
              <w:rPr>
                <w:rFonts w:hint="eastAsia"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23</w:t>
            </w:r>
          </w:p>
        </w:tc>
        <w:tc>
          <w:tcPr>
            <w:tcW w:w="889" w:type="dxa"/>
            <w:noWrap w:val="0"/>
            <w:vAlign w:val="center"/>
          </w:tcPr>
          <w:p>
            <w:pPr>
              <w:widowControl/>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电缆套管</w:t>
            </w:r>
          </w:p>
        </w:tc>
        <w:tc>
          <w:tcPr>
            <w:tcW w:w="4474" w:type="dxa"/>
            <w:noWrap w:val="0"/>
            <w:vAlign w:val="center"/>
          </w:tcPr>
          <w:p>
            <w:pPr>
              <w:widowControl/>
              <w:numPr>
                <w:ilvl w:val="0"/>
                <w:numId w:val="19"/>
              </w:numPr>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电缆采用DN20PVC套管保护，沿墙面敷设，联塑等同等质量品牌</w:t>
            </w:r>
            <w:r>
              <w:rPr>
                <w:rFonts w:hint="eastAsia" w:ascii="宋体" w:hAnsi="宋体" w:cs="宋体"/>
                <w:color w:val="000000"/>
                <w:kern w:val="0"/>
                <w:sz w:val="24"/>
                <w:szCs w:val="24"/>
                <w:lang w:eastAsia="zh-CN" w:bidi="ar"/>
              </w:rPr>
              <w:t>；</w:t>
            </w:r>
          </w:p>
        </w:tc>
        <w:tc>
          <w:tcPr>
            <w:tcW w:w="962" w:type="dxa"/>
            <w:noWrap w:val="0"/>
            <w:vAlign w:val="center"/>
          </w:tcPr>
          <w:p>
            <w:pPr>
              <w:widowControl/>
              <w:spacing w:line="0" w:lineRule="atLeast"/>
              <w:jc w:val="center"/>
              <w:textAlignment w:val="center"/>
              <w:rPr>
                <w:rFonts w:hint="eastAsia"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m</w:t>
            </w:r>
          </w:p>
        </w:tc>
        <w:tc>
          <w:tcPr>
            <w:tcW w:w="977" w:type="dxa"/>
            <w:noWrap w:val="0"/>
            <w:vAlign w:val="center"/>
          </w:tcPr>
          <w:p>
            <w:pPr>
              <w:widowControl/>
              <w:spacing w:line="0" w:lineRule="atLeast"/>
              <w:jc w:val="center"/>
              <w:textAlignment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40</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24</w:t>
            </w:r>
          </w:p>
        </w:tc>
        <w:tc>
          <w:tcPr>
            <w:tcW w:w="889" w:type="dxa"/>
            <w:noWrap w:val="0"/>
            <w:vAlign w:val="center"/>
          </w:tcPr>
          <w:p>
            <w:pPr>
              <w:widowControl/>
              <w:spacing w:line="0" w:lineRule="atLeast"/>
              <w:jc w:val="left"/>
              <w:textAlignment w:val="center"/>
              <w:rPr>
                <w:rFonts w:hint="default" w:ascii="仿宋" w:hAnsi="仿宋" w:eastAsia="仿宋" w:cs="Times New Roman"/>
                <w:color w:val="000000"/>
                <w:kern w:val="2"/>
                <w:sz w:val="30"/>
                <w:szCs w:val="30"/>
                <w:lang w:val="en-US" w:eastAsia="zh-CN" w:bidi="ar-SA"/>
              </w:rPr>
            </w:pPr>
            <w:r>
              <w:rPr>
                <w:rFonts w:hint="eastAsia" w:ascii="宋体" w:hAnsi="宋体" w:cs="宋体"/>
                <w:color w:val="000000"/>
                <w:kern w:val="0"/>
                <w:sz w:val="24"/>
                <w:szCs w:val="24"/>
                <w:lang w:val="en-US" w:eastAsia="zh-CN" w:bidi="ar"/>
              </w:rPr>
              <w:t>防水开关（带插座）</w:t>
            </w:r>
          </w:p>
        </w:tc>
        <w:tc>
          <w:tcPr>
            <w:tcW w:w="4474" w:type="dxa"/>
            <w:noWrap w:val="0"/>
            <w:vAlign w:val="center"/>
          </w:tcPr>
          <w:p>
            <w:pPr>
              <w:keepNext w:val="0"/>
              <w:keepLines w:val="0"/>
              <w:widowControl/>
              <w:numPr>
                <w:ilvl w:val="0"/>
                <w:numId w:val="20"/>
              </w:numPr>
              <w:suppressLineNumbers w:val="0"/>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规格</w:t>
            </w:r>
            <w:r>
              <w:rPr>
                <w:rFonts w:hint="eastAsia" w:ascii="宋体" w:hAnsi="宋体" w:cs="宋体"/>
                <w:color w:val="000000"/>
                <w:kern w:val="0"/>
                <w:sz w:val="24"/>
                <w:szCs w:val="24"/>
                <w:lang w:val="en-US" w:eastAsia="zh-CN" w:bidi="ar"/>
              </w:rPr>
              <w:t>16</w:t>
            </w:r>
            <w:r>
              <w:rPr>
                <w:rFonts w:hint="eastAsia" w:ascii="宋体" w:hAnsi="宋体" w:cs="宋体"/>
                <w:color w:val="000000"/>
                <w:kern w:val="0"/>
                <w:sz w:val="24"/>
                <w:szCs w:val="24"/>
                <w:lang w:bidi="ar"/>
              </w:rPr>
              <w:t>A，AC</w:t>
            </w:r>
            <w:r>
              <w:rPr>
                <w:rFonts w:hint="eastAsia" w:ascii="宋体" w:hAnsi="宋体" w:cs="宋体"/>
                <w:color w:val="000000"/>
                <w:kern w:val="0"/>
                <w:sz w:val="24"/>
                <w:szCs w:val="24"/>
                <w:lang w:val="en-US" w:eastAsia="zh-CN" w:bidi="ar"/>
              </w:rPr>
              <w:t>25</w:t>
            </w:r>
            <w:r>
              <w:rPr>
                <w:rFonts w:hint="eastAsia" w:ascii="宋体" w:hAnsi="宋体" w:cs="宋体"/>
                <w:color w:val="000000"/>
                <w:kern w:val="0"/>
                <w:sz w:val="24"/>
                <w:szCs w:val="24"/>
                <w:lang w:bidi="ar"/>
              </w:rPr>
              <w:t>0V，</w:t>
            </w:r>
            <w:r>
              <w:rPr>
                <w:rFonts w:hint="eastAsia" w:ascii="宋体" w:hAnsi="宋体" w:cs="宋体"/>
                <w:color w:val="000000"/>
                <w:kern w:val="0"/>
                <w:sz w:val="24"/>
                <w:szCs w:val="24"/>
                <w:lang w:val="en-US" w:eastAsia="zh-CN" w:bidi="ar"/>
              </w:rPr>
              <w:t>带三孔插座，</w:t>
            </w:r>
            <w:r>
              <w:rPr>
                <w:rFonts w:hint="eastAsia" w:ascii="宋体" w:hAnsi="宋体" w:cs="宋体"/>
                <w:color w:val="000000"/>
                <w:kern w:val="0"/>
                <w:sz w:val="24"/>
                <w:szCs w:val="24"/>
                <w:lang w:bidi="ar"/>
              </w:rPr>
              <w:t>施耐德等同等质量品牌</w:t>
            </w:r>
          </w:p>
          <w:p>
            <w:pPr>
              <w:keepNext w:val="0"/>
              <w:keepLines w:val="0"/>
              <w:widowControl/>
              <w:numPr>
                <w:ilvl w:val="0"/>
                <w:numId w:val="20"/>
              </w:numPr>
              <w:suppressLineNumbers w:val="0"/>
              <w:jc w:val="left"/>
              <w:textAlignment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贴标识牌</w:t>
            </w:r>
          </w:p>
        </w:tc>
        <w:tc>
          <w:tcPr>
            <w:tcW w:w="962"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firstLine="0" w:firstLineChars="0"/>
              <w:jc w:val="center"/>
              <w:textAlignment w:val="auto"/>
              <w:rPr>
                <w:rFonts w:hint="eastAsia" w:ascii="Calibri" w:hAnsi="Calibri" w:eastAsia="宋体" w:cs="Times New Roman"/>
                <w:kern w:val="2"/>
                <w:sz w:val="21"/>
                <w:szCs w:val="22"/>
                <w:lang w:val="en-US" w:eastAsia="zh-CN" w:bidi="ar-SA"/>
              </w:rPr>
            </w:pPr>
            <w:r>
              <w:rPr>
                <w:rFonts w:hint="eastAsia"/>
                <w:lang w:val="en-US" w:eastAsia="zh-CN"/>
              </w:rPr>
              <w:t>个</w:t>
            </w:r>
          </w:p>
        </w:tc>
        <w:tc>
          <w:tcPr>
            <w:tcW w:w="977" w:type="dxa"/>
            <w:noWrap w:val="0"/>
            <w:vAlign w:val="center"/>
          </w:tcPr>
          <w:p>
            <w:pPr>
              <w:widowControl/>
              <w:spacing w:line="0" w:lineRule="atLeast"/>
              <w:jc w:val="center"/>
              <w:textAlignment w:val="center"/>
              <w:rPr>
                <w:rFonts w:hint="default"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4</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25</w:t>
            </w:r>
          </w:p>
        </w:tc>
        <w:tc>
          <w:tcPr>
            <w:tcW w:w="889" w:type="dxa"/>
            <w:noWrap w:val="0"/>
            <w:vAlign w:val="center"/>
          </w:tcPr>
          <w:p>
            <w:pPr>
              <w:widowControl/>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插座防水箱</w:t>
            </w:r>
          </w:p>
        </w:tc>
        <w:tc>
          <w:tcPr>
            <w:tcW w:w="4474" w:type="dxa"/>
            <w:noWrap w:val="0"/>
            <w:vAlign w:val="center"/>
          </w:tcPr>
          <w:p>
            <w:pPr>
              <w:widowControl/>
              <w:numPr>
                <w:ilvl w:val="0"/>
                <w:numId w:val="21"/>
              </w:numPr>
              <w:spacing w:line="0" w:lineRule="atLeast"/>
              <w:jc w:val="left"/>
              <w:textAlignment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采用不锈钢或铝材制作，安装于室外，内置防水开关</w:t>
            </w:r>
          </w:p>
          <w:p>
            <w:pPr>
              <w:widowControl/>
              <w:numPr>
                <w:ilvl w:val="0"/>
                <w:numId w:val="21"/>
              </w:numPr>
              <w:spacing w:line="0" w:lineRule="atLeast"/>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配备钥匙，方便开启</w:t>
            </w:r>
          </w:p>
        </w:tc>
        <w:tc>
          <w:tcPr>
            <w:tcW w:w="962"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firstLine="0" w:firstLineChars="0"/>
              <w:jc w:val="center"/>
              <w:textAlignment w:val="auto"/>
              <w:rPr>
                <w:rFonts w:hint="eastAsia" w:ascii="Calibri" w:hAnsi="Calibri" w:eastAsia="宋体" w:cs="Times New Roman"/>
                <w:kern w:val="2"/>
                <w:sz w:val="21"/>
                <w:szCs w:val="22"/>
                <w:lang w:val="en-US" w:eastAsia="zh-CN" w:bidi="ar-SA"/>
              </w:rPr>
            </w:pPr>
            <w:r>
              <w:rPr>
                <w:rFonts w:hint="eastAsia"/>
                <w:lang w:val="en-US" w:eastAsia="zh-CN"/>
              </w:rPr>
              <w:t>个</w:t>
            </w:r>
          </w:p>
        </w:tc>
        <w:tc>
          <w:tcPr>
            <w:tcW w:w="977" w:type="dxa"/>
            <w:noWrap w:val="0"/>
            <w:vAlign w:val="center"/>
          </w:tcPr>
          <w:p>
            <w:pPr>
              <w:widowControl/>
              <w:spacing w:line="0" w:lineRule="atLeast"/>
              <w:jc w:val="center"/>
              <w:textAlignment w:val="center"/>
              <w:rPr>
                <w:rFonts w:hint="eastAsia" w:ascii="Calibri" w:hAnsi="Calibri" w:eastAsia="宋体" w:cs="Times New Roman"/>
                <w:kern w:val="2"/>
                <w:sz w:val="21"/>
                <w:szCs w:val="22"/>
                <w:lang w:val="en-US" w:eastAsia="zh-CN" w:bidi="ar-SA"/>
              </w:rPr>
            </w:pPr>
            <w:r>
              <w:rPr>
                <w:rFonts w:hint="eastAsia" w:ascii="宋体" w:hAnsi="宋体" w:cs="宋体"/>
                <w:color w:val="000000"/>
                <w:kern w:val="0"/>
                <w:sz w:val="24"/>
                <w:szCs w:val="24"/>
                <w:lang w:val="en-US" w:eastAsia="zh-CN" w:bidi="ar"/>
              </w:rPr>
              <w:t>1</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16" w:type="dxa"/>
            <w:noWrap w:val="0"/>
            <w:vAlign w:val="center"/>
          </w:tcPr>
          <w:p>
            <w:pPr>
              <w:widowControl/>
              <w:tabs>
                <w:tab w:val="left" w:pos="275"/>
              </w:tabs>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26</w:t>
            </w:r>
          </w:p>
        </w:tc>
        <w:tc>
          <w:tcPr>
            <w:tcW w:w="889" w:type="dxa"/>
            <w:noWrap w:val="0"/>
            <w:vAlign w:val="center"/>
          </w:tcPr>
          <w:p>
            <w:pPr>
              <w:widowControl/>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接缝处修补</w:t>
            </w:r>
          </w:p>
        </w:tc>
        <w:tc>
          <w:tcPr>
            <w:tcW w:w="4474" w:type="dxa"/>
            <w:noWrap w:val="0"/>
            <w:vAlign w:val="center"/>
          </w:tcPr>
          <w:p>
            <w:pPr>
              <w:widowControl/>
              <w:numPr>
                <w:ilvl w:val="0"/>
                <w:numId w:val="22"/>
              </w:numPr>
              <w:spacing w:line="0" w:lineRule="atLeast"/>
              <w:jc w:val="left"/>
              <w:textAlignment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清理接缝杂物，</w:t>
            </w:r>
          </w:p>
          <w:p>
            <w:pPr>
              <w:widowControl/>
              <w:numPr>
                <w:ilvl w:val="0"/>
                <w:numId w:val="22"/>
              </w:numPr>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接缝处堵漏王填缝</w:t>
            </w:r>
          </w:p>
          <w:p>
            <w:pPr>
              <w:widowControl/>
              <w:numPr>
                <w:ilvl w:val="0"/>
                <w:numId w:val="22"/>
              </w:numPr>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涂耐聚合物防水涂料（缝上下100mm）</w:t>
            </w:r>
          </w:p>
        </w:tc>
        <w:tc>
          <w:tcPr>
            <w:tcW w:w="962"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0" w:lineRule="atLeast"/>
              <w:ind w:left="0" w:leftChars="0" w:firstLine="0" w:firstLineChars="0"/>
              <w:jc w:val="center"/>
              <w:textAlignment w:val="auto"/>
              <w:rPr>
                <w:rFonts w:hint="eastAsia" w:ascii="Calibri" w:hAnsi="Calibri" w:eastAsia="宋体" w:cs="Times New Roman"/>
                <w:kern w:val="2"/>
                <w:sz w:val="21"/>
                <w:szCs w:val="22"/>
                <w:lang w:val="en-US" w:eastAsia="zh-CN" w:bidi="ar-SA"/>
              </w:rPr>
            </w:pPr>
            <w:r>
              <w:rPr>
                <w:rFonts w:hint="eastAsia"/>
                <w:lang w:val="en-US" w:eastAsia="zh-CN"/>
              </w:rPr>
              <w:t>m</w:t>
            </w:r>
          </w:p>
        </w:tc>
        <w:tc>
          <w:tcPr>
            <w:tcW w:w="977"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55</w:t>
            </w:r>
          </w:p>
        </w:tc>
        <w:tc>
          <w:tcPr>
            <w:tcW w:w="977"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p>
        </w:tc>
      </w:tr>
    </w:tbl>
    <w:p>
      <w:pPr>
        <w:numPr>
          <w:ilvl w:val="0"/>
          <w:numId w:val="37"/>
        </w:numPr>
        <w:ind w:left="210" w:leftChars="0" w:firstLineChars="0"/>
        <w:rPr>
          <w:rFonts w:hint="eastAsia" w:ascii="仿宋" w:hAnsi="仿宋" w:eastAsia="仿宋"/>
          <w:b/>
          <w:sz w:val="30"/>
          <w:szCs w:val="30"/>
        </w:rPr>
      </w:pPr>
      <w:r>
        <w:rPr>
          <w:rFonts w:hint="eastAsia" w:ascii="仿宋" w:hAnsi="仿宋" w:eastAsia="仿宋"/>
          <w:b/>
          <w:sz w:val="30"/>
          <w:szCs w:val="30"/>
        </w:rPr>
        <w:t>施工要求</w:t>
      </w:r>
    </w:p>
    <w:p>
      <w:pPr>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1、安全第一，执行甲方的安全管理规章制度，办票作业。</w:t>
      </w:r>
    </w:p>
    <w:p>
      <w:pPr>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2、施工方应充分察勘现场已有条件和潜在技术风险</w:t>
      </w: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充分考虑施工难度</w:t>
      </w:r>
      <w:r>
        <w:rPr>
          <w:rFonts w:hint="eastAsia" w:ascii="仿宋" w:hAnsi="仿宋" w:eastAsia="仿宋"/>
          <w:color w:val="000000"/>
          <w:sz w:val="30"/>
          <w:szCs w:val="30"/>
        </w:rPr>
        <w:t>，施工时注意成品保护，必要时采取围护、覆盖等有效措施，施工方应充分考虑成品保护措施费。</w:t>
      </w:r>
    </w:p>
    <w:p>
      <w:pPr>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3、包建筑垃圾外运，现场及时清理。</w:t>
      </w:r>
    </w:p>
    <w:p>
      <w:pPr>
        <w:ind w:firstLine="600" w:firstLineChars="200"/>
        <w:rPr>
          <w:rFonts w:ascii="仿宋" w:hAnsi="仿宋" w:eastAsia="仿宋"/>
          <w:color w:val="000000"/>
          <w:sz w:val="30"/>
          <w:szCs w:val="30"/>
        </w:rPr>
      </w:pPr>
      <w:r>
        <w:rPr>
          <w:rFonts w:hint="eastAsia" w:ascii="仿宋" w:hAnsi="仿宋" w:eastAsia="仿宋"/>
          <w:color w:val="000000"/>
          <w:sz w:val="30"/>
          <w:szCs w:val="30"/>
        </w:rPr>
        <w:t>4、项目经理或安全员到场管理，且人证合一。</w:t>
      </w:r>
    </w:p>
    <w:p>
      <w:pPr>
        <w:rPr>
          <w:rFonts w:ascii="仿宋" w:hAnsi="仿宋" w:eastAsia="仿宋"/>
          <w:b/>
          <w:sz w:val="30"/>
          <w:szCs w:val="30"/>
        </w:rPr>
      </w:pPr>
      <w:r>
        <w:rPr>
          <w:rFonts w:hint="eastAsia" w:ascii="仿宋" w:hAnsi="仿宋" w:eastAsia="仿宋"/>
          <w:b/>
          <w:sz w:val="30"/>
          <w:szCs w:val="30"/>
        </w:rPr>
        <w:t>六、工期要求</w:t>
      </w:r>
    </w:p>
    <w:p>
      <w:pPr>
        <w:ind w:firstLine="600" w:firstLineChars="200"/>
        <w:rPr>
          <w:rFonts w:hint="eastAsia" w:ascii="仿宋" w:hAnsi="仿宋" w:eastAsia="仿宋"/>
          <w:sz w:val="30"/>
          <w:szCs w:val="30"/>
        </w:rPr>
      </w:pPr>
      <w:r>
        <w:rPr>
          <w:rFonts w:hint="eastAsia" w:ascii="仿宋" w:hAnsi="仿宋" w:eastAsia="仿宋"/>
          <w:sz w:val="30"/>
          <w:szCs w:val="30"/>
          <w:lang w:val="en-US" w:eastAsia="zh-CN"/>
        </w:rPr>
        <w:t>40</w:t>
      </w:r>
      <w:r>
        <w:rPr>
          <w:rFonts w:hint="eastAsia" w:ascii="仿宋" w:hAnsi="仿宋" w:eastAsia="仿宋"/>
          <w:sz w:val="30"/>
          <w:szCs w:val="30"/>
        </w:rPr>
        <w:t>个日历天。</w:t>
      </w:r>
    </w:p>
    <w:p>
      <w:pPr>
        <w:numPr>
          <w:ilvl w:val="0"/>
          <w:numId w:val="0"/>
        </w:numPr>
        <w:rPr>
          <w:rFonts w:hint="eastAsia" w:ascii="仿宋" w:hAnsi="仿宋" w:eastAsia="仿宋"/>
          <w:b/>
          <w:sz w:val="30"/>
          <w:szCs w:val="30"/>
          <w:lang w:val="en-US" w:eastAsia="zh-CN"/>
        </w:rPr>
      </w:pPr>
      <w:r>
        <w:rPr>
          <w:rFonts w:hint="eastAsia" w:ascii="仿宋" w:hAnsi="仿宋" w:eastAsia="仿宋"/>
          <w:b/>
          <w:sz w:val="30"/>
          <w:szCs w:val="30"/>
          <w:lang w:val="en-US" w:eastAsia="zh-CN"/>
        </w:rPr>
        <w:t>七、估价</w:t>
      </w:r>
    </w:p>
    <w:p>
      <w:pPr>
        <w:ind w:firstLine="600" w:firstLineChars="200"/>
        <w:rPr>
          <w:rFonts w:hint="default" w:ascii="仿宋" w:hAnsi="仿宋" w:eastAsia="仿宋"/>
          <w:sz w:val="30"/>
          <w:szCs w:val="30"/>
          <w:lang w:val="en-US" w:eastAsia="zh-CN"/>
        </w:rPr>
      </w:pPr>
      <w:r>
        <w:rPr>
          <w:rFonts w:hint="eastAsia" w:ascii="仿宋" w:hAnsi="仿宋" w:eastAsia="仿宋"/>
          <w:sz w:val="30"/>
          <w:szCs w:val="30"/>
          <w:lang w:val="en-US" w:eastAsia="zh-CN"/>
        </w:rPr>
        <w:t>控制价17万元</w:t>
      </w:r>
    </w:p>
    <w:p>
      <w:pPr>
        <w:rPr>
          <w:rFonts w:ascii="仿宋" w:hAnsi="仿宋" w:eastAsia="仿宋"/>
          <w:b/>
          <w:sz w:val="30"/>
          <w:szCs w:val="30"/>
        </w:rPr>
      </w:pPr>
      <w:r>
        <w:rPr>
          <w:rFonts w:hint="eastAsia" w:ascii="仿宋" w:hAnsi="仿宋" w:eastAsia="仿宋"/>
          <w:b/>
          <w:sz w:val="30"/>
          <w:szCs w:val="30"/>
          <w:lang w:val="en-US" w:eastAsia="zh-CN"/>
        </w:rPr>
        <w:t>八</w:t>
      </w:r>
      <w:r>
        <w:rPr>
          <w:rFonts w:hint="eastAsia" w:ascii="仿宋" w:hAnsi="仿宋" w:eastAsia="仿宋"/>
          <w:b/>
          <w:sz w:val="30"/>
          <w:szCs w:val="30"/>
        </w:rPr>
        <w:t>、选材要求</w:t>
      </w:r>
    </w:p>
    <w:p>
      <w:pPr>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施工单位提供材料样品、资料，并由业主确定。</w:t>
      </w:r>
    </w:p>
    <w:p>
      <w:pPr>
        <w:rPr>
          <w:rFonts w:hint="eastAsia" w:ascii="仿宋" w:hAnsi="仿宋" w:eastAsia="仿宋"/>
          <w:b/>
          <w:sz w:val="30"/>
          <w:szCs w:val="30"/>
        </w:rPr>
      </w:pPr>
      <w:r>
        <w:rPr>
          <w:rFonts w:hint="eastAsia" w:ascii="仿宋" w:hAnsi="仿宋" w:eastAsia="仿宋"/>
          <w:b/>
          <w:sz w:val="30"/>
          <w:szCs w:val="30"/>
          <w:lang w:val="en-US" w:eastAsia="zh-CN"/>
        </w:rPr>
        <w:t>九</w:t>
      </w:r>
      <w:r>
        <w:rPr>
          <w:rFonts w:hint="eastAsia" w:ascii="仿宋" w:hAnsi="仿宋" w:eastAsia="仿宋"/>
          <w:b/>
          <w:sz w:val="30"/>
          <w:szCs w:val="30"/>
        </w:rPr>
        <w:t>、保质期</w:t>
      </w:r>
      <w:bookmarkStart w:id="16" w:name="_GoBack"/>
      <w:bookmarkEnd w:id="16"/>
    </w:p>
    <w:p>
      <w:pPr>
        <w:ind w:firstLine="600" w:firstLineChars="200"/>
        <w:rPr>
          <w:rFonts w:hint="eastAsia" w:ascii="仿宋" w:hAnsi="仿宋" w:eastAsia="仿宋"/>
          <w:sz w:val="30"/>
          <w:szCs w:val="30"/>
        </w:rPr>
      </w:pPr>
      <w:r>
        <w:rPr>
          <w:rFonts w:hint="eastAsia" w:ascii="仿宋" w:hAnsi="仿宋" w:eastAsia="仿宋"/>
          <w:sz w:val="30"/>
          <w:szCs w:val="30"/>
        </w:rPr>
        <w:t>质保期</w:t>
      </w:r>
      <w:r>
        <w:rPr>
          <w:rFonts w:hint="eastAsia" w:ascii="仿宋" w:hAnsi="仿宋" w:eastAsia="仿宋"/>
          <w:sz w:val="30"/>
          <w:szCs w:val="30"/>
          <w:lang w:val="en-US" w:eastAsia="zh-CN"/>
        </w:rPr>
        <w:t>1</w:t>
      </w:r>
      <w:r>
        <w:rPr>
          <w:rFonts w:hint="eastAsia" w:ascii="仿宋" w:hAnsi="仿宋" w:eastAsia="仿宋"/>
          <w:sz w:val="30"/>
          <w:szCs w:val="30"/>
        </w:rPr>
        <w:t>年。</w:t>
      </w:r>
    </w:p>
    <w:p>
      <w:pPr>
        <w:rPr>
          <w:rFonts w:hint="eastAsia" w:ascii="仿宋" w:hAnsi="仿宋" w:eastAsia="仿宋"/>
          <w:b/>
          <w:sz w:val="30"/>
          <w:szCs w:val="30"/>
        </w:rPr>
      </w:pPr>
      <w:r>
        <w:rPr>
          <w:rFonts w:hint="eastAsia" w:ascii="仿宋" w:hAnsi="仿宋" w:eastAsia="仿宋"/>
          <w:b/>
          <w:sz w:val="30"/>
          <w:szCs w:val="30"/>
          <w:lang w:val="en-US" w:eastAsia="zh-CN"/>
        </w:rPr>
        <w:t>十</w:t>
      </w:r>
      <w:r>
        <w:rPr>
          <w:rFonts w:hint="eastAsia" w:ascii="仿宋" w:hAnsi="仿宋" w:eastAsia="仿宋"/>
          <w:b/>
          <w:sz w:val="30"/>
          <w:szCs w:val="30"/>
        </w:rPr>
        <w:t>、验收标准</w:t>
      </w:r>
    </w:p>
    <w:p>
      <w:pPr>
        <w:pStyle w:val="2"/>
        <w:widowControl/>
        <w:spacing w:before="0" w:beforeAutospacing="0" w:after="0" w:afterAutospacing="0"/>
        <w:ind w:firstLine="600" w:firstLineChars="200"/>
      </w:pPr>
      <w:r>
        <w:rPr>
          <w:rFonts w:ascii="仿宋" w:hAnsi="仿宋" w:eastAsia="仿宋"/>
          <w:b w:val="0"/>
          <w:bCs w:val="0"/>
          <w:snapToGrid/>
          <w:color w:val="000000"/>
          <w:kern w:val="2"/>
          <w:sz w:val="30"/>
          <w:szCs w:val="30"/>
        </w:rPr>
        <w:t>满足</w:t>
      </w:r>
      <w:r>
        <w:rPr>
          <w:rFonts w:ascii="仿宋" w:hAnsi="仿宋" w:eastAsia="仿宋"/>
          <w:b w:val="0"/>
          <w:bCs w:val="0"/>
          <w:snapToGrid/>
          <w:color w:val="000000"/>
          <w:kern w:val="2"/>
          <w:sz w:val="30"/>
          <w:szCs w:val="30"/>
        </w:rPr>
        <w:fldChar w:fldCharType="begin"/>
      </w:r>
      <w:r>
        <w:rPr>
          <w:rFonts w:ascii="仿宋" w:hAnsi="仿宋" w:eastAsia="仿宋"/>
          <w:b w:val="0"/>
          <w:bCs w:val="0"/>
          <w:snapToGrid/>
          <w:color w:val="000000"/>
          <w:kern w:val="2"/>
          <w:sz w:val="30"/>
          <w:szCs w:val="30"/>
        </w:rPr>
        <w:instrText xml:space="preserve"> HYPERLINK "http://www.baidu.com/link?url=6Q2h0Z9OGZgmpfq2GxdXh069TX7NRbhWHVz0cSHM3_lW_vDDJ_h5h4p0lDIvHuUuqAy69RxONGdsvkeGMuFqHK" \t "https://www.baidu.com/_blank" </w:instrText>
      </w:r>
      <w:r>
        <w:rPr>
          <w:rFonts w:ascii="仿宋" w:hAnsi="仿宋" w:eastAsia="仿宋"/>
          <w:b w:val="0"/>
          <w:bCs w:val="0"/>
          <w:snapToGrid/>
          <w:color w:val="000000"/>
          <w:kern w:val="2"/>
          <w:sz w:val="30"/>
          <w:szCs w:val="30"/>
        </w:rPr>
        <w:fldChar w:fldCharType="separate"/>
      </w:r>
      <w:r>
        <w:rPr>
          <w:rFonts w:ascii="仿宋" w:hAnsi="仿宋" w:eastAsia="仿宋"/>
          <w:b w:val="0"/>
          <w:bCs w:val="0"/>
          <w:snapToGrid/>
          <w:color w:val="000000"/>
          <w:kern w:val="2"/>
          <w:sz w:val="30"/>
          <w:szCs w:val="30"/>
        </w:rPr>
        <w:t>最新《建筑装饰装修工程质量验收标准》（GB50210-2018）</w:t>
      </w:r>
      <w:r>
        <w:rPr>
          <w:rFonts w:ascii="仿宋" w:hAnsi="仿宋" w:eastAsia="仿宋"/>
          <w:b w:val="0"/>
          <w:bCs w:val="0"/>
          <w:snapToGrid/>
          <w:color w:val="000000"/>
          <w:kern w:val="2"/>
          <w:sz w:val="30"/>
          <w:szCs w:val="30"/>
        </w:rPr>
        <w:fldChar w:fldCharType="end"/>
      </w:r>
      <w:r>
        <w:rPr>
          <w:rFonts w:ascii="仿宋" w:hAnsi="仿宋" w:eastAsia="仿宋"/>
          <w:b w:val="0"/>
          <w:bCs w:val="0"/>
          <w:snapToGrid/>
          <w:color w:val="000000"/>
          <w:kern w:val="2"/>
          <w:sz w:val="30"/>
          <w:szCs w:val="30"/>
        </w:rPr>
        <w:t>、《建筑工程施工质量验收统一标准》（GB50300-2013）</w:t>
      </w:r>
      <w:r>
        <w:rPr>
          <w:rFonts w:hint="eastAsia" w:ascii="仿宋" w:hAnsi="仿宋" w:eastAsia="仿宋"/>
          <w:b w:val="0"/>
          <w:bCs w:val="0"/>
          <w:snapToGrid/>
          <w:color w:val="000000"/>
          <w:kern w:val="2"/>
          <w:sz w:val="30"/>
          <w:szCs w:val="30"/>
          <w:lang w:eastAsia="zh-CN"/>
        </w:rPr>
        <w:t>、《</w:t>
      </w:r>
      <w:r>
        <w:rPr>
          <w:rFonts w:hint="eastAsia" w:ascii="仿宋" w:hAnsi="仿宋" w:eastAsia="仿宋"/>
          <w:b w:val="0"/>
          <w:bCs w:val="0"/>
          <w:snapToGrid/>
          <w:color w:val="000000"/>
          <w:kern w:val="2"/>
          <w:sz w:val="30"/>
          <w:szCs w:val="30"/>
          <w:lang w:val="en-US" w:eastAsia="zh-CN"/>
        </w:rPr>
        <w:t>地沟和盖板</w:t>
      </w:r>
      <w:r>
        <w:rPr>
          <w:rFonts w:hint="eastAsia" w:ascii="仿宋" w:hAnsi="仿宋" w:eastAsia="仿宋"/>
          <w:b w:val="0"/>
          <w:bCs w:val="0"/>
          <w:snapToGrid/>
          <w:color w:val="000000"/>
          <w:kern w:val="2"/>
          <w:sz w:val="30"/>
          <w:szCs w:val="30"/>
          <w:lang w:eastAsia="zh-CN"/>
        </w:rPr>
        <w:t>》（</w:t>
      </w:r>
      <w:r>
        <w:rPr>
          <w:rFonts w:hint="eastAsia" w:ascii="仿宋" w:hAnsi="仿宋" w:eastAsia="仿宋"/>
          <w:b w:val="0"/>
          <w:bCs w:val="0"/>
          <w:snapToGrid/>
          <w:color w:val="000000"/>
          <w:kern w:val="2"/>
          <w:sz w:val="30"/>
          <w:szCs w:val="30"/>
          <w:lang w:val="en-US" w:eastAsia="zh-CN"/>
        </w:rPr>
        <w:t>13ZJ302-2013</w:t>
      </w:r>
      <w:r>
        <w:rPr>
          <w:rFonts w:hint="eastAsia" w:ascii="仿宋" w:hAnsi="仿宋" w:eastAsia="仿宋"/>
          <w:b w:val="0"/>
          <w:bCs w:val="0"/>
          <w:snapToGrid/>
          <w:color w:val="000000"/>
          <w:kern w:val="2"/>
          <w:sz w:val="30"/>
          <w:szCs w:val="30"/>
          <w:lang w:eastAsia="zh-CN"/>
        </w:rPr>
        <w:t>）</w:t>
      </w:r>
      <w:r>
        <w:rPr>
          <w:rFonts w:ascii="仿宋" w:hAnsi="仿宋" w:eastAsia="仿宋"/>
          <w:b w:val="0"/>
          <w:bCs w:val="0"/>
          <w:snapToGrid/>
          <w:color w:val="000000"/>
          <w:kern w:val="2"/>
          <w:sz w:val="30"/>
          <w:szCs w:val="30"/>
        </w:rPr>
        <w:t>要求。</w:t>
      </w:r>
    </w:p>
    <w:p>
      <w:pPr>
        <w:wordWrap w:val="0"/>
        <w:jc w:val="right"/>
        <w:rPr>
          <w:rFonts w:hint="eastAsia" w:ascii="仿宋" w:hAnsi="仿宋" w:eastAsia="仿宋"/>
          <w:color w:val="000000"/>
          <w:sz w:val="30"/>
          <w:szCs w:val="30"/>
          <w:lang w:eastAsia="zh-CN"/>
        </w:rPr>
      </w:pPr>
    </w:p>
    <w:p>
      <w:pPr>
        <w:wordWrap/>
        <w:jc w:val="right"/>
        <w:rPr>
          <w:rFonts w:hint="eastAsia" w:ascii="仿宋" w:hAnsi="仿宋" w:eastAsia="仿宋"/>
          <w:color w:val="000000"/>
          <w:sz w:val="30"/>
          <w:szCs w:val="30"/>
          <w:lang w:eastAsia="zh-CN"/>
        </w:rPr>
      </w:pPr>
    </w:p>
    <w:p>
      <w:pPr>
        <w:wordWrap w:val="0"/>
        <w:jc w:val="right"/>
        <w:rPr>
          <w:rFonts w:hint="eastAsia" w:ascii="仿宋" w:hAnsi="仿宋" w:eastAsia="仿宋"/>
          <w:color w:val="000000"/>
          <w:sz w:val="30"/>
          <w:szCs w:val="30"/>
        </w:rPr>
      </w:pPr>
    </w:p>
    <w:p>
      <w:pPr>
        <w:wordWrap w:val="0"/>
        <w:jc w:val="right"/>
        <w:rPr>
          <w:rFonts w:hint="default" w:ascii="仿宋" w:hAnsi="仿宋" w:eastAsia="仿宋"/>
          <w:color w:val="000000"/>
          <w:sz w:val="30"/>
          <w:szCs w:val="30"/>
          <w:lang w:val="en-US" w:eastAsia="zh-CN"/>
        </w:rPr>
      </w:pPr>
      <w:r>
        <w:rPr>
          <w:rFonts w:hint="eastAsia" w:ascii="仿宋" w:hAnsi="仿宋" w:eastAsia="仿宋"/>
          <w:color w:val="000000"/>
          <w:sz w:val="30"/>
          <w:szCs w:val="30"/>
        </w:rPr>
        <w:t>工程部</w:t>
      </w:r>
      <w:r>
        <w:rPr>
          <w:rFonts w:hint="eastAsia" w:ascii="仿宋" w:hAnsi="仿宋" w:eastAsia="仿宋"/>
          <w:color w:val="000000"/>
          <w:sz w:val="30"/>
          <w:szCs w:val="30"/>
          <w:lang w:val="en-US" w:eastAsia="zh-CN"/>
        </w:rPr>
        <w:t xml:space="preserve">    </w:t>
      </w:r>
    </w:p>
    <w:p>
      <w:pPr>
        <w:wordWrap/>
        <w:jc w:val="righ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2023年6月20日</w:t>
      </w:r>
    </w:p>
    <w:p>
      <w:pPr>
        <w:spacing w:line="360" w:lineRule="auto"/>
        <w:rPr>
          <w:rFonts w:hint="default" w:ascii="宋体" w:hAnsi="宋体" w:eastAsia="宋体" w:cs="宋体"/>
          <w:color w:val="000000"/>
          <w:szCs w:val="21"/>
          <w:lang w:val="en-US" w:eastAsia="zh-CN"/>
        </w:rPr>
      </w:pPr>
    </w:p>
    <w:sectPr>
      <w:pgSz w:w="11906" w:h="16838"/>
      <w:pgMar w:top="1440" w:right="1418" w:bottom="1440"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84B1C"/>
    <w:multiLevelType w:val="singleLevel"/>
    <w:tmpl w:val="94C84B1C"/>
    <w:lvl w:ilvl="0" w:tentative="0">
      <w:start w:val="1"/>
      <w:numFmt w:val="decimal"/>
      <w:suff w:val="nothing"/>
      <w:lvlText w:val="%1、"/>
      <w:lvlJc w:val="left"/>
    </w:lvl>
  </w:abstractNum>
  <w:abstractNum w:abstractNumId="1">
    <w:nsid w:val="A1E8EEC6"/>
    <w:multiLevelType w:val="singleLevel"/>
    <w:tmpl w:val="A1E8EEC6"/>
    <w:lvl w:ilvl="0" w:tentative="0">
      <w:start w:val="1"/>
      <w:numFmt w:val="decimal"/>
      <w:suff w:val="nothing"/>
      <w:lvlText w:val="%1、"/>
      <w:lvlJc w:val="left"/>
    </w:lvl>
  </w:abstractNum>
  <w:abstractNum w:abstractNumId="2">
    <w:nsid w:val="A26CF352"/>
    <w:multiLevelType w:val="singleLevel"/>
    <w:tmpl w:val="A26CF352"/>
    <w:lvl w:ilvl="0" w:tentative="0">
      <w:start w:val="1"/>
      <w:numFmt w:val="decimal"/>
      <w:suff w:val="nothing"/>
      <w:lvlText w:val="%1、"/>
      <w:lvlJc w:val="left"/>
    </w:lvl>
  </w:abstractNum>
  <w:abstractNum w:abstractNumId="3">
    <w:nsid w:val="C4B073F8"/>
    <w:multiLevelType w:val="singleLevel"/>
    <w:tmpl w:val="C4B073F8"/>
    <w:lvl w:ilvl="0" w:tentative="0">
      <w:start w:val="1"/>
      <w:numFmt w:val="decimal"/>
      <w:suff w:val="nothing"/>
      <w:lvlText w:val="%1、"/>
      <w:lvlJc w:val="left"/>
    </w:lvl>
  </w:abstractNum>
  <w:abstractNum w:abstractNumId="4">
    <w:nsid w:val="C8FDACC1"/>
    <w:multiLevelType w:val="singleLevel"/>
    <w:tmpl w:val="C8FDACC1"/>
    <w:lvl w:ilvl="0" w:tentative="0">
      <w:start w:val="1"/>
      <w:numFmt w:val="decimal"/>
      <w:suff w:val="nothing"/>
      <w:lvlText w:val="%1、"/>
      <w:lvlJc w:val="left"/>
    </w:lvl>
  </w:abstractNum>
  <w:abstractNum w:abstractNumId="5">
    <w:nsid w:val="D8C1301E"/>
    <w:multiLevelType w:val="singleLevel"/>
    <w:tmpl w:val="D8C1301E"/>
    <w:lvl w:ilvl="0" w:tentative="0">
      <w:start w:val="1"/>
      <w:numFmt w:val="decimal"/>
      <w:suff w:val="nothing"/>
      <w:lvlText w:val="%1、"/>
      <w:lvlJc w:val="left"/>
    </w:lvl>
  </w:abstractNum>
  <w:abstractNum w:abstractNumId="6">
    <w:nsid w:val="F922B0FF"/>
    <w:multiLevelType w:val="singleLevel"/>
    <w:tmpl w:val="F922B0FF"/>
    <w:lvl w:ilvl="0" w:tentative="0">
      <w:start w:val="1"/>
      <w:numFmt w:val="decimal"/>
      <w:suff w:val="nothing"/>
      <w:lvlText w:val="%1、"/>
      <w:lvlJc w:val="left"/>
    </w:lvl>
  </w:abstractNum>
  <w:abstractNum w:abstractNumId="7">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514109D"/>
    <w:multiLevelType w:val="singleLevel"/>
    <w:tmpl w:val="0514109D"/>
    <w:lvl w:ilvl="0" w:tentative="0">
      <w:start w:val="1"/>
      <w:numFmt w:val="decimal"/>
      <w:suff w:val="nothing"/>
      <w:lvlText w:val="%1、"/>
      <w:lvlJc w:val="left"/>
    </w:lvl>
  </w:abstractNum>
  <w:abstractNum w:abstractNumId="9">
    <w:nsid w:val="06E4CD9B"/>
    <w:multiLevelType w:val="singleLevel"/>
    <w:tmpl w:val="06E4CD9B"/>
    <w:lvl w:ilvl="0" w:tentative="0">
      <w:start w:val="5"/>
      <w:numFmt w:val="chineseCounting"/>
      <w:suff w:val="nothing"/>
      <w:lvlText w:val="%1、"/>
      <w:lvlJc w:val="left"/>
      <w:pPr>
        <w:ind w:left="210"/>
      </w:pPr>
      <w:rPr>
        <w:rFonts w:hint="eastAsia"/>
      </w:rPr>
    </w:lvl>
  </w:abstractNum>
  <w:abstractNum w:abstractNumId="10">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0E6A1A25"/>
    <w:multiLevelType w:val="singleLevel"/>
    <w:tmpl w:val="0E6A1A25"/>
    <w:lvl w:ilvl="0" w:tentative="0">
      <w:start w:val="1"/>
      <w:numFmt w:val="chineseCounting"/>
      <w:suff w:val="nothing"/>
      <w:lvlText w:val="%1、"/>
      <w:lvlJc w:val="left"/>
      <w:rPr>
        <w:rFonts w:hint="eastAsia"/>
      </w:rPr>
    </w:lvl>
  </w:abstractNum>
  <w:abstractNum w:abstractNumId="12">
    <w:nsid w:val="12070A03"/>
    <w:multiLevelType w:val="singleLevel"/>
    <w:tmpl w:val="12070A03"/>
    <w:lvl w:ilvl="0" w:tentative="0">
      <w:start w:val="1"/>
      <w:numFmt w:val="decimal"/>
      <w:suff w:val="nothing"/>
      <w:lvlText w:val="%1、"/>
      <w:lvlJc w:val="left"/>
    </w:lvl>
  </w:abstractNum>
  <w:abstractNum w:abstractNumId="13">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4DE0A5E"/>
    <w:multiLevelType w:val="singleLevel"/>
    <w:tmpl w:val="14DE0A5E"/>
    <w:lvl w:ilvl="0" w:tentative="0">
      <w:start w:val="1"/>
      <w:numFmt w:val="decimal"/>
      <w:suff w:val="nothing"/>
      <w:lvlText w:val="%1、"/>
      <w:lvlJc w:val="left"/>
    </w:lvl>
  </w:abstractNum>
  <w:abstractNum w:abstractNumId="15">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6">
    <w:nsid w:val="18BF5A71"/>
    <w:multiLevelType w:val="singleLevel"/>
    <w:tmpl w:val="18BF5A71"/>
    <w:lvl w:ilvl="0" w:tentative="0">
      <w:start w:val="1"/>
      <w:numFmt w:val="decimal"/>
      <w:suff w:val="nothing"/>
      <w:lvlText w:val="%1、"/>
      <w:lvlJc w:val="left"/>
    </w:lvl>
  </w:abstractNum>
  <w:abstractNum w:abstractNumId="17">
    <w:nsid w:val="1BE1EBAB"/>
    <w:multiLevelType w:val="singleLevel"/>
    <w:tmpl w:val="1BE1EBAB"/>
    <w:lvl w:ilvl="0" w:tentative="0">
      <w:start w:val="1"/>
      <w:numFmt w:val="decimal"/>
      <w:suff w:val="nothing"/>
      <w:lvlText w:val="%1、"/>
      <w:lvlJc w:val="left"/>
    </w:lvl>
  </w:abstractNum>
  <w:abstractNum w:abstractNumId="18">
    <w:nsid w:val="3DBBE73A"/>
    <w:multiLevelType w:val="singleLevel"/>
    <w:tmpl w:val="3DBBE73A"/>
    <w:lvl w:ilvl="0" w:tentative="0">
      <w:start w:val="1"/>
      <w:numFmt w:val="decimal"/>
      <w:suff w:val="nothing"/>
      <w:lvlText w:val="%1、"/>
      <w:lvlJc w:val="left"/>
    </w:lvl>
  </w:abstractNum>
  <w:abstractNum w:abstractNumId="19">
    <w:nsid w:val="40B0E101"/>
    <w:multiLevelType w:val="singleLevel"/>
    <w:tmpl w:val="40B0E101"/>
    <w:lvl w:ilvl="0" w:tentative="0">
      <w:start w:val="1"/>
      <w:numFmt w:val="decimal"/>
      <w:suff w:val="nothing"/>
      <w:lvlText w:val="%1、"/>
      <w:lvlJc w:val="left"/>
      <w:pPr>
        <w:ind w:left="-140"/>
      </w:pPr>
    </w:lvl>
  </w:abstractNum>
  <w:abstractNum w:abstractNumId="20">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2424E51"/>
    <w:multiLevelType w:val="singleLevel"/>
    <w:tmpl w:val="42424E51"/>
    <w:lvl w:ilvl="0" w:tentative="0">
      <w:start w:val="2"/>
      <w:numFmt w:val="chineseCounting"/>
      <w:suff w:val="nothing"/>
      <w:lvlText w:val="（%1）"/>
      <w:lvlJc w:val="left"/>
      <w:rPr>
        <w:rFonts w:hint="eastAsia"/>
      </w:rPr>
    </w:lvl>
  </w:abstractNum>
  <w:abstractNum w:abstractNumId="22">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3">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4">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A8B5F82"/>
    <w:multiLevelType w:val="singleLevel"/>
    <w:tmpl w:val="4A8B5F82"/>
    <w:lvl w:ilvl="0" w:tentative="0">
      <w:start w:val="1"/>
      <w:numFmt w:val="decimal"/>
      <w:suff w:val="nothing"/>
      <w:lvlText w:val="%1、"/>
      <w:lvlJc w:val="left"/>
    </w:lvl>
  </w:abstractNum>
  <w:abstractNum w:abstractNumId="26">
    <w:nsid w:val="5641D681"/>
    <w:multiLevelType w:val="singleLevel"/>
    <w:tmpl w:val="5641D681"/>
    <w:lvl w:ilvl="0" w:tentative="0">
      <w:start w:val="1"/>
      <w:numFmt w:val="chineseCounting"/>
      <w:suff w:val="nothing"/>
      <w:lvlText w:val="（%1）"/>
      <w:lvlJc w:val="left"/>
      <w:rPr>
        <w:rFonts w:hint="eastAsia"/>
      </w:rPr>
    </w:lvl>
  </w:abstractNum>
  <w:abstractNum w:abstractNumId="27">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72DE5B4"/>
    <w:multiLevelType w:val="singleLevel"/>
    <w:tmpl w:val="572DE5B4"/>
    <w:lvl w:ilvl="0" w:tentative="0">
      <w:start w:val="1"/>
      <w:numFmt w:val="decimal"/>
      <w:suff w:val="nothing"/>
      <w:lvlText w:val="%1."/>
      <w:lvlJc w:val="left"/>
    </w:lvl>
  </w:abstractNum>
  <w:abstractNum w:abstractNumId="29">
    <w:nsid w:val="5AC86A1E"/>
    <w:multiLevelType w:val="multilevel"/>
    <w:tmpl w:val="5AC86A1E"/>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5D257567"/>
    <w:multiLevelType w:val="singleLevel"/>
    <w:tmpl w:val="5D257567"/>
    <w:lvl w:ilvl="0" w:tentative="0">
      <w:start w:val="1"/>
      <w:numFmt w:val="decimal"/>
      <w:suff w:val="nothing"/>
      <w:lvlText w:val="%1、"/>
      <w:lvlJc w:val="left"/>
    </w:lvl>
  </w:abstractNum>
  <w:abstractNum w:abstractNumId="31">
    <w:nsid w:val="5E12B902"/>
    <w:multiLevelType w:val="singleLevel"/>
    <w:tmpl w:val="5E12B902"/>
    <w:lvl w:ilvl="0" w:tentative="0">
      <w:start w:val="1"/>
      <w:numFmt w:val="decimal"/>
      <w:suff w:val="nothing"/>
      <w:lvlText w:val="%1、"/>
      <w:lvlJc w:val="left"/>
    </w:lvl>
  </w:abstractNum>
  <w:abstractNum w:abstractNumId="32">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6A131C02"/>
    <w:multiLevelType w:val="multilevel"/>
    <w:tmpl w:val="6A131C02"/>
    <w:lvl w:ilvl="0" w:tentative="0">
      <w:start w:val="1"/>
      <w:numFmt w:val="decimal"/>
      <w:lvlText w:val="%1."/>
      <w:lvlJc w:val="left"/>
      <w:pPr>
        <w:ind w:left="780" w:hanging="360"/>
      </w:pPr>
      <w:rPr>
        <w:rFonts w:hint="default" w:ascii="宋体" w:hAnsi="宋体" w:eastAsia="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76062498"/>
    <w:multiLevelType w:val="multilevel"/>
    <w:tmpl w:val="76062498"/>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7CE70E6D"/>
    <w:multiLevelType w:val="singleLevel"/>
    <w:tmpl w:val="7CE70E6D"/>
    <w:lvl w:ilvl="0" w:tentative="0">
      <w:start w:val="1"/>
      <w:numFmt w:val="decimal"/>
      <w:suff w:val="nothing"/>
      <w:lvlText w:val="%1."/>
      <w:lvlJc w:val="left"/>
    </w:lvl>
  </w:abstractNum>
  <w:abstractNum w:abstractNumId="36">
    <w:nsid w:val="7D9A946D"/>
    <w:multiLevelType w:val="singleLevel"/>
    <w:tmpl w:val="7D9A946D"/>
    <w:lvl w:ilvl="0" w:tentative="0">
      <w:start w:val="1"/>
      <w:numFmt w:val="decimal"/>
      <w:suff w:val="nothing"/>
      <w:lvlText w:val="%1、"/>
      <w:lvlJc w:val="left"/>
    </w:lvl>
  </w:abstractNum>
  <w:num w:numId="1">
    <w:abstractNumId w:val="7"/>
  </w:num>
  <w:num w:numId="2">
    <w:abstractNumId w:val="29"/>
  </w:num>
  <w:num w:numId="3">
    <w:abstractNumId w:val="32"/>
  </w:num>
  <w:num w:numId="4">
    <w:abstractNumId w:val="19"/>
  </w:num>
  <w:num w:numId="5">
    <w:abstractNumId w:val="26"/>
  </w:num>
  <w:num w:numId="6">
    <w:abstractNumId w:val="30"/>
  </w:num>
  <w:num w:numId="7">
    <w:abstractNumId w:val="0"/>
  </w:num>
  <w:num w:numId="8">
    <w:abstractNumId w:val="16"/>
  </w:num>
  <w:num w:numId="9">
    <w:abstractNumId w:val="1"/>
  </w:num>
  <w:num w:numId="10">
    <w:abstractNumId w:val="3"/>
  </w:num>
  <w:num w:numId="11">
    <w:abstractNumId w:val="2"/>
  </w:num>
  <w:num w:numId="12">
    <w:abstractNumId w:val="25"/>
  </w:num>
  <w:num w:numId="13">
    <w:abstractNumId w:val="6"/>
  </w:num>
  <w:num w:numId="14">
    <w:abstractNumId w:val="12"/>
  </w:num>
  <w:num w:numId="15">
    <w:abstractNumId w:val="14"/>
  </w:num>
  <w:num w:numId="16">
    <w:abstractNumId w:val="4"/>
  </w:num>
  <w:num w:numId="17">
    <w:abstractNumId w:val="36"/>
  </w:num>
  <w:num w:numId="18">
    <w:abstractNumId w:val="31"/>
  </w:num>
  <w:num w:numId="19">
    <w:abstractNumId w:val="18"/>
  </w:num>
  <w:num w:numId="20">
    <w:abstractNumId w:val="8"/>
  </w:num>
  <w:num w:numId="21">
    <w:abstractNumId w:val="5"/>
  </w:num>
  <w:num w:numId="22">
    <w:abstractNumId w:val="17"/>
  </w:num>
  <w:num w:numId="23">
    <w:abstractNumId w:val="21"/>
  </w:num>
  <w:num w:numId="24">
    <w:abstractNumId w:val="13"/>
  </w:num>
  <w:num w:numId="25">
    <w:abstractNumId w:val="33"/>
  </w:num>
  <w:num w:numId="26">
    <w:abstractNumId w:val="34"/>
  </w:num>
  <w:num w:numId="27">
    <w:abstractNumId w:val="24"/>
  </w:num>
  <w:num w:numId="28">
    <w:abstractNumId w:val="15"/>
  </w:num>
  <w:num w:numId="29">
    <w:abstractNumId w:val="27"/>
  </w:num>
  <w:num w:numId="30">
    <w:abstractNumId w:val="10"/>
  </w:num>
  <w:num w:numId="31">
    <w:abstractNumId w:val="23"/>
  </w:num>
  <w:num w:numId="32">
    <w:abstractNumId w:val="22"/>
  </w:num>
  <w:num w:numId="33">
    <w:abstractNumId w:val="20"/>
  </w:num>
  <w:num w:numId="34">
    <w:abstractNumId w:val="28"/>
  </w:num>
  <w:num w:numId="35">
    <w:abstractNumId w:val="35"/>
  </w:num>
  <w:num w:numId="36">
    <w:abstractNumId w:val="11"/>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mYmMyYjJlZTJiYmIyY2IxNmYxZmEzZTZkMjk3MTMifQ=="/>
  </w:docVars>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B2B68"/>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D24"/>
    <w:rsid w:val="003461DC"/>
    <w:rsid w:val="00353699"/>
    <w:rsid w:val="00360802"/>
    <w:rsid w:val="0036491C"/>
    <w:rsid w:val="003673C1"/>
    <w:rsid w:val="00375441"/>
    <w:rsid w:val="003815F6"/>
    <w:rsid w:val="00383971"/>
    <w:rsid w:val="00386C70"/>
    <w:rsid w:val="00386D6B"/>
    <w:rsid w:val="003906AE"/>
    <w:rsid w:val="003932F2"/>
    <w:rsid w:val="00393489"/>
    <w:rsid w:val="00394717"/>
    <w:rsid w:val="003954FA"/>
    <w:rsid w:val="003A4070"/>
    <w:rsid w:val="003A61B7"/>
    <w:rsid w:val="003A63C6"/>
    <w:rsid w:val="003B27F3"/>
    <w:rsid w:val="003C1D76"/>
    <w:rsid w:val="003C1DC0"/>
    <w:rsid w:val="003D0FFC"/>
    <w:rsid w:val="003D406E"/>
    <w:rsid w:val="003D6349"/>
    <w:rsid w:val="003D6DDA"/>
    <w:rsid w:val="003E3FB7"/>
    <w:rsid w:val="003F2B4E"/>
    <w:rsid w:val="00401657"/>
    <w:rsid w:val="004023FB"/>
    <w:rsid w:val="00411B18"/>
    <w:rsid w:val="004139C0"/>
    <w:rsid w:val="00414044"/>
    <w:rsid w:val="0041689F"/>
    <w:rsid w:val="00424DBD"/>
    <w:rsid w:val="00426155"/>
    <w:rsid w:val="00431C89"/>
    <w:rsid w:val="00432A03"/>
    <w:rsid w:val="004348F5"/>
    <w:rsid w:val="004360CA"/>
    <w:rsid w:val="00436830"/>
    <w:rsid w:val="004423AB"/>
    <w:rsid w:val="0044283D"/>
    <w:rsid w:val="00444368"/>
    <w:rsid w:val="00447931"/>
    <w:rsid w:val="00456BC1"/>
    <w:rsid w:val="0045750A"/>
    <w:rsid w:val="00473BB4"/>
    <w:rsid w:val="00476BF0"/>
    <w:rsid w:val="00491859"/>
    <w:rsid w:val="004A01AA"/>
    <w:rsid w:val="004A0372"/>
    <w:rsid w:val="004A1A1D"/>
    <w:rsid w:val="004A23D1"/>
    <w:rsid w:val="004A24A7"/>
    <w:rsid w:val="004A4F9A"/>
    <w:rsid w:val="004A6018"/>
    <w:rsid w:val="004A702E"/>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649F"/>
    <w:rsid w:val="00667081"/>
    <w:rsid w:val="00677B93"/>
    <w:rsid w:val="00690C78"/>
    <w:rsid w:val="006A0EE2"/>
    <w:rsid w:val="006A1FC7"/>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47674"/>
    <w:rsid w:val="00952170"/>
    <w:rsid w:val="009547FA"/>
    <w:rsid w:val="00954C38"/>
    <w:rsid w:val="00956689"/>
    <w:rsid w:val="00957B51"/>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D5209"/>
    <w:rsid w:val="00AE5CBE"/>
    <w:rsid w:val="00AF2CF0"/>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86124"/>
    <w:rsid w:val="00C90657"/>
    <w:rsid w:val="00C9536A"/>
    <w:rsid w:val="00CA1AC9"/>
    <w:rsid w:val="00CA621C"/>
    <w:rsid w:val="00CB5412"/>
    <w:rsid w:val="00CD2F21"/>
    <w:rsid w:val="00CD5640"/>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627D"/>
    <w:rsid w:val="00D57C42"/>
    <w:rsid w:val="00D62988"/>
    <w:rsid w:val="00D70E13"/>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521E3"/>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DE1"/>
    <w:rsid w:val="00FA0034"/>
    <w:rsid w:val="00FA2A65"/>
    <w:rsid w:val="00FB25F3"/>
    <w:rsid w:val="00FB76BF"/>
    <w:rsid w:val="00FC33B2"/>
    <w:rsid w:val="00FC3A89"/>
    <w:rsid w:val="00FC3AC8"/>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3C22E6"/>
    <w:rsid w:val="214926E0"/>
    <w:rsid w:val="21A954A2"/>
    <w:rsid w:val="360A35C3"/>
    <w:rsid w:val="3C823756"/>
    <w:rsid w:val="3C9B5EFD"/>
    <w:rsid w:val="3E13186C"/>
    <w:rsid w:val="4C021793"/>
    <w:rsid w:val="50055DC9"/>
    <w:rsid w:val="524B628E"/>
    <w:rsid w:val="5FA63A90"/>
    <w:rsid w:val="656F3231"/>
    <w:rsid w:val="691F79C3"/>
    <w:rsid w:val="697F115B"/>
    <w:rsid w:val="6AB5708C"/>
    <w:rsid w:val="771E1842"/>
    <w:rsid w:val="796C3466"/>
    <w:rsid w:val="7A03028D"/>
    <w:rsid w:val="7AB9499B"/>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3"/>
    <w:semiHidden/>
    <w:unhideWhenUsed/>
    <w:qFormat/>
    <w:uiPriority w:val="99"/>
    <w:pPr>
      <w:jc w:val="left"/>
    </w:pPr>
  </w:style>
  <w:style w:type="paragraph" w:styleId="6">
    <w:name w:val="Closing"/>
    <w:basedOn w:val="1"/>
    <w:qFormat/>
    <w:uiPriority w:val="0"/>
    <w:pPr>
      <w:ind w:left="100" w:leftChars="2100"/>
    </w:pPr>
    <w:rPr>
      <w:rFonts w:ascii="宋体"/>
      <w:sz w:val="24"/>
    </w:rPr>
  </w:style>
  <w:style w:type="paragraph" w:styleId="7">
    <w:name w:val="Body Text"/>
    <w:basedOn w:val="1"/>
    <w:link w:val="38"/>
    <w:semiHidden/>
    <w:unhideWhenUsed/>
    <w:qFormat/>
    <w:uiPriority w:val="99"/>
    <w:pPr>
      <w:spacing w:after="120"/>
    </w:pPr>
  </w:style>
  <w:style w:type="paragraph" w:styleId="8">
    <w:name w:val="Body Text Indent"/>
    <w:basedOn w:val="1"/>
    <w:link w:val="36"/>
    <w:qFormat/>
    <w:uiPriority w:val="0"/>
    <w:pPr>
      <w:spacing w:after="120"/>
      <w:ind w:left="420" w:leftChars="200"/>
    </w:pPr>
    <w:rPr>
      <w:rFonts w:ascii="Calibri" w:hAnsi="Calibri"/>
      <w:szCs w:val="22"/>
    </w:rPr>
  </w:style>
  <w:style w:type="paragraph" w:styleId="9">
    <w:name w:val="Plain Text"/>
    <w:basedOn w:val="1"/>
    <w:link w:val="32"/>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0">
    <w:name w:val="endnote text"/>
    <w:basedOn w:val="1"/>
    <w:link w:val="47"/>
    <w:semiHidden/>
    <w:unhideWhenUsed/>
    <w:qFormat/>
    <w:uiPriority w:val="99"/>
    <w:pPr>
      <w:snapToGrid w:val="0"/>
      <w:jc w:val="left"/>
    </w:pPr>
  </w:style>
  <w:style w:type="paragraph" w:styleId="11">
    <w:name w:val="Balloon Text"/>
    <w:basedOn w:val="1"/>
    <w:link w:val="42"/>
    <w:qFormat/>
    <w:uiPriority w:val="0"/>
    <w:rPr>
      <w:sz w:val="18"/>
      <w:szCs w:val="18"/>
    </w:rPr>
  </w:style>
  <w:style w:type="paragraph" w:styleId="12">
    <w:name w:val="footer"/>
    <w:basedOn w:val="1"/>
    <w:link w:val="28"/>
    <w:qFormat/>
    <w:uiPriority w:val="0"/>
    <w:pPr>
      <w:tabs>
        <w:tab w:val="center" w:pos="4153"/>
        <w:tab w:val="right" w:pos="8306"/>
      </w:tabs>
      <w:snapToGrid w:val="0"/>
      <w:jc w:val="left"/>
    </w:pPr>
    <w:rPr>
      <w:sz w:val="18"/>
      <w:szCs w:val="18"/>
    </w:rPr>
  </w:style>
  <w:style w:type="paragraph" w:styleId="13">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4">
    <w:name w:val="HTML Preformatted"/>
    <w:basedOn w:val="1"/>
    <w:link w:val="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annotation subject"/>
    <w:basedOn w:val="5"/>
    <w:next w:val="5"/>
    <w:link w:val="34"/>
    <w:semiHidden/>
    <w:unhideWhenUsed/>
    <w:qFormat/>
    <w:uiPriority w:val="99"/>
    <w:rPr>
      <w:b/>
      <w:bCs/>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endnote reference"/>
    <w:basedOn w:val="19"/>
    <w:semiHidden/>
    <w:unhideWhenUsed/>
    <w:qFormat/>
    <w:uiPriority w:val="99"/>
    <w:rPr>
      <w:vertAlign w:val="superscript"/>
    </w:rPr>
  </w:style>
  <w:style w:type="character" w:styleId="22">
    <w:name w:val="Emphasis"/>
    <w:qFormat/>
    <w:uiPriority w:val="20"/>
    <w:rPr>
      <w:i/>
      <w:iCs/>
    </w:rPr>
  </w:style>
  <w:style w:type="character" w:styleId="23">
    <w:name w:val="Hyperlink"/>
    <w:basedOn w:val="19"/>
    <w:unhideWhenUsed/>
    <w:qFormat/>
    <w:uiPriority w:val="0"/>
    <w:rPr>
      <w:color w:val="0000FF"/>
      <w:u w:val="single"/>
    </w:rPr>
  </w:style>
  <w:style w:type="character" w:styleId="24">
    <w:name w:val="annotation reference"/>
    <w:basedOn w:val="19"/>
    <w:semiHidden/>
    <w:unhideWhenUsed/>
    <w:qFormat/>
    <w:uiPriority w:val="99"/>
    <w:rPr>
      <w:sz w:val="21"/>
      <w:szCs w:val="21"/>
    </w:rPr>
  </w:style>
  <w:style w:type="paragraph" w:customStyle="1" w:styleId="25">
    <w:name w:val="纯文本1"/>
    <w:basedOn w:val="1"/>
    <w:qFormat/>
    <w:uiPriority w:val="0"/>
    <w:pPr>
      <w:widowControl/>
      <w:jc w:val="left"/>
    </w:pPr>
    <w:rPr>
      <w:rFonts w:ascii="宋体" w:hAnsi="Courier New" w:eastAsia="微软雅黑"/>
      <w:kern w:val="0"/>
      <w:sz w:val="20"/>
      <w:szCs w:val="21"/>
    </w:rPr>
  </w:style>
  <w:style w:type="paragraph" w:customStyle="1" w:styleId="26">
    <w:name w:val="1_0"/>
    <w:basedOn w:val="1"/>
    <w:next w:val="25"/>
    <w:qFormat/>
    <w:uiPriority w:val="0"/>
    <w:rPr>
      <w:rFonts w:ascii="宋体" w:hAnsi="Courier New"/>
      <w:szCs w:val="22"/>
    </w:rPr>
  </w:style>
  <w:style w:type="paragraph" w:customStyle="1" w:styleId="27">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8">
    <w:name w:val="页脚 字符"/>
    <w:link w:val="12"/>
    <w:qFormat/>
    <w:uiPriority w:val="0"/>
    <w:rPr>
      <w:kern w:val="2"/>
      <w:sz w:val="18"/>
      <w:szCs w:val="18"/>
    </w:rPr>
  </w:style>
  <w:style w:type="character" w:customStyle="1" w:styleId="29">
    <w:name w:val="apple-style-span"/>
    <w:basedOn w:val="19"/>
    <w:qFormat/>
    <w:uiPriority w:val="0"/>
  </w:style>
  <w:style w:type="character" w:customStyle="1" w:styleId="30">
    <w:name w:val="页眉 字符"/>
    <w:link w:val="13"/>
    <w:qFormat/>
    <w:uiPriority w:val="0"/>
    <w:rPr>
      <w:kern w:val="2"/>
      <w:sz w:val="18"/>
      <w:szCs w:val="18"/>
    </w:rPr>
  </w:style>
  <w:style w:type="character" w:customStyle="1" w:styleId="31">
    <w:name w:val="style141"/>
    <w:qFormat/>
    <w:uiPriority w:val="0"/>
    <w:rPr>
      <w:rFonts w:hint="eastAsia" w:ascii="宋体" w:hAnsi="宋体" w:eastAsia="宋体"/>
      <w:sz w:val="18"/>
      <w:szCs w:val="18"/>
    </w:rPr>
  </w:style>
  <w:style w:type="character" w:customStyle="1" w:styleId="32">
    <w:name w:val="纯文本 字符"/>
    <w:basedOn w:val="19"/>
    <w:link w:val="9"/>
    <w:qFormat/>
    <w:uiPriority w:val="0"/>
    <w:rPr>
      <w:rFonts w:ascii="宋体" w:hAnsi="Courier New" w:eastAsia="微软雅黑" w:cs="Courier New"/>
      <w:sz w:val="22"/>
      <w:szCs w:val="21"/>
    </w:rPr>
  </w:style>
  <w:style w:type="character" w:customStyle="1" w:styleId="33">
    <w:name w:val="批注文字 字符"/>
    <w:basedOn w:val="19"/>
    <w:link w:val="5"/>
    <w:semiHidden/>
    <w:qFormat/>
    <w:uiPriority w:val="99"/>
    <w:rPr>
      <w:kern w:val="2"/>
      <w:sz w:val="21"/>
      <w:szCs w:val="24"/>
    </w:rPr>
  </w:style>
  <w:style w:type="character" w:customStyle="1" w:styleId="34">
    <w:name w:val="批注主题 字符"/>
    <w:basedOn w:val="33"/>
    <w:link w:val="16"/>
    <w:semiHidden/>
    <w:qFormat/>
    <w:uiPriority w:val="99"/>
    <w:rPr>
      <w:b/>
      <w:bCs/>
      <w:kern w:val="2"/>
      <w:sz w:val="21"/>
      <w:szCs w:val="24"/>
    </w:rPr>
  </w:style>
  <w:style w:type="paragraph" w:styleId="35">
    <w:name w:val="List Paragraph"/>
    <w:basedOn w:val="1"/>
    <w:qFormat/>
    <w:uiPriority w:val="34"/>
    <w:pPr>
      <w:ind w:firstLine="420" w:firstLineChars="200"/>
    </w:pPr>
  </w:style>
  <w:style w:type="character" w:customStyle="1" w:styleId="36">
    <w:name w:val="正文文本缩进 字符"/>
    <w:basedOn w:val="19"/>
    <w:link w:val="8"/>
    <w:qFormat/>
    <w:uiPriority w:val="0"/>
    <w:rPr>
      <w:rFonts w:ascii="Calibri" w:hAnsi="Calibri"/>
      <w:kern w:val="2"/>
      <w:sz w:val="21"/>
      <w:szCs w:val="22"/>
    </w:rPr>
  </w:style>
  <w:style w:type="paragraph" w:customStyle="1" w:styleId="37">
    <w:name w:val="p18"/>
    <w:basedOn w:val="1"/>
    <w:qFormat/>
    <w:uiPriority w:val="0"/>
    <w:pPr>
      <w:widowControl/>
      <w:adjustRightInd w:val="0"/>
      <w:spacing w:line="312" w:lineRule="atLeast"/>
    </w:pPr>
    <w:rPr>
      <w:rFonts w:ascii="宋体" w:hAnsi="宋体" w:cs="宋体"/>
      <w:kern w:val="0"/>
      <w:sz w:val="24"/>
    </w:rPr>
  </w:style>
  <w:style w:type="character" w:customStyle="1" w:styleId="38">
    <w:name w:val="正文文本 字符"/>
    <w:basedOn w:val="19"/>
    <w:link w:val="7"/>
    <w:semiHidden/>
    <w:qFormat/>
    <w:uiPriority w:val="99"/>
    <w:rPr>
      <w:kern w:val="2"/>
      <w:sz w:val="21"/>
      <w:szCs w:val="24"/>
    </w:rPr>
  </w:style>
  <w:style w:type="character" w:customStyle="1" w:styleId="39">
    <w:name w:val="标题 1 字符"/>
    <w:basedOn w:val="19"/>
    <w:qFormat/>
    <w:uiPriority w:val="0"/>
    <w:rPr>
      <w:b/>
      <w:bCs/>
      <w:kern w:val="44"/>
      <w:sz w:val="44"/>
      <w:szCs w:val="44"/>
    </w:rPr>
  </w:style>
  <w:style w:type="character" w:customStyle="1" w:styleId="40">
    <w:name w:val="标题 2 字符"/>
    <w:basedOn w:val="19"/>
    <w:link w:val="3"/>
    <w:qFormat/>
    <w:uiPriority w:val="0"/>
    <w:rPr>
      <w:rFonts w:ascii="Arial" w:hAnsi="Arial" w:eastAsia="黑体"/>
      <w:b/>
      <w:bCs/>
      <w:kern w:val="2"/>
      <w:sz w:val="32"/>
      <w:szCs w:val="32"/>
    </w:rPr>
  </w:style>
  <w:style w:type="character" w:customStyle="1" w:styleId="41">
    <w:name w:val="标题 3 字符"/>
    <w:basedOn w:val="19"/>
    <w:link w:val="4"/>
    <w:qFormat/>
    <w:uiPriority w:val="0"/>
    <w:rPr>
      <w:b/>
      <w:bCs/>
      <w:kern w:val="2"/>
      <w:sz w:val="32"/>
      <w:szCs w:val="32"/>
    </w:rPr>
  </w:style>
  <w:style w:type="character" w:customStyle="1" w:styleId="42">
    <w:name w:val="批注框文本 字符"/>
    <w:basedOn w:val="19"/>
    <w:link w:val="11"/>
    <w:qFormat/>
    <w:uiPriority w:val="0"/>
    <w:rPr>
      <w:kern w:val="2"/>
      <w:sz w:val="18"/>
      <w:szCs w:val="18"/>
    </w:rPr>
  </w:style>
  <w:style w:type="character" w:customStyle="1" w:styleId="43">
    <w:name w:val="HTML 预设格式 字符"/>
    <w:basedOn w:val="19"/>
    <w:link w:val="14"/>
    <w:qFormat/>
    <w:uiPriority w:val="0"/>
    <w:rPr>
      <w:rFonts w:ascii="宋体" w:hAnsi="宋体" w:cs="宋体"/>
      <w:sz w:val="24"/>
      <w:szCs w:val="24"/>
    </w:rPr>
  </w:style>
  <w:style w:type="character" w:customStyle="1" w:styleId="44">
    <w:name w:val="标题 1 字符1"/>
    <w:link w:val="2"/>
    <w:qFormat/>
    <w:uiPriority w:val="0"/>
    <w:rPr>
      <w:b/>
      <w:bCs/>
      <w:kern w:val="44"/>
      <w:sz w:val="44"/>
      <w:szCs w:val="44"/>
    </w:rPr>
  </w:style>
  <w:style w:type="character" w:customStyle="1" w:styleId="45">
    <w:name w:val="页眉 Char"/>
    <w:qFormat/>
    <w:uiPriority w:val="0"/>
    <w:rPr>
      <w:kern w:val="2"/>
      <w:sz w:val="18"/>
      <w:szCs w:val="18"/>
      <w:lang w:val="zh-CN" w:eastAsia="zh-CN"/>
    </w:rPr>
  </w:style>
  <w:style w:type="character" w:customStyle="1" w:styleId="46">
    <w:name w:val="页脚 Char"/>
    <w:qFormat/>
    <w:uiPriority w:val="0"/>
    <w:rPr>
      <w:kern w:val="2"/>
      <w:sz w:val="18"/>
      <w:szCs w:val="18"/>
      <w:lang w:val="zh-CN" w:eastAsia="zh-CN"/>
    </w:rPr>
  </w:style>
  <w:style w:type="character" w:customStyle="1" w:styleId="47">
    <w:name w:val="尾注文本 字符"/>
    <w:basedOn w:val="19"/>
    <w:link w:val="10"/>
    <w:semiHidden/>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68573-E1E9-4D5C-8785-96168376DD08}">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33</Pages>
  <Words>10432</Words>
  <Characters>11432</Characters>
  <Lines>49</Lines>
  <Paragraphs>14</Paragraphs>
  <TotalTime>2</TotalTime>
  <ScaleCrop>false</ScaleCrop>
  <LinksUpToDate>false</LinksUpToDate>
  <CharactersWithSpaces>11761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2023-07-04T06:51:00Z</cp:lastPrinted>
  <dcterms:modified xsi:type="dcterms:W3CDTF">2023-07-04T06:51:12Z</dcterms:modified>
  <dc:title>广州大学城投资经营管理有限公司</dc:title>
  <cp:revision>314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8A28EC15EA5C4F6E8963A71EEF26D9A8_13</vt:lpwstr>
  </property>
</Properties>
</file>