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after="0" w:line="240" w:lineRule="auto"/>
        <w:jc w:val="center"/>
        <w:rPr>
          <w:rFonts w:hint="eastAsia" w:ascii="宋体" w:hAnsi="宋体" w:eastAsia="宋体" w:cs="宋体"/>
          <w:b/>
          <w:bCs/>
          <w:color w:val="auto"/>
          <w:kern w:val="44"/>
          <w:sz w:val="36"/>
          <w:szCs w:val="36"/>
          <w:highlight w:val="none"/>
        </w:rPr>
      </w:pPr>
      <w:r>
        <w:rPr>
          <w:rFonts w:hint="eastAsia" w:ascii="宋体" w:hAnsi="宋体" w:eastAsia="宋体" w:cs="宋体"/>
          <w:b/>
          <w:bCs/>
          <w:color w:val="auto"/>
          <w:kern w:val="44"/>
          <w:sz w:val="36"/>
          <w:szCs w:val="36"/>
          <w:highlight w:val="none"/>
        </w:rPr>
        <w:t>广州市超算分布式能源投资有限公司</w:t>
      </w:r>
    </w:p>
    <w:p>
      <w:pPr>
        <w:jc w:val="center"/>
        <w:rPr>
          <w:rFonts w:hint="eastAsia" w:ascii="楷体" w:hAnsi="楷体" w:eastAsia="楷体" w:cs="楷体"/>
          <w:b/>
          <w:bCs/>
          <w:color w:val="auto"/>
          <w:kern w:val="44"/>
          <w:sz w:val="36"/>
          <w:szCs w:val="36"/>
          <w:highlight w:val="none"/>
        </w:rPr>
      </w:pPr>
      <w:r>
        <w:rPr>
          <w:rFonts w:hint="eastAsia" w:ascii="宋体" w:hAnsi="宋体" w:eastAsia="宋体" w:cs="宋体"/>
          <w:b/>
          <w:bCs/>
          <w:color w:val="auto"/>
          <w:kern w:val="44"/>
          <w:sz w:val="36"/>
          <w:szCs w:val="36"/>
          <w:highlight w:val="none"/>
        </w:rPr>
        <w:t>能源站一期</w:t>
      </w:r>
      <w:bookmarkStart w:id="0" w:name="_Hlk137135004"/>
      <w:r>
        <w:rPr>
          <w:rFonts w:hint="eastAsia" w:ascii="宋体" w:hAnsi="宋体" w:eastAsia="宋体" w:cs="宋体"/>
          <w:b/>
          <w:bCs/>
          <w:color w:val="auto"/>
          <w:kern w:val="44"/>
          <w:sz w:val="36"/>
          <w:szCs w:val="36"/>
          <w:highlight w:val="none"/>
        </w:rPr>
        <w:t>系统优化及冷热电系统扩容可行性研究报告</w:t>
      </w:r>
      <w:bookmarkEnd w:id="0"/>
      <w:r>
        <w:rPr>
          <w:rFonts w:hint="eastAsia" w:ascii="宋体" w:hAnsi="宋体" w:eastAsia="宋体" w:cs="宋体"/>
          <w:b/>
          <w:bCs/>
          <w:color w:val="auto"/>
          <w:kern w:val="44"/>
          <w:sz w:val="36"/>
          <w:szCs w:val="36"/>
          <w:highlight w:val="none"/>
        </w:rPr>
        <w:t>编制及相关服务采购</w:t>
      </w:r>
    </w:p>
    <w:p>
      <w:pPr>
        <w:jc w:val="center"/>
        <w:rPr>
          <w:b/>
          <w:color w:val="auto"/>
          <w:sz w:val="28"/>
          <w:highlight w:val="none"/>
        </w:rPr>
      </w:pPr>
      <w:bookmarkStart w:id="2" w:name="_GoBack"/>
      <w:bookmarkEnd w:id="2"/>
      <w:r>
        <w:rPr>
          <w:rFonts w:hint="eastAsia"/>
          <w:b/>
          <w:color w:val="auto"/>
          <w:sz w:val="28"/>
          <w:highlight w:val="none"/>
        </w:rPr>
        <w:t>竞选文件</w:t>
      </w:r>
    </w:p>
    <w:p>
      <w:pPr>
        <w:ind w:firstLine="482" w:firstLineChars="200"/>
        <w:jc w:val="left"/>
        <w:rPr>
          <w:rFonts w:ascii="宋体" w:hAnsi="宋体"/>
          <w:b/>
          <w:color w:val="auto"/>
          <w:sz w:val="24"/>
          <w:highlight w:val="none"/>
        </w:rPr>
      </w:pPr>
    </w:p>
    <w:p>
      <w:pPr>
        <w:pStyle w:val="16"/>
        <w:numPr>
          <w:ilvl w:val="0"/>
          <w:numId w:val="1"/>
        </w:numPr>
        <w:spacing w:line="360" w:lineRule="auto"/>
        <w:ind w:left="0" w:firstLine="482"/>
        <w:rPr>
          <w:rFonts w:ascii="宋体" w:hAnsi="宋体"/>
          <w:b/>
          <w:color w:val="auto"/>
          <w:sz w:val="24"/>
          <w:highlight w:val="none"/>
        </w:rPr>
      </w:pPr>
      <w:r>
        <w:rPr>
          <w:rFonts w:hint="eastAsia" w:ascii="宋体" w:hAnsi="宋体"/>
          <w:b/>
          <w:color w:val="auto"/>
          <w:sz w:val="24"/>
          <w:highlight w:val="none"/>
        </w:rPr>
        <w:t>项目名称和采购内容</w:t>
      </w:r>
    </w:p>
    <w:p>
      <w:pPr>
        <w:pStyle w:val="16"/>
        <w:numPr>
          <w:ilvl w:val="-1"/>
          <w:numId w:val="0"/>
        </w:numPr>
        <w:tabs>
          <w:tab w:val="left" w:pos="420"/>
        </w:tabs>
        <w:spacing w:line="360" w:lineRule="auto"/>
        <w:ind w:left="0" w:firstLine="480" w:firstLineChars="0"/>
        <w:rPr>
          <w:rFonts w:ascii="宋体" w:hAnsi="宋体"/>
          <w:color w:val="auto"/>
          <w:sz w:val="24"/>
          <w:highlight w:val="none"/>
          <w:u w:val="singl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w:t>
      </w:r>
      <w:r>
        <w:rPr>
          <w:rFonts w:hint="eastAsia" w:ascii="宋体" w:hAnsi="宋体"/>
          <w:color w:val="auto"/>
          <w:sz w:val="24"/>
          <w:highlight w:val="none"/>
        </w:rPr>
        <w:t>项目名称</w:t>
      </w:r>
      <w:r>
        <w:rPr>
          <w:rFonts w:hint="eastAsia" w:ascii="宋体" w:hAnsi="宋体"/>
          <w:color w:val="auto"/>
          <w:sz w:val="24"/>
          <w:highlight w:val="none"/>
          <w:lang w:eastAsia="zh-CN"/>
        </w:rPr>
        <w:t>：</w:t>
      </w:r>
      <w:r>
        <w:rPr>
          <w:rFonts w:hint="eastAsia" w:ascii="宋体" w:hAnsi="宋体" w:eastAsia="宋体" w:cs="宋体"/>
          <w:color w:val="auto"/>
          <w:sz w:val="24"/>
          <w:szCs w:val="24"/>
          <w:highlight w:val="none"/>
        </w:rPr>
        <w:t>能源站一期系统优化及冷热电系统扩容可行性研究报告编制及相关服务</w:t>
      </w:r>
      <w:r>
        <w:rPr>
          <w:rFonts w:hint="eastAsia" w:ascii="宋体" w:hAnsi="宋体" w:eastAsia="宋体" w:cs="宋体"/>
          <w:b w:val="0"/>
          <w:color w:val="auto"/>
          <w:sz w:val="24"/>
          <w:szCs w:val="24"/>
          <w:highlight w:val="none"/>
        </w:rPr>
        <w:t>采购</w:t>
      </w:r>
    </w:p>
    <w:p>
      <w:pPr>
        <w:pStyle w:val="16"/>
        <w:numPr>
          <w:ilvl w:val="-1"/>
          <w:numId w:val="0"/>
        </w:numPr>
        <w:tabs>
          <w:tab w:val="left" w:pos="420"/>
        </w:tabs>
        <w:spacing w:line="360" w:lineRule="auto"/>
        <w:ind w:left="480" w:firstLine="0" w:firstLineChars="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rPr>
        <w:t>采购限价：</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rPr>
        <w:t>万元</w:t>
      </w:r>
      <w:r>
        <w:rPr>
          <w:rFonts w:hint="eastAsia" w:ascii="宋体" w:hAnsi="宋体"/>
          <w:color w:val="auto"/>
          <w:sz w:val="24"/>
          <w:highlight w:val="none"/>
        </w:rPr>
        <w:t>。（投标报价超过采购限价为无效投标）。</w:t>
      </w:r>
    </w:p>
    <w:p>
      <w:pPr>
        <w:pStyle w:val="16"/>
        <w:numPr>
          <w:ilvl w:val="-1"/>
          <w:numId w:val="0"/>
        </w:numPr>
        <w:tabs>
          <w:tab w:val="left" w:pos="420"/>
        </w:tabs>
        <w:spacing w:line="360" w:lineRule="auto"/>
        <w:ind w:left="480" w:firstLine="0" w:firstLineChars="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rPr>
        <w:t>采购内容：</w:t>
      </w:r>
      <w:r>
        <w:rPr>
          <w:rFonts w:hint="eastAsia" w:ascii="宋体" w:hAnsi="宋体" w:eastAsia="宋体" w:cs="宋体"/>
          <w:color w:val="auto"/>
          <w:sz w:val="24"/>
          <w:szCs w:val="24"/>
          <w:highlight w:val="none"/>
          <w:u w:val="none"/>
        </w:rPr>
        <w:t>完成</w:t>
      </w:r>
      <w:r>
        <w:rPr>
          <w:rFonts w:hint="eastAsia" w:ascii="宋体" w:hAnsi="宋体" w:eastAsia="宋体" w:cs="宋体"/>
          <w:color w:val="auto"/>
          <w:sz w:val="24"/>
          <w:szCs w:val="24"/>
          <w:highlight w:val="none"/>
        </w:rPr>
        <w:t>超算公司能源站一期系统优化及冷热电系统扩容可行性研究报告</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超算公司能源站一期系统优化及冷热电系统扩容技术需求书</w:t>
      </w:r>
      <w:r>
        <w:rPr>
          <w:rFonts w:ascii="宋体" w:hAnsi="宋体"/>
          <w:color w:val="auto"/>
          <w:sz w:val="24"/>
          <w:highlight w:val="none"/>
        </w:rPr>
        <w:t>。</w:t>
      </w:r>
      <w:r>
        <w:rPr>
          <w:rFonts w:hint="eastAsia" w:ascii="宋体" w:hAnsi="宋体"/>
          <w:color w:val="auto"/>
          <w:sz w:val="24"/>
          <w:highlight w:val="none"/>
        </w:rPr>
        <w:t>具体详见附件1本项目“采购需求”。</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二、合格供应商资格要求</w:t>
      </w:r>
    </w:p>
    <w:p>
      <w:pPr>
        <w:pStyle w:val="19"/>
        <w:numPr>
          <w:ilvl w:val="0"/>
          <w:numId w:val="2"/>
        </w:numPr>
        <w:tabs>
          <w:tab w:val="left" w:pos="709"/>
          <w:tab w:val="left" w:pos="851"/>
        </w:tabs>
        <w:spacing w:line="360" w:lineRule="auto"/>
        <w:ind w:left="0" w:firstLine="560" w:firstLineChars="0"/>
        <w:rPr>
          <w:rFonts w:asciiTheme="minorEastAsia" w:hAnsiTheme="minorEastAsia"/>
          <w:color w:val="auto"/>
          <w:sz w:val="24"/>
          <w:szCs w:val="24"/>
          <w:highlight w:val="none"/>
        </w:rPr>
      </w:pPr>
      <w:r>
        <w:rPr>
          <w:rFonts w:cs="Arial" w:asciiTheme="minorEastAsia" w:hAnsiTheme="minorEastAsia"/>
          <w:color w:val="auto"/>
          <w:sz w:val="24"/>
          <w:szCs w:val="24"/>
          <w:highlight w:val="none"/>
        </w:rPr>
        <w:t>必须是具有独立承担民事责任能力的在中华人民共和国境内注册的法人，</w:t>
      </w:r>
      <w:r>
        <w:rPr>
          <w:rFonts w:hint="eastAsia" w:cs="Arial" w:asciiTheme="minorEastAsia" w:hAnsiTheme="minorEastAsia"/>
          <w:color w:val="auto"/>
          <w:sz w:val="24"/>
          <w:szCs w:val="24"/>
          <w:highlight w:val="none"/>
        </w:rPr>
        <w:t>具备有效的工商营业执照、企业法人组织机构代码证书、税务登记证书（或三证合一），按国家法律经营。</w:t>
      </w:r>
      <w:r>
        <w:rPr>
          <w:rFonts w:asciiTheme="minorEastAsia" w:hAnsiTheme="minorEastAsia"/>
          <w:color w:val="auto"/>
          <w:sz w:val="24"/>
          <w:szCs w:val="24"/>
          <w:highlight w:val="none"/>
        </w:rPr>
        <w:t xml:space="preserve"> </w:t>
      </w:r>
    </w:p>
    <w:p>
      <w:pPr>
        <w:pStyle w:val="19"/>
        <w:numPr>
          <w:ilvl w:val="0"/>
          <w:numId w:val="2"/>
        </w:numPr>
        <w:tabs>
          <w:tab w:val="left" w:pos="709"/>
          <w:tab w:val="left" w:pos="851"/>
        </w:tabs>
        <w:spacing w:line="360" w:lineRule="auto"/>
        <w:ind w:left="0" w:firstLine="560" w:firstLineChars="0"/>
        <w:rPr>
          <w:rFonts w:cs="Arial" w:asciiTheme="minorEastAsia" w:hAnsiTheme="minorEastAsia"/>
          <w:color w:val="auto"/>
          <w:sz w:val="24"/>
          <w:szCs w:val="24"/>
          <w:highlight w:val="none"/>
        </w:rPr>
      </w:pPr>
      <w:r>
        <w:rPr>
          <w:rFonts w:hint="eastAsia" w:cs="Arial" w:asciiTheme="minorEastAsia" w:hAnsiTheme="minorEastAsia"/>
          <w:color w:val="auto"/>
          <w:sz w:val="24"/>
          <w:szCs w:val="24"/>
          <w:highlight w:val="none"/>
        </w:rPr>
        <w:t>投标人未被列入“信用中国”网站（</w:t>
      </w:r>
      <w:r>
        <w:rPr>
          <w:rFonts w:cs="Arial" w:asciiTheme="minorEastAsia" w:hAnsiTheme="minorEastAsia"/>
          <w:color w:val="auto"/>
          <w:sz w:val="24"/>
          <w:szCs w:val="24"/>
          <w:highlight w:val="none"/>
        </w:rPr>
        <w:t>www.creditchina.gov.cn）记录失信被执行人或重大税收违法案件当事人名单，投标人须提供《信用记录承诺函》附“信用中国”网站（www.creditchina.gov.cn）的信用记录查询结果截图并打印页面加盖公章。</w:t>
      </w:r>
    </w:p>
    <w:p>
      <w:pPr>
        <w:pStyle w:val="19"/>
        <w:numPr>
          <w:ilvl w:val="0"/>
          <w:numId w:val="2"/>
        </w:numPr>
        <w:tabs>
          <w:tab w:val="left" w:pos="709"/>
          <w:tab w:val="left" w:pos="851"/>
        </w:tabs>
        <w:spacing w:line="360" w:lineRule="auto"/>
        <w:ind w:left="0" w:firstLine="560" w:firstLineChars="0"/>
        <w:rPr>
          <w:rFonts w:cs="Arial" w:asciiTheme="minorEastAsia" w:hAnsiTheme="minorEastAsia"/>
          <w:color w:val="auto"/>
          <w:sz w:val="24"/>
          <w:szCs w:val="24"/>
          <w:highlight w:val="none"/>
        </w:rPr>
      </w:pPr>
      <w:r>
        <w:rPr>
          <w:rFonts w:hint="eastAsia" w:cs="Arial" w:asciiTheme="minorEastAsia" w:hAnsiTheme="minorEastAsia"/>
          <w:color w:val="auto"/>
          <w:sz w:val="24"/>
          <w:szCs w:val="24"/>
          <w:highlight w:val="none"/>
        </w:rPr>
        <w:t>投标人没有处于被责令停业或破产状态，且资产未被重组、接管和冻结，声明在投标活动中</w:t>
      </w:r>
      <w:r>
        <w:rPr>
          <w:rFonts w:cs="Arial" w:asciiTheme="minorEastAsia" w:hAnsiTheme="minorEastAsia"/>
          <w:color w:val="auto"/>
          <w:sz w:val="24"/>
          <w:szCs w:val="24"/>
          <w:highlight w:val="none"/>
        </w:rPr>
        <w:t>3年内没有重大违法活动和涉嫌违规行为。（格式自拟）</w:t>
      </w:r>
    </w:p>
    <w:p>
      <w:pPr>
        <w:pStyle w:val="19"/>
        <w:numPr>
          <w:ilvl w:val="0"/>
          <w:numId w:val="2"/>
        </w:numPr>
        <w:spacing w:line="360" w:lineRule="auto"/>
        <w:ind w:left="0" w:firstLine="560" w:firstLineChars="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已在全国投资项目在线审批监管平台完成咨询业务备案，需提供备案网页或证书复印件作为证明材料。</w:t>
      </w:r>
    </w:p>
    <w:p>
      <w:pPr>
        <w:pStyle w:val="19"/>
        <w:numPr>
          <w:ilvl w:val="0"/>
          <w:numId w:val="2"/>
        </w:numPr>
        <w:spacing w:line="360" w:lineRule="auto"/>
        <w:ind w:left="0" w:firstLine="560" w:firstLineChars="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具有</w:t>
      </w:r>
      <w:r>
        <w:rPr>
          <w:rFonts w:hint="eastAsia" w:asciiTheme="minorEastAsia" w:hAnsiTheme="minorEastAsia"/>
          <w:color w:val="auto"/>
          <w:sz w:val="24"/>
          <w:szCs w:val="24"/>
          <w:highlight w:val="none"/>
          <w:lang w:val="en-US" w:eastAsia="zh-CN"/>
        </w:rPr>
        <w:t>能源、新能源、区域供冷、集中供冷、区域集中供冷、冷站、能源站等项目咨询、设计经验，需提供相关类似业绩作为证明材料</w:t>
      </w:r>
      <w:r>
        <w:rPr>
          <w:rFonts w:hint="eastAsia" w:asciiTheme="minorEastAsia" w:hAnsiTheme="minorEastAsia"/>
          <w:color w:val="auto"/>
          <w:sz w:val="24"/>
          <w:szCs w:val="24"/>
          <w:highlight w:val="none"/>
        </w:rPr>
        <w:t>。</w:t>
      </w:r>
    </w:p>
    <w:p>
      <w:pPr>
        <w:pStyle w:val="19"/>
        <w:numPr>
          <w:ilvl w:val="0"/>
          <w:numId w:val="2"/>
        </w:numPr>
        <w:spacing w:line="360" w:lineRule="auto"/>
        <w:ind w:left="0" w:firstLine="560" w:firstLineChars="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本项目不接受联合体报价。</w:t>
      </w:r>
    </w:p>
    <w:p>
      <w:pPr>
        <w:pStyle w:val="16"/>
        <w:numPr>
          <w:ilvl w:val="0"/>
          <w:numId w:val="3"/>
        </w:numPr>
        <w:spacing w:line="360" w:lineRule="auto"/>
        <w:ind w:left="0" w:firstLine="482"/>
        <w:rPr>
          <w:rFonts w:ascii="宋体" w:hAnsi="宋体"/>
          <w:b/>
          <w:color w:val="auto"/>
          <w:sz w:val="24"/>
          <w:highlight w:val="none"/>
        </w:rPr>
      </w:pPr>
      <w:r>
        <w:rPr>
          <w:rFonts w:hint="eastAsia" w:ascii="宋体" w:hAnsi="宋体"/>
          <w:b/>
          <w:color w:val="auto"/>
          <w:sz w:val="24"/>
          <w:highlight w:val="none"/>
        </w:rPr>
        <w:t>费用、支付方式及</w:t>
      </w:r>
      <w:r>
        <w:rPr>
          <w:rFonts w:hint="eastAsia" w:ascii="宋体" w:hAnsi="宋体"/>
          <w:b/>
          <w:color w:val="auto"/>
          <w:sz w:val="24"/>
          <w:highlight w:val="none"/>
          <w:lang w:val="en-US" w:eastAsia="zh-CN"/>
        </w:rPr>
        <w:t>工</w:t>
      </w:r>
      <w:r>
        <w:rPr>
          <w:rFonts w:hint="eastAsia" w:ascii="宋体" w:hAnsi="宋体"/>
          <w:b/>
          <w:color w:val="auto"/>
          <w:sz w:val="24"/>
          <w:highlight w:val="none"/>
        </w:rPr>
        <w:t>期</w:t>
      </w:r>
    </w:p>
    <w:p>
      <w:pPr>
        <w:pStyle w:val="16"/>
        <w:numPr>
          <w:ilvl w:val="0"/>
          <w:numId w:val="4"/>
        </w:numPr>
        <w:spacing w:line="360" w:lineRule="auto"/>
        <w:ind w:firstLine="480"/>
        <w:rPr>
          <w:rFonts w:ascii="宋体" w:hAnsi="宋体"/>
          <w:color w:val="auto"/>
          <w:sz w:val="24"/>
          <w:highlight w:val="none"/>
        </w:rPr>
      </w:pPr>
      <w:r>
        <w:rPr>
          <w:rFonts w:hint="eastAsia" w:ascii="宋体" w:hAnsi="宋体"/>
          <w:color w:val="auto"/>
          <w:sz w:val="24"/>
          <w:highlight w:val="none"/>
        </w:rPr>
        <w:t>本项目采用总价包干。本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pPr>
        <w:pStyle w:val="16"/>
        <w:numPr>
          <w:ilvl w:val="0"/>
          <w:numId w:val="4"/>
        </w:numPr>
        <w:spacing w:line="360" w:lineRule="auto"/>
        <w:ind w:firstLine="480"/>
        <w:rPr>
          <w:rFonts w:ascii="宋体" w:hAnsi="宋体"/>
          <w:color w:val="auto"/>
          <w:sz w:val="24"/>
          <w:highlight w:val="none"/>
        </w:rPr>
      </w:pPr>
      <w:r>
        <w:rPr>
          <w:rFonts w:hint="eastAsia" w:ascii="宋体" w:hAnsi="宋体"/>
          <w:color w:val="auto"/>
          <w:sz w:val="24"/>
          <w:highlight w:val="none"/>
        </w:rPr>
        <w:t>付款方式</w:t>
      </w:r>
    </w:p>
    <w:p>
      <w:pPr>
        <w:spacing w:beforeLines="50" w:afterLines="50"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在合同履行期内，若国家税费调整，合同含税金额按国家规定税率作出相应调整，供方每次申请付款应按照合同内容开具相应税率的合法有效的增值税专用发票。</w:t>
      </w:r>
    </w:p>
    <w:p>
      <w:pPr>
        <w:spacing w:beforeLines="50" w:afterLines="50"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合同付款按完成进度支付，具体为：</w:t>
      </w:r>
    </w:p>
    <w:p>
      <w:pPr>
        <w:pStyle w:val="19"/>
        <w:numPr>
          <w:ilvl w:val="0"/>
          <w:numId w:val="5"/>
        </w:numPr>
        <w:spacing w:line="360" w:lineRule="auto"/>
        <w:ind w:left="0" w:firstLine="560" w:firstLineChars="0"/>
        <w:rPr>
          <w:rFonts w:asciiTheme="minorEastAsia" w:hAnsiTheme="minorEastAsia"/>
          <w:color w:val="auto"/>
          <w:sz w:val="24"/>
          <w:szCs w:val="28"/>
          <w:highlight w:val="none"/>
        </w:rPr>
      </w:pPr>
      <w:r>
        <w:rPr>
          <w:rFonts w:hint="eastAsia" w:cs="Arial" w:asciiTheme="minorEastAsia" w:hAnsiTheme="minorEastAsia"/>
          <w:color w:val="auto"/>
          <w:sz w:val="24"/>
          <w:szCs w:val="28"/>
          <w:highlight w:val="none"/>
        </w:rPr>
        <w:t>中标人</w:t>
      </w:r>
      <w:r>
        <w:rPr>
          <w:rFonts w:hint="eastAsia" w:asciiTheme="minorEastAsia" w:hAnsiTheme="minorEastAsia"/>
          <w:color w:val="auto"/>
          <w:sz w:val="24"/>
          <w:szCs w:val="28"/>
          <w:highlight w:val="none"/>
        </w:rPr>
        <w:t>在要求时间内提交初稿并经</w:t>
      </w:r>
      <w:r>
        <w:rPr>
          <w:rFonts w:hint="eastAsia" w:cs="Arial" w:asciiTheme="minorEastAsia" w:hAnsiTheme="minorEastAsia"/>
          <w:color w:val="auto"/>
          <w:sz w:val="24"/>
          <w:szCs w:val="28"/>
          <w:highlight w:val="none"/>
        </w:rPr>
        <w:t>初步</w:t>
      </w:r>
      <w:r>
        <w:rPr>
          <w:rFonts w:hint="eastAsia" w:asciiTheme="minorEastAsia" w:hAnsiTheme="minorEastAsia"/>
          <w:color w:val="auto"/>
          <w:sz w:val="24"/>
          <w:szCs w:val="28"/>
          <w:highlight w:val="none"/>
        </w:rPr>
        <w:t>验收确认，</w:t>
      </w:r>
      <w:r>
        <w:rPr>
          <w:rFonts w:hint="eastAsia" w:cs="Arial" w:asciiTheme="minorEastAsia" w:hAnsiTheme="minorEastAsia"/>
          <w:color w:val="auto"/>
          <w:sz w:val="24"/>
          <w:szCs w:val="28"/>
          <w:highlight w:val="none"/>
        </w:rPr>
        <w:t>采购人</w:t>
      </w:r>
      <w:r>
        <w:rPr>
          <w:rFonts w:hint="eastAsia" w:asciiTheme="minorEastAsia" w:hAnsiTheme="minorEastAsia"/>
          <w:color w:val="auto"/>
          <w:sz w:val="24"/>
          <w:szCs w:val="28"/>
          <w:highlight w:val="none"/>
        </w:rPr>
        <w:t>收到</w:t>
      </w:r>
      <w:r>
        <w:rPr>
          <w:rFonts w:hint="eastAsia" w:cs="Arial" w:asciiTheme="minorEastAsia" w:hAnsiTheme="minorEastAsia"/>
          <w:color w:val="auto"/>
          <w:sz w:val="24"/>
          <w:szCs w:val="28"/>
          <w:highlight w:val="none"/>
        </w:rPr>
        <w:t>中标人</w:t>
      </w:r>
      <w:r>
        <w:rPr>
          <w:rFonts w:hint="eastAsia" w:asciiTheme="minorEastAsia" w:hAnsiTheme="minorEastAsia"/>
          <w:color w:val="auto"/>
          <w:sz w:val="24"/>
          <w:szCs w:val="28"/>
          <w:highlight w:val="none"/>
        </w:rPr>
        <w:t>请款资料后15</w:t>
      </w:r>
      <w:r>
        <w:rPr>
          <w:rFonts w:asciiTheme="minorEastAsia" w:hAnsiTheme="minorEastAsia"/>
          <w:color w:val="auto"/>
          <w:sz w:val="24"/>
          <w:szCs w:val="28"/>
          <w:highlight w:val="none"/>
        </w:rPr>
        <w:t>个工作日内支付</w:t>
      </w:r>
      <w:r>
        <w:rPr>
          <w:rFonts w:hint="eastAsia" w:asciiTheme="minorEastAsia" w:hAnsiTheme="minorEastAsia"/>
          <w:color w:val="auto"/>
          <w:sz w:val="24"/>
          <w:szCs w:val="28"/>
          <w:highlight w:val="none"/>
        </w:rPr>
        <w:t>至</w:t>
      </w:r>
      <w:r>
        <w:rPr>
          <w:rFonts w:asciiTheme="minorEastAsia" w:hAnsiTheme="minorEastAsia"/>
          <w:color w:val="auto"/>
          <w:sz w:val="24"/>
          <w:szCs w:val="28"/>
          <w:highlight w:val="none"/>
        </w:rPr>
        <w:t>合同价的</w:t>
      </w:r>
      <w:r>
        <w:rPr>
          <w:rFonts w:hint="eastAsia" w:asciiTheme="minorEastAsia" w:hAnsiTheme="minorEastAsia"/>
          <w:color w:val="auto"/>
          <w:sz w:val="24"/>
          <w:szCs w:val="28"/>
          <w:highlight w:val="none"/>
          <w:lang w:eastAsia="zh-CN"/>
        </w:rPr>
        <w:t>5</w:t>
      </w:r>
      <w:r>
        <w:rPr>
          <w:rFonts w:hint="eastAsia" w:asciiTheme="minorEastAsia" w:hAnsiTheme="minorEastAsia"/>
          <w:color w:val="auto"/>
          <w:sz w:val="24"/>
          <w:szCs w:val="28"/>
          <w:highlight w:val="none"/>
          <w:lang w:val="en-US" w:eastAsia="zh-CN"/>
        </w:rPr>
        <w:t>0</w:t>
      </w:r>
      <w:r>
        <w:rPr>
          <w:rFonts w:asciiTheme="minorEastAsia" w:hAnsiTheme="minorEastAsia"/>
          <w:color w:val="auto"/>
          <w:sz w:val="24"/>
          <w:szCs w:val="28"/>
          <w:highlight w:val="none"/>
        </w:rPr>
        <w:t>%；</w:t>
      </w:r>
    </w:p>
    <w:p>
      <w:pPr>
        <w:pStyle w:val="19"/>
        <w:numPr>
          <w:ilvl w:val="0"/>
          <w:numId w:val="5"/>
        </w:numPr>
        <w:spacing w:line="360" w:lineRule="auto"/>
        <w:ind w:left="0" w:firstLine="560" w:firstLineChars="0"/>
        <w:rPr>
          <w:rFonts w:asciiTheme="minorEastAsia" w:hAnsiTheme="minorEastAsia"/>
          <w:color w:val="auto"/>
          <w:sz w:val="24"/>
          <w:szCs w:val="28"/>
          <w:highlight w:val="none"/>
        </w:rPr>
      </w:pPr>
      <w:r>
        <w:rPr>
          <w:rFonts w:hint="eastAsia" w:cs="Arial" w:asciiTheme="minorEastAsia" w:hAnsiTheme="minorEastAsia"/>
          <w:color w:val="auto"/>
          <w:sz w:val="24"/>
          <w:szCs w:val="28"/>
          <w:highlight w:val="none"/>
        </w:rPr>
        <w:t>中标人</w:t>
      </w:r>
      <w:r>
        <w:rPr>
          <w:rFonts w:hint="eastAsia" w:asciiTheme="minorEastAsia" w:hAnsiTheme="minorEastAsia"/>
          <w:color w:val="auto"/>
          <w:sz w:val="24"/>
          <w:szCs w:val="28"/>
          <w:highlight w:val="none"/>
        </w:rPr>
        <w:t>在要求时间内提交终稿并经最终验收确认，</w:t>
      </w:r>
      <w:r>
        <w:rPr>
          <w:rFonts w:hint="eastAsia" w:ascii="宋体" w:hAnsi="宋体" w:cs="Arial"/>
          <w:color w:val="auto"/>
          <w:sz w:val="24"/>
          <w:highlight w:val="none"/>
          <w:lang w:val="en-US" w:eastAsia="zh-CN"/>
        </w:rPr>
        <w:t>并</w:t>
      </w:r>
      <w:r>
        <w:rPr>
          <w:rFonts w:hint="eastAsia" w:ascii="宋体" w:hAnsi="宋体" w:cs="Arial"/>
          <w:color w:val="auto"/>
          <w:sz w:val="24"/>
          <w:highlight w:val="none"/>
        </w:rPr>
        <w:t>按要求提交报告</w:t>
      </w:r>
      <w:r>
        <w:rPr>
          <w:rFonts w:hint="eastAsia" w:ascii="宋体" w:hAnsi="宋体" w:cs="Arial"/>
          <w:color w:val="auto"/>
          <w:sz w:val="24"/>
          <w:highlight w:val="none"/>
          <w:lang w:val="en-US" w:eastAsia="zh-CN"/>
        </w:rPr>
        <w:t>及需求书</w:t>
      </w:r>
      <w:r>
        <w:rPr>
          <w:rFonts w:hint="eastAsia" w:ascii="宋体" w:hAnsi="宋体" w:cs="Arial"/>
          <w:color w:val="auto"/>
          <w:sz w:val="24"/>
          <w:highlight w:val="none"/>
        </w:rPr>
        <w:t>终稿印刷本一式</w:t>
      </w:r>
      <w:r>
        <w:rPr>
          <w:rFonts w:hint="eastAsia" w:ascii="宋体" w:hAnsi="宋体" w:cs="Arial"/>
          <w:color w:val="auto"/>
          <w:sz w:val="24"/>
          <w:highlight w:val="none"/>
          <w:lang w:eastAsia="zh-CN"/>
        </w:rPr>
        <w:t>1</w:t>
      </w:r>
      <w:r>
        <w:rPr>
          <w:rFonts w:hint="eastAsia" w:ascii="宋体" w:hAnsi="宋体" w:cs="Arial"/>
          <w:color w:val="auto"/>
          <w:sz w:val="24"/>
          <w:highlight w:val="none"/>
          <w:lang w:val="en-US" w:eastAsia="zh-CN"/>
        </w:rPr>
        <w:t>0</w:t>
      </w:r>
      <w:r>
        <w:rPr>
          <w:rFonts w:hint="eastAsia" w:ascii="宋体" w:hAnsi="宋体" w:cs="Arial"/>
          <w:color w:val="auto"/>
          <w:sz w:val="24"/>
          <w:highlight w:val="none"/>
        </w:rPr>
        <w:t>份及电子文档一份（光盘或</w:t>
      </w:r>
      <w:r>
        <w:rPr>
          <w:rFonts w:ascii="宋体" w:hAnsi="宋体" w:cs="Arial"/>
          <w:color w:val="auto"/>
          <w:sz w:val="24"/>
          <w:highlight w:val="none"/>
        </w:rPr>
        <w:t>U盘）后</w:t>
      </w:r>
      <w:r>
        <w:rPr>
          <w:rFonts w:hint="eastAsia" w:cs="Arial" w:asciiTheme="minorEastAsia" w:hAnsiTheme="minorEastAsia"/>
          <w:color w:val="auto"/>
          <w:sz w:val="24"/>
          <w:szCs w:val="28"/>
          <w:highlight w:val="none"/>
        </w:rPr>
        <w:t>采购人</w:t>
      </w:r>
      <w:r>
        <w:rPr>
          <w:rFonts w:hint="eastAsia" w:asciiTheme="minorEastAsia" w:hAnsiTheme="minorEastAsia"/>
          <w:color w:val="auto"/>
          <w:sz w:val="24"/>
          <w:szCs w:val="28"/>
          <w:highlight w:val="none"/>
        </w:rPr>
        <w:t>收到</w:t>
      </w:r>
      <w:r>
        <w:rPr>
          <w:rFonts w:hint="eastAsia" w:cs="Arial" w:asciiTheme="minorEastAsia" w:hAnsiTheme="minorEastAsia"/>
          <w:color w:val="auto"/>
          <w:sz w:val="24"/>
          <w:szCs w:val="28"/>
          <w:highlight w:val="none"/>
        </w:rPr>
        <w:t>中标人</w:t>
      </w:r>
      <w:r>
        <w:rPr>
          <w:rFonts w:hint="eastAsia" w:asciiTheme="minorEastAsia" w:hAnsiTheme="minorEastAsia"/>
          <w:color w:val="auto"/>
          <w:sz w:val="24"/>
          <w:szCs w:val="28"/>
          <w:highlight w:val="none"/>
        </w:rPr>
        <w:t>请款资料后15</w:t>
      </w:r>
      <w:r>
        <w:rPr>
          <w:rFonts w:asciiTheme="minorEastAsia" w:hAnsiTheme="minorEastAsia"/>
          <w:color w:val="auto"/>
          <w:sz w:val="24"/>
          <w:szCs w:val="28"/>
          <w:highlight w:val="none"/>
        </w:rPr>
        <w:t>个工作日内支付</w:t>
      </w:r>
      <w:r>
        <w:rPr>
          <w:rFonts w:hint="eastAsia" w:asciiTheme="minorEastAsia" w:hAnsiTheme="minorEastAsia"/>
          <w:color w:val="auto"/>
          <w:sz w:val="24"/>
          <w:szCs w:val="28"/>
          <w:highlight w:val="none"/>
        </w:rPr>
        <w:t>至</w:t>
      </w:r>
      <w:r>
        <w:rPr>
          <w:rFonts w:asciiTheme="minorEastAsia" w:hAnsiTheme="minorEastAsia"/>
          <w:color w:val="auto"/>
          <w:sz w:val="24"/>
          <w:szCs w:val="28"/>
          <w:highlight w:val="none"/>
        </w:rPr>
        <w:t>合同价的</w:t>
      </w:r>
      <w:r>
        <w:rPr>
          <w:rFonts w:hint="eastAsia" w:asciiTheme="minorEastAsia" w:hAnsiTheme="minorEastAsia"/>
          <w:color w:val="auto"/>
          <w:sz w:val="24"/>
          <w:szCs w:val="28"/>
          <w:highlight w:val="none"/>
        </w:rPr>
        <w:t>100</w:t>
      </w:r>
      <w:r>
        <w:rPr>
          <w:rFonts w:asciiTheme="minorEastAsia" w:hAnsiTheme="minorEastAsia"/>
          <w:color w:val="auto"/>
          <w:sz w:val="24"/>
          <w:szCs w:val="28"/>
          <w:highlight w:val="none"/>
        </w:rPr>
        <w:t>%；</w:t>
      </w:r>
    </w:p>
    <w:p>
      <w:pPr>
        <w:pStyle w:val="19"/>
        <w:numPr>
          <w:ilvl w:val="0"/>
          <w:numId w:val="5"/>
        </w:numPr>
        <w:spacing w:line="360" w:lineRule="auto"/>
        <w:ind w:left="0" w:firstLine="560" w:firstLineChars="0"/>
        <w:rPr>
          <w:rFonts w:cs="Arial" w:asciiTheme="minorEastAsia" w:hAnsiTheme="minorEastAsia"/>
          <w:color w:val="auto"/>
          <w:sz w:val="24"/>
          <w:szCs w:val="28"/>
          <w:highlight w:val="none"/>
        </w:rPr>
      </w:pPr>
      <w:r>
        <w:rPr>
          <w:rFonts w:hint="eastAsia" w:cs="Arial" w:asciiTheme="minorEastAsia" w:hAnsiTheme="minorEastAsia"/>
          <w:color w:val="auto"/>
          <w:sz w:val="24"/>
          <w:szCs w:val="28"/>
          <w:highlight w:val="none"/>
        </w:rPr>
        <w:t>每次付款前乙方开具符合国家税务规定的等额合格的增值税专用发票给甲方。乙方晚于付款期限提供的，甲方付款期限相应顺延。</w:t>
      </w:r>
    </w:p>
    <w:p>
      <w:pPr>
        <w:pStyle w:val="19"/>
        <w:numPr>
          <w:ilvl w:val="-1"/>
          <w:numId w:val="0"/>
        </w:numPr>
        <w:spacing w:beforeLines="50" w:afterLines="50" w:line="360" w:lineRule="auto"/>
        <w:ind w:left="0" w:firstLine="0" w:firstLineChars="0"/>
        <w:rPr>
          <w:rFonts w:hint="default" w:cs="Arial" w:asciiTheme="minorEastAsia" w:hAnsiTheme="minorEastAsia" w:eastAsiaTheme="minorEastAsia"/>
          <w:color w:val="auto"/>
          <w:sz w:val="24"/>
          <w:szCs w:val="28"/>
          <w:highlight w:val="none"/>
          <w:lang w:val="en-US" w:eastAsia="zh-CN"/>
        </w:rPr>
      </w:pPr>
      <w:r>
        <w:rPr>
          <w:rFonts w:hint="eastAsia" w:cs="Arial" w:asciiTheme="minorEastAsia" w:hAnsiTheme="minorEastAsia"/>
          <w:color w:val="auto"/>
          <w:sz w:val="24"/>
          <w:szCs w:val="28"/>
          <w:highlight w:val="none"/>
          <w:lang w:eastAsia="zh-CN"/>
        </w:rPr>
        <w:t>（</w:t>
      </w:r>
      <w:r>
        <w:rPr>
          <w:rFonts w:hint="eastAsia" w:cs="Arial" w:asciiTheme="minorEastAsia" w:hAnsiTheme="minorEastAsia"/>
          <w:color w:val="auto"/>
          <w:sz w:val="24"/>
          <w:szCs w:val="28"/>
          <w:highlight w:val="none"/>
          <w:lang w:val="en-US" w:eastAsia="zh-CN"/>
        </w:rPr>
        <w:t>三）工期：在确认为中标人后，中标人应在2天内查看现场。</w:t>
      </w:r>
      <w:r>
        <w:rPr>
          <w:rFonts w:ascii="宋体" w:hAnsi="宋体" w:cs="Arial"/>
          <w:color w:val="auto"/>
          <w:sz w:val="24"/>
          <w:highlight w:val="none"/>
        </w:rPr>
        <w:t>编制初稿</w:t>
      </w:r>
      <w:r>
        <w:rPr>
          <w:rFonts w:hint="eastAsia" w:ascii="宋体" w:hAnsi="宋体" w:cs="Arial"/>
          <w:color w:val="auto"/>
          <w:sz w:val="24"/>
          <w:highlight w:val="none"/>
          <w:lang w:val="en-US" w:eastAsia="zh-CN"/>
        </w:rPr>
        <w:t>后，</w:t>
      </w:r>
      <w:r>
        <w:rPr>
          <w:rFonts w:ascii="宋体" w:hAnsi="宋体" w:cs="Arial"/>
          <w:color w:val="auto"/>
          <w:sz w:val="24"/>
          <w:highlight w:val="none"/>
        </w:rPr>
        <w:t>中间过程的修改每次不超过3个日历天。</w:t>
      </w:r>
      <w:r>
        <w:rPr>
          <w:rFonts w:hint="eastAsia" w:cs="Arial" w:asciiTheme="minorEastAsia" w:hAnsiTheme="minorEastAsia"/>
          <w:color w:val="auto"/>
          <w:sz w:val="24"/>
          <w:szCs w:val="28"/>
          <w:highlight w:val="none"/>
          <w:lang w:val="en-US" w:eastAsia="zh-CN"/>
        </w:rPr>
        <w:t>中标人查看现场至提交成果共30天。</w:t>
      </w:r>
    </w:p>
    <w:p>
      <w:pPr>
        <w:pStyle w:val="16"/>
        <w:spacing w:line="360" w:lineRule="auto"/>
        <w:ind w:firstLine="482"/>
        <w:rPr>
          <w:rFonts w:ascii="宋体" w:hAnsi="宋体"/>
          <w:b/>
          <w:color w:val="auto"/>
          <w:sz w:val="24"/>
          <w:highlight w:val="none"/>
        </w:rPr>
      </w:pPr>
      <w:r>
        <w:rPr>
          <w:rFonts w:hint="eastAsia" w:ascii="宋体" w:hAnsi="宋体"/>
          <w:b/>
          <w:color w:val="auto"/>
          <w:sz w:val="24"/>
          <w:highlight w:val="none"/>
        </w:rPr>
        <w:t>四、投标文件</w:t>
      </w:r>
    </w:p>
    <w:p>
      <w:pPr>
        <w:pStyle w:val="16"/>
        <w:spacing w:line="360" w:lineRule="auto"/>
        <w:ind w:firstLine="480"/>
        <w:rPr>
          <w:rFonts w:ascii="宋体" w:hAnsi="宋体"/>
          <w:color w:val="auto"/>
          <w:sz w:val="24"/>
          <w:highlight w:val="none"/>
        </w:rPr>
      </w:pPr>
      <w:r>
        <w:rPr>
          <w:rFonts w:hint="eastAsia" w:ascii="宋体" w:hAnsi="宋体"/>
          <w:color w:val="auto"/>
          <w:sz w:val="24"/>
          <w:highlight w:val="none"/>
        </w:rPr>
        <w:t>根据采购人要求的投标文件格式编制，进行密封报价（盖章）。投标文件应包含以下内容：</w:t>
      </w:r>
    </w:p>
    <w:p>
      <w:pPr>
        <w:pStyle w:val="16"/>
        <w:numPr>
          <w:ilvl w:val="0"/>
          <w:numId w:val="6"/>
        </w:numPr>
        <w:spacing w:line="360" w:lineRule="auto"/>
        <w:ind w:firstLine="480"/>
        <w:rPr>
          <w:rFonts w:ascii="宋体" w:hAnsi="宋体"/>
          <w:color w:val="auto"/>
          <w:sz w:val="24"/>
          <w:highlight w:val="none"/>
        </w:rPr>
      </w:pPr>
      <w:r>
        <w:rPr>
          <w:rFonts w:hint="eastAsia" w:ascii="宋体" w:hAnsi="宋体"/>
          <w:color w:val="auto"/>
          <w:sz w:val="24"/>
          <w:highlight w:val="none"/>
        </w:rPr>
        <w:t>价格文件（格式见附件2，加盖公章）</w:t>
      </w:r>
    </w:p>
    <w:p>
      <w:pPr>
        <w:pStyle w:val="19"/>
        <w:numPr>
          <w:ilvl w:val="0"/>
          <w:numId w:val="7"/>
        </w:numPr>
        <w:spacing w:line="360" w:lineRule="auto"/>
        <w:ind w:left="851" w:hanging="291" w:firstLineChars="0"/>
        <w:rPr>
          <w:rFonts w:cs="Arial" w:asciiTheme="minorEastAsia" w:hAnsiTheme="minorEastAsia"/>
          <w:color w:val="auto"/>
          <w:sz w:val="24"/>
          <w:szCs w:val="28"/>
          <w:highlight w:val="none"/>
        </w:rPr>
      </w:pPr>
      <w:r>
        <w:rPr>
          <w:rFonts w:hint="eastAsia" w:cs="Arial" w:asciiTheme="minorEastAsia" w:hAnsiTheme="minorEastAsia"/>
          <w:color w:val="auto"/>
          <w:sz w:val="24"/>
          <w:szCs w:val="28"/>
          <w:highlight w:val="none"/>
        </w:rPr>
        <w:t>报价一览表</w:t>
      </w:r>
    </w:p>
    <w:p>
      <w:pPr>
        <w:pStyle w:val="16"/>
        <w:numPr>
          <w:ilvl w:val="0"/>
          <w:numId w:val="6"/>
        </w:numPr>
        <w:spacing w:line="360" w:lineRule="auto"/>
        <w:ind w:firstLine="480"/>
        <w:rPr>
          <w:rFonts w:ascii="宋体" w:hAnsi="宋体"/>
          <w:color w:val="auto"/>
          <w:sz w:val="24"/>
          <w:highlight w:val="none"/>
        </w:rPr>
      </w:pPr>
      <w:r>
        <w:rPr>
          <w:rFonts w:hint="eastAsia" w:ascii="宋体" w:hAnsi="宋体"/>
          <w:color w:val="auto"/>
          <w:sz w:val="24"/>
          <w:highlight w:val="none"/>
        </w:rPr>
        <w:t>商务部分</w:t>
      </w:r>
    </w:p>
    <w:p>
      <w:pPr>
        <w:pStyle w:val="19"/>
        <w:numPr>
          <w:ilvl w:val="1"/>
          <w:numId w:val="8"/>
        </w:numPr>
        <w:tabs>
          <w:tab w:val="left" w:pos="851"/>
        </w:tabs>
        <w:spacing w:line="360" w:lineRule="auto"/>
        <w:ind w:left="0" w:firstLine="567" w:firstLineChars="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有效的企业工商营业执照、企业法人组织机构代码证书、税务登记证书（或三证合一）；</w:t>
      </w:r>
    </w:p>
    <w:p>
      <w:pPr>
        <w:pStyle w:val="19"/>
        <w:numPr>
          <w:ilvl w:val="1"/>
          <w:numId w:val="8"/>
        </w:numPr>
        <w:tabs>
          <w:tab w:val="left" w:pos="851"/>
        </w:tabs>
        <w:spacing w:line="360" w:lineRule="auto"/>
        <w:ind w:left="0" w:firstLine="567" w:firstLineChars="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“信用中国”网站（www.creditchina.gov.cn）的信用记录查询结果截图并打印页面加盖公章。</w:t>
      </w:r>
    </w:p>
    <w:p>
      <w:pPr>
        <w:pStyle w:val="19"/>
        <w:numPr>
          <w:ilvl w:val="1"/>
          <w:numId w:val="8"/>
        </w:numPr>
        <w:tabs>
          <w:tab w:val="left" w:pos="851"/>
        </w:tabs>
        <w:spacing w:line="360" w:lineRule="auto"/>
        <w:ind w:left="0" w:firstLine="567" w:firstLineChars="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在投标活动中3年内没有重大违法活动和涉嫌违规行为声明。（格式自拟）</w:t>
      </w:r>
    </w:p>
    <w:p>
      <w:pPr>
        <w:pStyle w:val="19"/>
        <w:numPr>
          <w:ilvl w:val="1"/>
          <w:numId w:val="8"/>
        </w:numPr>
        <w:tabs>
          <w:tab w:val="left" w:pos="851"/>
        </w:tabs>
        <w:spacing w:line="360" w:lineRule="auto"/>
        <w:ind w:left="0" w:firstLine="567" w:firstLineChars="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供应商调查表（格式见附件2）；</w:t>
      </w:r>
    </w:p>
    <w:p>
      <w:pPr>
        <w:pStyle w:val="19"/>
        <w:numPr>
          <w:ilvl w:val="1"/>
          <w:numId w:val="8"/>
        </w:numPr>
        <w:tabs>
          <w:tab w:val="left" w:pos="851"/>
        </w:tabs>
        <w:spacing w:line="360" w:lineRule="auto"/>
        <w:ind w:left="0" w:firstLine="567" w:firstLineChars="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法定代表人证明书、法定代表人授权委托书原件（格式见附件3和附件4）；</w:t>
      </w:r>
    </w:p>
    <w:p>
      <w:pPr>
        <w:pStyle w:val="19"/>
        <w:numPr>
          <w:ilvl w:val="1"/>
          <w:numId w:val="8"/>
        </w:numPr>
        <w:tabs>
          <w:tab w:val="left" w:pos="851"/>
        </w:tabs>
        <w:spacing w:line="360" w:lineRule="auto"/>
        <w:ind w:left="0" w:firstLine="567" w:firstLineChars="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相关资质证书（包括且不限于</w:t>
      </w:r>
      <w:r>
        <w:rPr>
          <w:rFonts w:hint="eastAsia" w:asciiTheme="minorEastAsia" w:hAnsiTheme="minorEastAsia"/>
          <w:color w:val="auto"/>
          <w:sz w:val="24"/>
          <w:highlight w:val="none"/>
        </w:rPr>
        <w:t>全国投资项目在线审批监管平台咨询业务备案网页截图，或工程咨询资信证书复印件</w:t>
      </w:r>
      <w:r>
        <w:rPr>
          <w:rFonts w:hint="eastAsia" w:asciiTheme="minorEastAsia" w:hAnsiTheme="minorEastAsia"/>
          <w:color w:val="auto"/>
          <w:sz w:val="24"/>
          <w:szCs w:val="28"/>
          <w:highlight w:val="none"/>
        </w:rPr>
        <w:t>）；</w:t>
      </w:r>
    </w:p>
    <w:p>
      <w:pPr>
        <w:pStyle w:val="19"/>
        <w:numPr>
          <w:ilvl w:val="1"/>
          <w:numId w:val="8"/>
        </w:numPr>
        <w:tabs>
          <w:tab w:val="left" w:pos="851"/>
        </w:tabs>
        <w:spacing w:line="360" w:lineRule="auto"/>
        <w:ind w:left="0" w:firstLine="567" w:firstLineChars="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本工程拟派项目负责人简历表</w:t>
      </w:r>
      <w:r>
        <w:rPr>
          <w:rFonts w:asciiTheme="minorEastAsia" w:hAnsiTheme="minorEastAsia"/>
          <w:color w:val="auto"/>
          <w:sz w:val="24"/>
          <w:szCs w:val="28"/>
          <w:highlight w:val="none"/>
        </w:rPr>
        <w:t>（包括姓名、部门和职务、</w:t>
      </w:r>
      <w:r>
        <w:rPr>
          <w:rFonts w:hint="eastAsia" w:asciiTheme="minorEastAsia" w:hAnsiTheme="minorEastAsia"/>
          <w:color w:val="auto"/>
          <w:sz w:val="24"/>
          <w:szCs w:val="28"/>
          <w:highlight w:val="none"/>
        </w:rPr>
        <w:t>所学专业和</w:t>
      </w:r>
      <w:r>
        <w:rPr>
          <w:rFonts w:asciiTheme="minorEastAsia" w:hAnsiTheme="minorEastAsia"/>
          <w:color w:val="auto"/>
          <w:sz w:val="24"/>
          <w:szCs w:val="28"/>
          <w:highlight w:val="none"/>
        </w:rPr>
        <w:t>毕业</w:t>
      </w:r>
      <w:r>
        <w:rPr>
          <w:rFonts w:hint="eastAsia" w:asciiTheme="minorEastAsia" w:hAnsiTheme="minorEastAsia"/>
          <w:color w:val="auto"/>
          <w:sz w:val="24"/>
          <w:szCs w:val="28"/>
          <w:highlight w:val="none"/>
        </w:rPr>
        <w:t>院校名称及毕业</w:t>
      </w:r>
      <w:r>
        <w:rPr>
          <w:rFonts w:asciiTheme="minorEastAsia" w:hAnsiTheme="minorEastAsia"/>
          <w:color w:val="auto"/>
          <w:sz w:val="24"/>
          <w:szCs w:val="28"/>
          <w:highlight w:val="none"/>
        </w:rPr>
        <w:t>时间、主要资历、经验及承担过的</w:t>
      </w:r>
      <w:r>
        <w:rPr>
          <w:rFonts w:hint="eastAsia" w:asciiTheme="minorEastAsia" w:hAnsiTheme="minorEastAsia"/>
          <w:color w:val="auto"/>
          <w:sz w:val="24"/>
          <w:szCs w:val="28"/>
          <w:highlight w:val="none"/>
        </w:rPr>
        <w:t>类似</w:t>
      </w:r>
      <w:r>
        <w:rPr>
          <w:rFonts w:asciiTheme="minorEastAsia" w:hAnsiTheme="minorEastAsia"/>
          <w:color w:val="auto"/>
          <w:sz w:val="24"/>
          <w:szCs w:val="28"/>
          <w:highlight w:val="none"/>
        </w:rPr>
        <w:t>项目</w:t>
      </w:r>
      <w:r>
        <w:rPr>
          <w:rFonts w:hint="eastAsia" w:asciiTheme="minorEastAsia" w:hAnsiTheme="minorEastAsia"/>
          <w:color w:val="auto"/>
          <w:sz w:val="24"/>
          <w:szCs w:val="28"/>
          <w:highlight w:val="none"/>
        </w:rPr>
        <w:t>，</w:t>
      </w:r>
      <w:r>
        <w:rPr>
          <w:rFonts w:asciiTheme="minorEastAsia" w:hAnsiTheme="minorEastAsia"/>
          <w:color w:val="auto"/>
          <w:sz w:val="24"/>
          <w:szCs w:val="28"/>
          <w:highlight w:val="none"/>
        </w:rPr>
        <w:t>获得认证资质证书</w:t>
      </w:r>
      <w:r>
        <w:rPr>
          <w:rFonts w:hint="eastAsia" w:asciiTheme="minorEastAsia" w:hAnsiTheme="minorEastAsia"/>
          <w:color w:val="auto"/>
          <w:sz w:val="24"/>
          <w:szCs w:val="28"/>
          <w:highlight w:val="none"/>
        </w:rPr>
        <w:t>及复印件</w:t>
      </w:r>
      <w:r>
        <w:rPr>
          <w:rFonts w:asciiTheme="minorEastAsia" w:hAnsiTheme="minorEastAsia"/>
          <w:color w:val="auto"/>
          <w:sz w:val="24"/>
          <w:szCs w:val="28"/>
          <w:highlight w:val="none"/>
        </w:rPr>
        <w:t>）</w:t>
      </w:r>
      <w:r>
        <w:rPr>
          <w:rFonts w:hint="eastAsia" w:asciiTheme="minorEastAsia" w:hAnsiTheme="minorEastAsia"/>
          <w:color w:val="auto"/>
          <w:sz w:val="24"/>
          <w:szCs w:val="28"/>
          <w:highlight w:val="none"/>
        </w:rPr>
        <w:t>；</w:t>
      </w:r>
    </w:p>
    <w:p>
      <w:pPr>
        <w:pStyle w:val="19"/>
        <w:numPr>
          <w:ilvl w:val="1"/>
          <w:numId w:val="8"/>
        </w:numPr>
        <w:tabs>
          <w:tab w:val="left" w:pos="851"/>
        </w:tabs>
        <w:spacing w:line="360" w:lineRule="auto"/>
        <w:ind w:left="0" w:firstLine="567" w:firstLineChars="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本工程拟派项目团队成员的简历表</w:t>
      </w:r>
      <w:r>
        <w:rPr>
          <w:rFonts w:asciiTheme="minorEastAsia" w:hAnsiTheme="minorEastAsia"/>
          <w:color w:val="auto"/>
          <w:sz w:val="24"/>
          <w:szCs w:val="28"/>
          <w:highlight w:val="none"/>
        </w:rPr>
        <w:t>（包括姓名、部门和职务、</w:t>
      </w:r>
      <w:r>
        <w:rPr>
          <w:rFonts w:hint="eastAsia" w:asciiTheme="minorEastAsia" w:hAnsiTheme="minorEastAsia"/>
          <w:color w:val="auto"/>
          <w:sz w:val="24"/>
          <w:szCs w:val="28"/>
          <w:highlight w:val="none"/>
        </w:rPr>
        <w:t>所学专业和</w:t>
      </w:r>
      <w:r>
        <w:rPr>
          <w:rFonts w:asciiTheme="minorEastAsia" w:hAnsiTheme="minorEastAsia"/>
          <w:color w:val="auto"/>
          <w:sz w:val="24"/>
          <w:szCs w:val="28"/>
          <w:highlight w:val="none"/>
        </w:rPr>
        <w:t>毕业</w:t>
      </w:r>
      <w:r>
        <w:rPr>
          <w:rFonts w:hint="eastAsia" w:asciiTheme="minorEastAsia" w:hAnsiTheme="minorEastAsia"/>
          <w:color w:val="auto"/>
          <w:sz w:val="24"/>
          <w:szCs w:val="28"/>
          <w:highlight w:val="none"/>
        </w:rPr>
        <w:t>院校名称及毕业</w:t>
      </w:r>
      <w:r>
        <w:rPr>
          <w:rFonts w:asciiTheme="minorEastAsia" w:hAnsiTheme="minorEastAsia"/>
          <w:color w:val="auto"/>
          <w:sz w:val="24"/>
          <w:szCs w:val="28"/>
          <w:highlight w:val="none"/>
        </w:rPr>
        <w:t>时间、主要资历、经验及承担过的</w:t>
      </w:r>
      <w:r>
        <w:rPr>
          <w:rFonts w:hint="eastAsia" w:asciiTheme="minorEastAsia" w:hAnsiTheme="minorEastAsia"/>
          <w:color w:val="auto"/>
          <w:sz w:val="24"/>
          <w:szCs w:val="28"/>
          <w:highlight w:val="none"/>
        </w:rPr>
        <w:t>类似</w:t>
      </w:r>
      <w:r>
        <w:rPr>
          <w:rFonts w:asciiTheme="minorEastAsia" w:hAnsiTheme="minorEastAsia"/>
          <w:color w:val="auto"/>
          <w:sz w:val="24"/>
          <w:szCs w:val="28"/>
          <w:highlight w:val="none"/>
        </w:rPr>
        <w:t>项目</w:t>
      </w:r>
      <w:r>
        <w:rPr>
          <w:rFonts w:hint="eastAsia" w:asciiTheme="minorEastAsia" w:hAnsiTheme="minorEastAsia"/>
          <w:color w:val="auto"/>
          <w:sz w:val="24"/>
          <w:szCs w:val="28"/>
          <w:highlight w:val="none"/>
        </w:rPr>
        <w:t>，</w:t>
      </w:r>
      <w:r>
        <w:rPr>
          <w:rFonts w:asciiTheme="minorEastAsia" w:hAnsiTheme="minorEastAsia"/>
          <w:color w:val="auto"/>
          <w:sz w:val="24"/>
          <w:szCs w:val="28"/>
          <w:highlight w:val="none"/>
        </w:rPr>
        <w:t>获得认证资质证书</w:t>
      </w:r>
      <w:r>
        <w:rPr>
          <w:rFonts w:hint="eastAsia" w:asciiTheme="minorEastAsia" w:hAnsiTheme="minorEastAsia"/>
          <w:color w:val="auto"/>
          <w:sz w:val="24"/>
          <w:szCs w:val="28"/>
          <w:highlight w:val="none"/>
        </w:rPr>
        <w:t>及复印件</w:t>
      </w:r>
      <w:r>
        <w:rPr>
          <w:rFonts w:asciiTheme="minorEastAsia" w:hAnsiTheme="minorEastAsia"/>
          <w:color w:val="auto"/>
          <w:sz w:val="24"/>
          <w:szCs w:val="28"/>
          <w:highlight w:val="none"/>
        </w:rPr>
        <w:t>）</w:t>
      </w:r>
      <w:r>
        <w:rPr>
          <w:rFonts w:hint="eastAsia" w:asciiTheme="minorEastAsia" w:hAnsiTheme="minorEastAsia"/>
          <w:color w:val="auto"/>
          <w:sz w:val="24"/>
          <w:szCs w:val="28"/>
          <w:highlight w:val="none"/>
        </w:rPr>
        <w:t>等</w:t>
      </w:r>
    </w:p>
    <w:p>
      <w:pPr>
        <w:pStyle w:val="19"/>
        <w:numPr>
          <w:ilvl w:val="1"/>
          <w:numId w:val="8"/>
        </w:numPr>
        <w:tabs>
          <w:tab w:val="left" w:pos="851"/>
        </w:tabs>
        <w:spacing w:line="360" w:lineRule="auto"/>
        <w:ind w:left="0" w:firstLine="567" w:firstLineChars="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20</w:t>
      </w:r>
      <w:r>
        <w:rPr>
          <w:rFonts w:hint="eastAsia" w:asciiTheme="minorEastAsia" w:hAnsiTheme="minorEastAsia"/>
          <w:color w:val="auto"/>
          <w:sz w:val="24"/>
          <w:szCs w:val="28"/>
          <w:highlight w:val="none"/>
          <w:lang w:val="en-US" w:eastAsia="zh-CN"/>
        </w:rPr>
        <w:t>20</w:t>
      </w:r>
      <w:r>
        <w:rPr>
          <w:rFonts w:hint="eastAsia" w:asciiTheme="minorEastAsia" w:hAnsiTheme="minorEastAsia"/>
          <w:color w:val="auto"/>
          <w:sz w:val="24"/>
          <w:szCs w:val="28"/>
          <w:highlight w:val="none"/>
        </w:rPr>
        <w:t>年1月1日至今完成过类似项目业绩（提供合同复印件）；</w:t>
      </w:r>
    </w:p>
    <w:p>
      <w:pPr>
        <w:pStyle w:val="19"/>
        <w:numPr>
          <w:ilvl w:val="1"/>
          <w:numId w:val="8"/>
        </w:numPr>
        <w:tabs>
          <w:tab w:val="left" w:pos="851"/>
        </w:tabs>
        <w:spacing w:line="360" w:lineRule="auto"/>
        <w:ind w:left="0" w:firstLine="567" w:firstLineChars="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投标人认为有必要的其他资质等材料复印件。</w:t>
      </w:r>
    </w:p>
    <w:p>
      <w:pPr>
        <w:pStyle w:val="16"/>
        <w:numPr>
          <w:ilvl w:val="0"/>
          <w:numId w:val="6"/>
        </w:numPr>
        <w:spacing w:line="360" w:lineRule="auto"/>
        <w:ind w:firstLine="480"/>
        <w:rPr>
          <w:rFonts w:ascii="宋体" w:hAnsi="宋体"/>
          <w:color w:val="auto"/>
          <w:sz w:val="24"/>
          <w:highlight w:val="none"/>
        </w:rPr>
      </w:pPr>
      <w:r>
        <w:rPr>
          <w:rFonts w:hint="eastAsia" w:ascii="宋体" w:hAnsi="宋体"/>
          <w:color w:val="auto"/>
          <w:sz w:val="24"/>
          <w:highlight w:val="none"/>
        </w:rPr>
        <w:t>技术部分（如有，格式自定，加盖公章）</w:t>
      </w:r>
    </w:p>
    <w:p>
      <w:pPr>
        <w:pStyle w:val="16"/>
        <w:numPr>
          <w:ilvl w:val="255"/>
          <w:numId w:val="0"/>
        </w:numPr>
        <w:spacing w:line="360" w:lineRule="auto"/>
        <w:ind w:left="420" w:leftChars="200"/>
        <w:rPr>
          <w:rFonts w:ascii="宋体" w:hAnsi="宋体"/>
          <w:color w:val="auto"/>
          <w:sz w:val="24"/>
          <w:highlight w:val="none"/>
        </w:rPr>
      </w:pPr>
      <w:r>
        <w:rPr>
          <w:rFonts w:hint="eastAsia" w:ascii="宋体" w:hAnsi="宋体"/>
          <w:color w:val="auto"/>
          <w:sz w:val="24"/>
          <w:highlight w:val="none"/>
          <w:lang w:val="en-US" w:eastAsia="zh-CN"/>
        </w:rPr>
        <w:t>总体</w:t>
      </w:r>
      <w:r>
        <w:rPr>
          <w:rFonts w:hint="eastAsia" w:ascii="宋体" w:hAnsi="宋体"/>
          <w:color w:val="auto"/>
          <w:sz w:val="24"/>
          <w:highlight w:val="none"/>
        </w:rPr>
        <w:t>方案：供应商应针对本项目制定切实可行的</w:t>
      </w:r>
      <w:r>
        <w:rPr>
          <w:rFonts w:hint="eastAsia" w:ascii="宋体" w:hAnsi="宋体"/>
          <w:color w:val="auto"/>
          <w:sz w:val="24"/>
          <w:highlight w:val="none"/>
          <w:lang w:val="en-US" w:eastAsia="zh-CN"/>
        </w:rPr>
        <w:t>技术</w:t>
      </w:r>
      <w:r>
        <w:rPr>
          <w:rFonts w:hint="eastAsia" w:ascii="宋体" w:hAnsi="宋体"/>
          <w:color w:val="auto"/>
          <w:sz w:val="24"/>
          <w:highlight w:val="none"/>
        </w:rPr>
        <w:t>方案，包括但不限于：</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rPr>
        <w:tab/>
      </w:r>
      <w:r>
        <w:rPr>
          <w:rFonts w:hint="eastAsia" w:ascii="宋体" w:hAnsi="宋体"/>
          <w:color w:val="auto"/>
          <w:sz w:val="24"/>
          <w:highlight w:val="none"/>
        </w:rPr>
        <w:t>总体方案（包括且不限于</w:t>
      </w:r>
      <w:r>
        <w:rPr>
          <w:rFonts w:hint="eastAsia" w:ascii="宋体" w:hAnsi="宋体"/>
          <w:color w:val="auto"/>
          <w:sz w:val="24"/>
          <w:highlight w:val="none"/>
          <w:lang w:val="en-US" w:eastAsia="zh-CN"/>
        </w:rPr>
        <w:t>现状评估、市场分析、相应的改造</w:t>
      </w:r>
      <w:r>
        <w:rPr>
          <w:rFonts w:hint="eastAsia" w:ascii="宋体" w:hAnsi="宋体"/>
          <w:color w:val="auto"/>
          <w:sz w:val="24"/>
          <w:highlight w:val="none"/>
        </w:rPr>
        <w:t>方案）；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rPr>
        <w:tab/>
      </w:r>
      <w:r>
        <w:rPr>
          <w:rFonts w:hint="eastAsia" w:ascii="宋体" w:hAnsi="宋体"/>
          <w:color w:val="auto"/>
          <w:sz w:val="24"/>
          <w:highlight w:val="none"/>
        </w:rPr>
        <w:t>对项目的整体认知；</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rPr>
        <w:tab/>
      </w:r>
      <w:r>
        <w:rPr>
          <w:rFonts w:hint="eastAsia" w:ascii="宋体" w:hAnsi="宋体"/>
          <w:color w:val="auto"/>
          <w:sz w:val="24"/>
          <w:highlight w:val="none"/>
        </w:rPr>
        <w:t>项目重点和难点分析（包括但不限于</w:t>
      </w:r>
      <w:r>
        <w:rPr>
          <w:rFonts w:hint="eastAsia" w:asciiTheme="minorEastAsia" w:hAnsiTheme="minorEastAsia"/>
          <w:color w:val="auto"/>
          <w:sz w:val="24"/>
          <w:highlight w:val="none"/>
          <w:lang w:val="en-US" w:eastAsia="zh-CN"/>
        </w:rPr>
        <w:t>优化方案、系统扩容</w:t>
      </w:r>
      <w:r>
        <w:rPr>
          <w:rFonts w:hint="eastAsia" w:asciiTheme="minorEastAsia" w:hAnsiTheme="minorEastAsia"/>
          <w:color w:val="auto"/>
          <w:sz w:val="24"/>
          <w:highlight w:val="none"/>
        </w:rPr>
        <w:t>及</w:t>
      </w:r>
      <w:r>
        <w:rPr>
          <w:rFonts w:hint="eastAsia" w:asciiTheme="minorEastAsia" w:hAnsiTheme="minorEastAsia"/>
          <w:color w:val="auto"/>
          <w:sz w:val="24"/>
          <w:highlight w:val="none"/>
          <w:lang w:val="en-US" w:eastAsia="zh-CN"/>
        </w:rPr>
        <w:t>解决方案投资估算等</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.投标人认为其它需要说明的文字。</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六、评标方法：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本项目采用综合评估法，对投标人进行价格、商务、技术和信用评审，其中价格评审部分占</w:t>
      </w:r>
      <w:r>
        <w:rPr>
          <w:rFonts w:hint="eastAsia" w:ascii="宋体" w:hAnsi="宋体"/>
          <w:color w:val="auto"/>
          <w:sz w:val="24"/>
          <w:highlight w:val="none"/>
          <w:lang w:val="en-US" w:eastAsia="zh-CN"/>
        </w:rPr>
        <w:t>6</w:t>
      </w:r>
      <w:r>
        <w:rPr>
          <w:rFonts w:hint="eastAsia" w:ascii="宋体" w:hAnsi="宋体"/>
          <w:color w:val="auto"/>
          <w:sz w:val="24"/>
          <w:highlight w:val="none"/>
        </w:rPr>
        <w:t>0%，商务评审部分占</w:t>
      </w:r>
      <w:r>
        <w:rPr>
          <w:rFonts w:hint="eastAsia" w:ascii="宋体" w:hAnsi="宋体"/>
          <w:color w:val="auto"/>
          <w:sz w:val="24"/>
          <w:highlight w:val="none"/>
          <w:lang w:val="en-US" w:eastAsia="zh-CN"/>
        </w:rPr>
        <w:t>15</w:t>
      </w:r>
      <w:r>
        <w:rPr>
          <w:rFonts w:hint="eastAsia" w:ascii="宋体" w:hAnsi="宋体"/>
          <w:color w:val="auto"/>
          <w:sz w:val="24"/>
          <w:highlight w:val="none"/>
        </w:rPr>
        <w:t>%，技术评审占</w:t>
      </w:r>
      <w:r>
        <w:rPr>
          <w:rFonts w:hint="eastAsia" w:ascii="宋体" w:hAnsi="宋体"/>
          <w:color w:val="auto"/>
          <w:sz w:val="24"/>
          <w:highlight w:val="none"/>
          <w:lang w:val="en-US" w:eastAsia="zh-CN"/>
        </w:rPr>
        <w:t>25</w:t>
      </w:r>
      <w:r>
        <w:rPr>
          <w:rFonts w:hint="eastAsia" w:ascii="宋体" w:hAnsi="宋体"/>
          <w:color w:val="auto"/>
          <w:sz w:val="24"/>
          <w:highlight w:val="none"/>
        </w:rPr>
        <w:t>%，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七、递交投标文件</w:t>
      </w:r>
    </w:p>
    <w:p>
      <w:pPr>
        <w:pStyle w:val="19"/>
        <w:numPr>
          <w:ilvl w:val="2"/>
          <w:numId w:val="9"/>
        </w:numPr>
        <w:spacing w:line="360" w:lineRule="auto"/>
        <w:ind w:left="0" w:firstLine="480" w:firstLineChars="0"/>
        <w:rPr>
          <w:rFonts w:ascii="宋体" w:hAnsi="宋体" w:eastAsia="宋体" w:cs="宋体"/>
          <w:color w:val="auto"/>
          <w:sz w:val="24"/>
          <w:highlight w:val="none"/>
        </w:rPr>
      </w:pPr>
      <w:r>
        <w:rPr>
          <w:rFonts w:hint="eastAsia" w:ascii="宋体" w:hAnsi="宋体" w:eastAsia="宋体" w:cs="宋体"/>
          <w:color w:val="auto"/>
          <w:sz w:val="24"/>
          <w:highlight w:val="none"/>
        </w:rPr>
        <w:t>投标文件纸质文件一式一份，盖章扫描件电子版一份。纸质文件递交截止时间：202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日</w:t>
      </w:r>
      <w:r>
        <w:rPr>
          <w:rFonts w:ascii="宋体" w:hAnsi="宋体" w:eastAsia="宋体" w:cs="宋体"/>
          <w:color w:val="auto"/>
          <w:sz w:val="24"/>
          <w:highlight w:val="none"/>
        </w:rPr>
        <w:t>1</w:t>
      </w:r>
      <w:r>
        <w:rPr>
          <w:rFonts w:hint="eastAsia" w:ascii="宋体" w:hAnsi="宋体" w:eastAsia="宋体" w:cs="宋体"/>
          <w:color w:val="auto"/>
          <w:sz w:val="24"/>
          <w:highlight w:val="none"/>
        </w:rPr>
        <w:t>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color w:val="auto"/>
          <w:sz w:val="24"/>
          <w:szCs w:val="24"/>
          <w:highlight w:val="none"/>
        </w:rPr>
        <w:t>能源站一期系统优化及冷热电系统扩容可行性研究报告编制及相关服务</w:t>
      </w:r>
      <w:r>
        <w:rPr>
          <w:rFonts w:hint="eastAsia" w:ascii="宋体" w:hAnsi="宋体"/>
          <w:color w:val="auto"/>
          <w:sz w:val="24"/>
          <w:highlight w:val="none"/>
          <w:u w:val="none"/>
        </w:rPr>
        <w:t>采购</w:t>
      </w:r>
      <w:r>
        <w:rPr>
          <w:rFonts w:hint="eastAsia" w:ascii="宋体" w:hAnsi="宋体" w:eastAsia="宋体" w:cs="宋体"/>
          <w:color w:val="auto"/>
          <w:sz w:val="24"/>
          <w:highlight w:val="none"/>
        </w:rPr>
        <w:t>”字样。电子版可随纸质文件一同投递，或在截标后24小时内以电子邮件方式投递到邮箱：</w:t>
      </w:r>
      <w:r>
        <w:rPr>
          <w:rFonts w:hint="eastAsia" w:ascii="宋体" w:hAnsi="宋体" w:eastAsia="宋体" w:cs="宋体"/>
          <w:color w:val="auto"/>
          <w:sz w:val="24"/>
          <w:highlight w:val="none"/>
          <w:lang w:val="en-US" w:eastAsia="zh-CN"/>
        </w:rPr>
        <w:t>87594595</w:t>
      </w:r>
      <w:r>
        <w:rPr>
          <w:rFonts w:hint="eastAsia" w:ascii="宋体" w:hAnsi="宋体" w:eastAsia="宋体" w:cs="宋体"/>
          <w:color w:val="auto"/>
          <w:sz w:val="24"/>
          <w:highlight w:val="none"/>
        </w:rPr>
        <w:t>@qq.com。投标供应商递交投标文件后，请联系采购人确认。</w:t>
      </w:r>
    </w:p>
    <w:p>
      <w:pPr>
        <w:pStyle w:val="19"/>
        <w:numPr>
          <w:ilvl w:val="2"/>
          <w:numId w:val="9"/>
        </w:numPr>
        <w:spacing w:line="360" w:lineRule="auto"/>
        <w:ind w:left="0" w:firstLine="480" w:firstLineChars="0"/>
        <w:rPr>
          <w:rFonts w:ascii="宋体" w:hAnsi="宋体"/>
          <w:color w:val="auto"/>
          <w:sz w:val="24"/>
          <w:highlight w:val="none"/>
        </w:rPr>
      </w:pPr>
      <w:r>
        <w:rPr>
          <w:rFonts w:hint="eastAsia" w:ascii="宋体" w:hAnsi="宋体"/>
          <w:color w:val="auto"/>
          <w:sz w:val="24"/>
          <w:highlight w:val="none"/>
        </w:rPr>
        <w:t>投标文件逾期递交、未送达指定地点的、或未按要求密封的，采购人有权不予受理。</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八、竞选文件公示</w:t>
      </w:r>
    </w:p>
    <w:p>
      <w:pPr>
        <w:spacing w:line="360" w:lineRule="auto"/>
        <w:ind w:firstLine="480" w:firstLineChars="200"/>
        <w:rPr>
          <w:rFonts w:cs="Arial" w:asciiTheme="minorEastAsia" w:hAnsiTheme="minorEastAsia"/>
          <w:color w:val="auto"/>
          <w:sz w:val="24"/>
          <w:highlight w:val="none"/>
        </w:rPr>
      </w:pPr>
      <w:r>
        <w:rPr>
          <w:rFonts w:hint="eastAsia" w:cs="Arial" w:asciiTheme="minorEastAsia" w:hAnsiTheme="minorEastAsia"/>
          <w:color w:val="auto"/>
          <w:sz w:val="24"/>
          <w:highlight w:val="none"/>
        </w:rPr>
        <w:t>本竞选文件</w:t>
      </w:r>
      <w:r>
        <w:rPr>
          <w:rFonts w:hint="eastAsia" w:asciiTheme="minorEastAsia" w:hAnsiTheme="minorEastAsia"/>
          <w:color w:val="auto"/>
          <w:sz w:val="24"/>
          <w:highlight w:val="none"/>
        </w:rPr>
        <w:t>在广州国企阳光采购服务平台（http://cg.gemas.com.cn/）、</w:t>
      </w:r>
      <w:r>
        <w:rPr>
          <w:rFonts w:hint="eastAsia" w:cs="Arial" w:asciiTheme="minorEastAsia" w:hAnsiTheme="minorEastAsia"/>
          <w:color w:val="auto"/>
          <w:sz w:val="24"/>
          <w:highlight w:val="none"/>
        </w:rPr>
        <w:t>广州</w:t>
      </w:r>
      <w:r>
        <w:rPr>
          <w:rFonts w:hint="eastAsia" w:cs="Arial" w:asciiTheme="minorEastAsia" w:hAnsiTheme="minorEastAsia"/>
          <w:color w:val="auto"/>
          <w:sz w:val="24"/>
          <w:highlight w:val="none"/>
          <w:lang w:val="en-US" w:eastAsia="zh-CN"/>
        </w:rPr>
        <w:t>城投综合能源</w:t>
      </w:r>
      <w:r>
        <w:rPr>
          <w:rFonts w:hint="eastAsia" w:cs="Arial" w:asciiTheme="minorEastAsia" w:hAnsiTheme="minorEastAsia"/>
          <w:color w:val="auto"/>
          <w:sz w:val="24"/>
          <w:highlight w:val="none"/>
        </w:rPr>
        <w:t>投资经营管理有限公司网站（网址：</w:t>
      </w:r>
      <w:r>
        <w:rPr>
          <w:rFonts w:cs="Arial" w:asciiTheme="minorEastAsia" w:hAnsiTheme="minorEastAsia"/>
          <w:color w:val="auto"/>
          <w:sz w:val="24"/>
          <w:highlight w:val="none"/>
        </w:rPr>
        <w:t>https://www.gzuci.com/</w:t>
      </w:r>
      <w:r>
        <w:rPr>
          <w:rFonts w:hint="eastAsia" w:cs="Arial" w:asciiTheme="minorEastAsia" w:hAnsiTheme="minorEastAsia"/>
          <w:color w:val="auto"/>
          <w:sz w:val="24"/>
          <w:highlight w:val="none"/>
        </w:rPr>
        <w:t>）同时发布。本竞选文件在各媒体发布的文本如有不同之处，以在广州大学城投资经营管理有限公司网站发布的文本为准。</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九、采购人地址和联系方式</w:t>
      </w:r>
    </w:p>
    <w:p>
      <w:pPr>
        <w:pStyle w:val="19"/>
        <w:numPr>
          <w:ilvl w:val="0"/>
          <w:numId w:val="10"/>
        </w:numPr>
        <w:spacing w:line="360" w:lineRule="auto"/>
        <w:ind w:firstLineChars="0"/>
        <w:rPr>
          <w:rFonts w:ascii="宋体" w:hAnsi="宋体"/>
          <w:color w:val="auto"/>
          <w:sz w:val="24"/>
          <w:highlight w:val="none"/>
        </w:rPr>
      </w:pPr>
      <w:r>
        <w:rPr>
          <w:rFonts w:hint="eastAsia" w:ascii="宋体" w:hAnsi="宋体"/>
          <w:color w:val="auto"/>
          <w:sz w:val="24"/>
          <w:highlight w:val="none"/>
        </w:rPr>
        <w:t>采购单位：</w:t>
      </w:r>
      <w:r>
        <w:rPr>
          <w:rFonts w:hint="eastAsia" w:ascii="宋体" w:hAnsi="宋体" w:eastAsia="宋体" w:cs="宋体"/>
          <w:color w:val="auto"/>
          <w:sz w:val="24"/>
          <w:szCs w:val="24"/>
          <w:highlight w:val="none"/>
        </w:rPr>
        <w:t>广州市超算分布式能源投资有限公司</w:t>
      </w:r>
    </w:p>
    <w:p>
      <w:pPr>
        <w:pStyle w:val="19"/>
        <w:numPr>
          <w:ilvl w:val="0"/>
          <w:numId w:val="10"/>
        </w:numPr>
        <w:spacing w:line="360" w:lineRule="auto"/>
        <w:ind w:firstLineChars="0"/>
        <w:rPr>
          <w:rFonts w:ascii="宋体" w:hAnsi="宋体"/>
          <w:color w:val="auto"/>
          <w:sz w:val="24"/>
          <w:highlight w:val="none"/>
        </w:rPr>
      </w:pPr>
      <w:r>
        <w:rPr>
          <w:rFonts w:hint="eastAsia" w:ascii="宋体" w:hAnsi="宋体"/>
          <w:color w:val="auto"/>
          <w:sz w:val="24"/>
          <w:highlight w:val="none"/>
        </w:rPr>
        <w:t>联系地址：广州市番禺区大学城明志街1号信息枢纽楼9楼</w:t>
      </w:r>
    </w:p>
    <w:p>
      <w:pPr>
        <w:pStyle w:val="16"/>
        <w:numPr>
          <w:ilvl w:val="0"/>
          <w:numId w:val="10"/>
        </w:numPr>
        <w:spacing w:line="360" w:lineRule="auto"/>
        <w:ind w:left="0" w:firstLine="480" w:firstLineChars="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val="en-US" w:eastAsia="zh-CN"/>
        </w:rPr>
        <w:t>王小姐</w:t>
      </w:r>
      <w:r>
        <w:rPr>
          <w:rFonts w:hint="eastAsia" w:ascii="宋体" w:hAnsi="宋体"/>
          <w:color w:val="auto"/>
          <w:sz w:val="24"/>
          <w:highlight w:val="none"/>
        </w:rPr>
        <w:t xml:space="preserve"> ，联系电话：020-393020</w:t>
      </w:r>
      <w:r>
        <w:rPr>
          <w:rFonts w:hint="eastAsia" w:ascii="宋体" w:hAnsi="宋体"/>
          <w:color w:val="auto"/>
          <w:sz w:val="24"/>
          <w:highlight w:val="none"/>
          <w:lang w:val="en-US" w:eastAsia="zh-CN"/>
        </w:rPr>
        <w:t>78</w:t>
      </w:r>
      <w:r>
        <w:rPr>
          <w:rFonts w:hint="eastAsia" w:ascii="宋体" w:hAnsi="宋体"/>
          <w:color w:val="auto"/>
          <w:sz w:val="24"/>
          <w:highlight w:val="none"/>
        </w:rPr>
        <w:t>，电子邮件：</w:t>
      </w:r>
      <w:r>
        <w:rPr>
          <w:rFonts w:hint="eastAsia" w:ascii="宋体" w:hAnsi="宋体"/>
          <w:color w:val="auto"/>
          <w:sz w:val="24"/>
          <w:highlight w:val="none"/>
          <w:lang w:val="en-US" w:eastAsia="zh-CN"/>
        </w:rPr>
        <w:t>87594595</w:t>
      </w:r>
      <w:r>
        <w:rPr>
          <w:rFonts w:hint="eastAsia" w:ascii="宋体" w:hAnsi="宋体"/>
          <w:color w:val="auto"/>
          <w:sz w:val="24"/>
          <w:highlight w:val="none"/>
        </w:rPr>
        <w:t>@qq.com</w:t>
      </w:r>
    </w:p>
    <w:p>
      <w:pPr>
        <w:pStyle w:val="16"/>
        <w:spacing w:line="360" w:lineRule="auto"/>
        <w:ind w:firstLine="480"/>
        <w:rPr>
          <w:rFonts w:ascii="宋体" w:hAnsi="宋体"/>
          <w:color w:val="auto"/>
          <w:sz w:val="24"/>
          <w:highlight w:val="none"/>
        </w:rPr>
      </w:pPr>
      <w:r>
        <w:rPr>
          <w:rFonts w:hint="eastAsia" w:ascii="宋体" w:hAnsi="宋体"/>
          <w:color w:val="auto"/>
          <w:sz w:val="24"/>
          <w:highlight w:val="none"/>
        </w:rPr>
        <w:t>附件1、采购需求</w:t>
      </w:r>
    </w:p>
    <w:p>
      <w:pPr>
        <w:pStyle w:val="16"/>
        <w:spacing w:line="360" w:lineRule="auto"/>
        <w:ind w:firstLine="480"/>
        <w:rPr>
          <w:rFonts w:ascii="宋体" w:hAnsi="宋体"/>
          <w:color w:val="auto"/>
          <w:sz w:val="24"/>
          <w:highlight w:val="none"/>
        </w:rPr>
      </w:pPr>
      <w:r>
        <w:rPr>
          <w:rFonts w:hint="eastAsia" w:ascii="宋体" w:hAnsi="宋体"/>
          <w:color w:val="auto"/>
          <w:sz w:val="24"/>
          <w:highlight w:val="none"/>
        </w:rPr>
        <w:t>附件2、价格文件</w:t>
      </w:r>
    </w:p>
    <w:p>
      <w:pPr>
        <w:pStyle w:val="16"/>
        <w:spacing w:line="360" w:lineRule="auto"/>
        <w:ind w:firstLine="480"/>
        <w:rPr>
          <w:rFonts w:ascii="宋体" w:hAnsi="宋体"/>
          <w:color w:val="auto"/>
          <w:sz w:val="24"/>
          <w:highlight w:val="none"/>
        </w:rPr>
      </w:pPr>
      <w:r>
        <w:rPr>
          <w:rFonts w:hint="eastAsia" w:ascii="宋体" w:hAnsi="宋体"/>
          <w:color w:val="auto"/>
          <w:sz w:val="24"/>
          <w:highlight w:val="none"/>
        </w:rPr>
        <w:t>附件3</w:t>
      </w:r>
      <w:r>
        <w:rPr>
          <w:rFonts w:ascii="宋体" w:hAnsi="宋体"/>
          <w:color w:val="auto"/>
          <w:sz w:val="24"/>
          <w:highlight w:val="none"/>
        </w:rPr>
        <w:t>、供应商调查表</w:t>
      </w:r>
      <w:r>
        <w:rPr>
          <w:rFonts w:hint="eastAsia" w:ascii="宋体" w:hAnsi="宋体"/>
          <w:color w:val="auto"/>
          <w:sz w:val="24"/>
          <w:highlight w:val="none"/>
        </w:rPr>
        <w:t>（需另外提供可编辑电子版一份）</w:t>
      </w:r>
    </w:p>
    <w:p>
      <w:pPr>
        <w:pStyle w:val="16"/>
        <w:spacing w:line="360" w:lineRule="auto"/>
        <w:ind w:firstLine="480"/>
        <w:rPr>
          <w:rFonts w:ascii="宋体" w:hAnsi="宋体"/>
          <w:color w:val="auto"/>
          <w:sz w:val="24"/>
          <w:highlight w:val="none"/>
        </w:rPr>
      </w:pPr>
      <w:r>
        <w:rPr>
          <w:rFonts w:hint="eastAsia" w:ascii="宋体" w:hAnsi="宋体"/>
          <w:color w:val="auto"/>
          <w:sz w:val="24"/>
          <w:highlight w:val="none"/>
        </w:rPr>
        <w:t>附件4、法定代表人证明书</w:t>
      </w:r>
    </w:p>
    <w:p>
      <w:pPr>
        <w:pStyle w:val="16"/>
        <w:spacing w:line="360" w:lineRule="auto"/>
        <w:ind w:firstLine="480"/>
        <w:rPr>
          <w:rFonts w:ascii="宋体" w:hAnsi="宋体"/>
          <w:color w:val="auto"/>
          <w:sz w:val="24"/>
          <w:highlight w:val="none"/>
        </w:rPr>
      </w:pPr>
      <w:r>
        <w:rPr>
          <w:rFonts w:hint="eastAsia" w:ascii="宋体" w:hAnsi="宋体"/>
          <w:color w:val="auto"/>
          <w:sz w:val="24"/>
          <w:highlight w:val="none"/>
        </w:rPr>
        <w:t>附件5、法定代表人授权委托证明书</w:t>
      </w:r>
    </w:p>
    <w:p>
      <w:pPr>
        <w:pStyle w:val="16"/>
        <w:spacing w:line="360" w:lineRule="auto"/>
        <w:ind w:firstLine="480"/>
        <w:rPr>
          <w:rFonts w:ascii="宋体" w:hAnsi="宋体"/>
          <w:color w:val="auto"/>
          <w:sz w:val="24"/>
          <w:highlight w:val="none"/>
        </w:rPr>
      </w:pPr>
      <w:r>
        <w:rPr>
          <w:rFonts w:hint="eastAsia" w:ascii="宋体" w:hAnsi="宋体"/>
          <w:color w:val="auto"/>
          <w:sz w:val="24"/>
          <w:highlight w:val="none"/>
        </w:rPr>
        <w:t>附件6</w:t>
      </w:r>
      <w:r>
        <w:rPr>
          <w:rFonts w:ascii="宋体" w:hAnsi="宋体"/>
          <w:color w:val="auto"/>
          <w:sz w:val="24"/>
          <w:highlight w:val="none"/>
        </w:rPr>
        <w:t>、资格性和有效性审查表</w:t>
      </w:r>
    </w:p>
    <w:p>
      <w:pPr>
        <w:pStyle w:val="16"/>
        <w:spacing w:line="360" w:lineRule="auto"/>
        <w:ind w:firstLine="480"/>
        <w:rPr>
          <w:rFonts w:ascii="宋体" w:hAnsi="宋体"/>
          <w:color w:val="auto"/>
          <w:sz w:val="24"/>
          <w:highlight w:val="none"/>
        </w:rPr>
      </w:pPr>
      <w:r>
        <w:rPr>
          <w:rFonts w:hint="eastAsia" w:ascii="宋体" w:hAnsi="宋体"/>
          <w:color w:val="auto"/>
          <w:sz w:val="24"/>
          <w:highlight w:val="none"/>
        </w:rPr>
        <w:t>附件7、评分细则</w:t>
      </w:r>
    </w:p>
    <w:p>
      <w:pPr>
        <w:pStyle w:val="16"/>
        <w:spacing w:line="360" w:lineRule="auto"/>
        <w:ind w:firstLine="480"/>
        <w:jc w:val="center"/>
        <w:rPr>
          <w:rFonts w:ascii="宋体" w:hAnsi="宋体"/>
          <w:color w:val="auto"/>
          <w:sz w:val="24"/>
          <w:highlight w:val="none"/>
        </w:rPr>
      </w:pPr>
    </w:p>
    <w:p>
      <w:pPr>
        <w:pStyle w:val="16"/>
        <w:spacing w:line="360" w:lineRule="auto"/>
        <w:ind w:firstLine="480"/>
        <w:jc w:val="center"/>
        <w:rPr>
          <w:rFonts w:ascii="宋体" w:hAnsi="宋体"/>
          <w:color w:val="auto"/>
          <w:sz w:val="24"/>
          <w:highlight w:val="none"/>
        </w:rPr>
      </w:pPr>
      <w:r>
        <w:rPr>
          <w:rFonts w:hint="eastAsia" w:ascii="宋体" w:hAnsi="宋体"/>
          <w:color w:val="auto"/>
          <w:sz w:val="24"/>
          <w:highlight w:val="none"/>
        </w:rPr>
        <w:t>采购人：</w:t>
      </w:r>
      <w:r>
        <w:rPr>
          <w:rFonts w:hint="eastAsia" w:ascii="宋体" w:hAnsi="宋体" w:eastAsia="宋体" w:cs="宋体"/>
          <w:color w:val="auto"/>
          <w:sz w:val="24"/>
          <w:szCs w:val="24"/>
          <w:highlight w:val="none"/>
        </w:rPr>
        <w:t>广州市超算分布式能源投资有限公司</w:t>
      </w:r>
    </w:p>
    <w:p>
      <w:pPr>
        <w:pStyle w:val="16"/>
        <w:spacing w:line="360" w:lineRule="auto"/>
        <w:ind w:right="960" w:firstLine="4260" w:firstLineChars="17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3</w:t>
      </w:r>
      <w:r>
        <w:rPr>
          <w:rFonts w:hint="eastAsia" w:ascii="宋体" w:hAnsi="宋体"/>
          <w:color w:val="auto"/>
          <w:sz w:val="24"/>
          <w:highlight w:val="none"/>
        </w:rPr>
        <w:t xml:space="preserve">年 </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4</w:t>
      </w:r>
      <w:r>
        <w:rPr>
          <w:rFonts w:hint="eastAsia" w:ascii="宋体" w:hAnsi="宋体"/>
          <w:color w:val="auto"/>
          <w:sz w:val="24"/>
          <w:highlight w:val="none"/>
        </w:rPr>
        <w:t>日</w:t>
      </w:r>
    </w:p>
    <w:p>
      <w:pPr>
        <w:widowControl/>
        <w:jc w:val="left"/>
        <w:rPr>
          <w:color w:val="auto"/>
          <w:highlight w:val="none"/>
        </w:rPr>
      </w:pPr>
    </w:p>
    <w:p>
      <w:pPr>
        <w:widowControl/>
        <w:jc w:val="left"/>
        <w:rPr>
          <w:rFonts w:ascii="宋体" w:hAnsi="宋体"/>
          <w:color w:val="auto"/>
          <w:sz w:val="32"/>
          <w:highlight w:val="none"/>
        </w:rPr>
      </w:pPr>
      <w:r>
        <w:rPr>
          <w:rFonts w:ascii="宋体" w:hAnsi="宋体"/>
          <w:color w:val="auto"/>
          <w:sz w:val="32"/>
          <w:highlight w:val="none"/>
        </w:rPr>
        <w:br w:type="page"/>
      </w:r>
      <w:r>
        <w:rPr>
          <w:rFonts w:hint="eastAsia" w:ascii="宋体" w:hAnsi="宋体"/>
          <w:color w:val="auto"/>
          <w:sz w:val="32"/>
          <w:highlight w:val="none"/>
        </w:rPr>
        <w:t>附件1：</w:t>
      </w:r>
    </w:p>
    <w:p>
      <w:pPr>
        <w:pStyle w:val="2"/>
        <w:snapToGrid w:val="0"/>
        <w:spacing w:before="0" w:after="0" w:line="240" w:lineRule="auto"/>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广州市超算分布式能源投资有限公司</w:t>
      </w:r>
    </w:p>
    <w:p>
      <w:pPr>
        <w:pStyle w:val="2"/>
        <w:snapToGrid w:val="0"/>
        <w:spacing w:before="0" w:after="0" w:line="240" w:lineRule="auto"/>
        <w:rPr>
          <w:rFonts w:ascii="仿宋" w:hAnsi="仿宋" w:cs="仿宋"/>
          <w:color w:val="auto"/>
          <w:sz w:val="32"/>
          <w:szCs w:val="32"/>
          <w:highlight w:val="none"/>
        </w:rPr>
      </w:pPr>
      <w:r>
        <w:rPr>
          <w:rFonts w:hint="eastAsia" w:ascii="楷体" w:hAnsi="楷体" w:eastAsia="楷体" w:cs="楷体"/>
          <w:color w:val="auto"/>
          <w:highlight w:val="none"/>
        </w:rPr>
        <w:t>能源站一期系统优化及冷热电系统扩容可行性研究报告编制及相关服务采购需求书</w:t>
      </w:r>
    </w:p>
    <w:p>
      <w:pPr>
        <w:spacing w:line="240" w:lineRule="auto"/>
        <w:jc w:val="center"/>
        <w:rPr>
          <w:rFonts w:ascii="仿宋" w:hAnsi="仿宋" w:cs="仿宋"/>
          <w:color w:val="auto"/>
          <w:szCs w:val="28"/>
          <w:highlight w:val="none"/>
        </w:rPr>
      </w:pPr>
    </w:p>
    <w:p>
      <w:pPr>
        <w:pStyle w:val="3"/>
        <w:spacing w:before="0" w:after="0" w:line="240" w:lineRule="auto"/>
        <w:rPr>
          <w:rFonts w:ascii="仿宋" w:hAnsi="仿宋" w:cs="仿宋"/>
          <w:color w:val="auto"/>
          <w:sz w:val="28"/>
          <w:szCs w:val="28"/>
          <w:highlight w:val="none"/>
        </w:rPr>
      </w:pPr>
      <w:r>
        <w:rPr>
          <w:rFonts w:hint="eastAsia" w:ascii="仿宋" w:hAnsi="仿宋" w:cs="仿宋"/>
          <w:color w:val="auto"/>
          <w:sz w:val="28"/>
          <w:szCs w:val="28"/>
          <w:highlight w:val="none"/>
        </w:rPr>
        <w:t>一、项目背景</w:t>
      </w:r>
    </w:p>
    <w:p>
      <w:pPr>
        <w:ind w:firstLine="420" w:firstLineChars="200"/>
        <w:rPr>
          <w:rFonts w:ascii="仿宋" w:hAnsi="仿宋" w:cs="仿宋"/>
          <w:color w:val="auto"/>
          <w:szCs w:val="28"/>
          <w:highlight w:val="none"/>
        </w:rPr>
      </w:pPr>
      <w:r>
        <w:rPr>
          <w:rFonts w:hint="eastAsia" w:ascii="仿宋" w:hAnsi="仿宋" w:cs="仿宋"/>
          <w:color w:val="auto"/>
          <w:szCs w:val="28"/>
          <w:highlight w:val="none"/>
        </w:rPr>
        <w:t>广州市超算分布式能源投资有限公司（以下简称“超算公司”）能源站，位于广州大学城外环东路</w:t>
      </w:r>
      <w:r>
        <w:rPr>
          <w:rFonts w:ascii="仿宋" w:hAnsi="仿宋" w:cs="仿宋"/>
          <w:color w:val="auto"/>
          <w:szCs w:val="28"/>
          <w:highlight w:val="none"/>
        </w:rPr>
        <w:t>137号，距离国家超级计算机广州中心（以下简称“广州超算中心”）约300米。超算公司设计装机容量为4×4300kW燃气发电机配套4×4117kW溴化锂机组，以及配置1台水冷离心式电制冷机组（1×3798kW）作为备用冷源，一期工程（2×4300kW燃气发电机+2×4117kW溴化锂机组，以及1×3798kW水冷离心式电制冷机组）已于2017年投产，通过燃机发电上网、溴化锂机组利用余热（烟气、缸套水）制冷供应超算中心，目前采</w:t>
      </w:r>
      <w:r>
        <w:rPr>
          <w:rFonts w:hint="eastAsia" w:ascii="仿宋" w:hAnsi="仿宋" w:cs="仿宋"/>
          <w:color w:val="auto"/>
          <w:szCs w:val="28"/>
          <w:highlight w:val="none"/>
        </w:rPr>
        <w:t>用冷电联产运营方式。</w:t>
      </w:r>
    </w:p>
    <w:p>
      <w:pPr>
        <w:ind w:firstLine="420" w:firstLineChars="200"/>
        <w:rPr>
          <w:rFonts w:ascii="仿宋" w:hAnsi="仿宋" w:cs="仿宋"/>
          <w:color w:val="auto"/>
          <w:szCs w:val="28"/>
          <w:highlight w:val="none"/>
        </w:rPr>
      </w:pPr>
      <w:r>
        <w:rPr>
          <w:rFonts w:hint="eastAsia" w:ascii="仿宋" w:hAnsi="仿宋" w:cs="仿宋"/>
          <w:color w:val="auto"/>
          <w:szCs w:val="28"/>
          <w:highlight w:val="none"/>
        </w:rPr>
        <w:t>目前能源站供冷管道已与城投综合能源公司冷冻水管道连接，通过城投综合能源公司的冷冻水管道已具备向其他用户供冷的能力。能源站一期系统在实际运行中，存在溴化锂机组出力差、热水板换出水温度高、冷却塔冷却压力大等问题，这些问题目前已影响一期系统的正常运行，急需处理系统中存在的问题以保持系统正常运行。同时该项目所在的广州大学城对冷热电均有较强的需求，因此需对系统的冷、热、电的合理利用及其扩容进行可行性研究。</w:t>
      </w:r>
    </w:p>
    <w:p>
      <w:pPr>
        <w:pStyle w:val="3"/>
        <w:spacing w:before="0" w:after="0" w:line="240" w:lineRule="auto"/>
        <w:rPr>
          <w:rFonts w:ascii="仿宋" w:hAnsi="仿宋" w:cs="仿宋"/>
          <w:color w:val="auto"/>
          <w:sz w:val="28"/>
          <w:szCs w:val="28"/>
          <w:highlight w:val="none"/>
        </w:rPr>
      </w:pPr>
      <w:r>
        <w:rPr>
          <w:rFonts w:hint="eastAsia" w:ascii="仿宋" w:hAnsi="仿宋" w:cs="仿宋"/>
          <w:color w:val="auto"/>
          <w:sz w:val="28"/>
          <w:szCs w:val="28"/>
          <w:highlight w:val="none"/>
        </w:rPr>
        <w:t>二、项目的必要性</w:t>
      </w:r>
    </w:p>
    <w:p>
      <w:pPr>
        <w:ind w:firstLine="420" w:firstLineChars="200"/>
        <w:rPr>
          <w:rFonts w:ascii="仿宋" w:hAnsi="仿宋" w:cs="仿宋"/>
          <w:color w:val="auto"/>
          <w:szCs w:val="28"/>
          <w:highlight w:val="none"/>
        </w:rPr>
      </w:pPr>
      <w:r>
        <w:rPr>
          <w:rFonts w:hint="eastAsia" w:ascii="仿宋" w:hAnsi="仿宋" w:cs="仿宋"/>
          <w:color w:val="auto"/>
          <w:szCs w:val="28"/>
          <w:highlight w:val="none"/>
        </w:rPr>
        <w:t>随着经济发展，广东省的用电需求越来越旺盛。</w:t>
      </w:r>
      <w:r>
        <w:rPr>
          <w:rFonts w:ascii="仿宋" w:hAnsi="仿宋" w:cs="仿宋"/>
          <w:color w:val="auto"/>
          <w:szCs w:val="28"/>
          <w:highlight w:val="none"/>
        </w:rPr>
        <w:t>2022年，广东全社会用电量达7870亿</w:t>
      </w:r>
      <w:r>
        <w:rPr>
          <w:rFonts w:hint="eastAsia" w:ascii="仿宋" w:hAnsi="仿宋" w:cs="仿宋"/>
          <w:color w:val="auto"/>
          <w:szCs w:val="28"/>
          <w:highlight w:val="none"/>
          <w:lang w:eastAsia="zh-CN"/>
        </w:rPr>
        <w:t>kWh</w:t>
      </w:r>
      <w:r>
        <w:rPr>
          <w:rFonts w:hint="eastAsia" w:ascii="仿宋" w:hAnsi="仿宋" w:cs="仿宋"/>
          <w:color w:val="auto"/>
          <w:szCs w:val="28"/>
          <w:highlight w:val="none"/>
        </w:rPr>
        <w:t>，同时期省内发电量为</w:t>
      </w:r>
      <w:r>
        <w:rPr>
          <w:rFonts w:ascii="仿宋" w:hAnsi="仿宋" w:cs="仿宋"/>
          <w:color w:val="auto"/>
          <w:szCs w:val="28"/>
          <w:highlight w:val="none"/>
        </w:rPr>
        <w:t>6102.2亿</w:t>
      </w:r>
      <w:r>
        <w:rPr>
          <w:rFonts w:hint="eastAsia" w:ascii="仿宋" w:hAnsi="仿宋" w:cs="仿宋"/>
          <w:color w:val="auto"/>
          <w:szCs w:val="28"/>
          <w:highlight w:val="none"/>
          <w:lang w:eastAsia="zh-CN"/>
        </w:rPr>
        <w:t>kWh</w:t>
      </w:r>
      <w:r>
        <w:rPr>
          <w:rFonts w:hint="eastAsia" w:ascii="仿宋" w:hAnsi="仿宋" w:cs="仿宋"/>
          <w:color w:val="auto"/>
          <w:szCs w:val="28"/>
          <w:highlight w:val="none"/>
        </w:rPr>
        <w:t>，其用电缺口为-1768亿</w:t>
      </w:r>
      <w:r>
        <w:rPr>
          <w:rFonts w:hint="eastAsia" w:ascii="仿宋" w:hAnsi="仿宋" w:cs="仿宋"/>
          <w:color w:val="auto"/>
          <w:szCs w:val="28"/>
          <w:highlight w:val="none"/>
          <w:lang w:eastAsia="zh-CN"/>
        </w:rPr>
        <w:t>kWh</w:t>
      </w:r>
      <w:r>
        <w:rPr>
          <w:rFonts w:hint="eastAsia" w:ascii="仿宋" w:hAnsi="仿宋" w:cs="仿宋"/>
          <w:color w:val="auto"/>
          <w:szCs w:val="28"/>
          <w:highlight w:val="none"/>
        </w:rPr>
        <w:t>，用电缺口全部由外省输送。而随着全国经济的发展，其他省份必然面临用电量的剧烈增长状况，届时广东省将面对更大的用电压力。为了应对用电压力，2023年广东省能源局发布</w:t>
      </w:r>
      <w:bookmarkStart w:id="1" w:name="_Hlk137130779"/>
      <w:r>
        <w:rPr>
          <w:rFonts w:hint="eastAsia" w:ascii="仿宋" w:hAnsi="仿宋" w:cs="仿宋"/>
          <w:color w:val="auto"/>
          <w:szCs w:val="28"/>
          <w:highlight w:val="none"/>
        </w:rPr>
        <w:t>《广东省能源局关于印发广东省推进能源高质量发展实施方案的通知》</w:t>
      </w:r>
      <w:bookmarkEnd w:id="1"/>
      <w:r>
        <w:rPr>
          <w:rFonts w:hint="eastAsia" w:ascii="仿宋" w:hAnsi="仿宋" w:cs="仿宋"/>
          <w:color w:val="auto"/>
          <w:szCs w:val="28"/>
          <w:highlight w:val="none"/>
        </w:rPr>
        <w:t>，推进灵活性气电建设，在工业园区、产业聚集区等热负荷需求高的地区，按照“以热定电”原则合理布局天然气热电联产及分布式能源站项目，为区域实施集中供热、供电、供冷，实现能源高效循环利用，到</w:t>
      </w:r>
      <w:r>
        <w:rPr>
          <w:rFonts w:ascii="仿宋" w:hAnsi="仿宋" w:cs="仿宋"/>
          <w:color w:val="auto"/>
          <w:szCs w:val="28"/>
          <w:highlight w:val="none"/>
        </w:rPr>
        <w:t>2025年，气电规模达到约5500万千瓦</w:t>
      </w:r>
      <w:r>
        <w:rPr>
          <w:rFonts w:hint="eastAsia" w:ascii="仿宋" w:hAnsi="仿宋" w:cs="仿宋"/>
          <w:color w:val="auto"/>
          <w:szCs w:val="28"/>
          <w:highlight w:val="none"/>
        </w:rPr>
        <w:t>。因此从政策和市场层面，本项目新增燃机发电符合政策指引，同时电力具有市场需求。</w:t>
      </w:r>
    </w:p>
    <w:p>
      <w:pPr>
        <w:ind w:firstLine="420" w:firstLineChars="200"/>
        <w:rPr>
          <w:rFonts w:ascii="仿宋" w:hAnsi="仿宋" w:cs="仿宋"/>
          <w:color w:val="auto"/>
          <w:szCs w:val="28"/>
          <w:highlight w:val="none"/>
        </w:rPr>
      </w:pPr>
      <w:r>
        <w:rPr>
          <w:rFonts w:hint="eastAsia" w:ascii="仿宋" w:hAnsi="仿宋" w:cs="仿宋"/>
          <w:color w:val="auto"/>
          <w:szCs w:val="28"/>
          <w:highlight w:val="none"/>
        </w:rPr>
        <w:t>除了电力以外，项目所在位置的广州大学城存在大量的冷热需求，约20万的学生洗澡水均采用集中供热的方式由城投综合能源公司供应，同时十所高校和大学城的企事业单位的中央空调均采用集中供冷的方式也由城投综合能源公司供应。目前超算公司的冷冻水管网与城投综合能源公司的冷冻水管网已实现互联互通，结合《广东省能源局关于印发广东省推进能源高质量发展实施方案的通知》要求，需对市场的冷热需求、成本等方面进行详尽分析，并提出新增冷源和热源的方案，满足市场的冷热需求。</w:t>
      </w:r>
    </w:p>
    <w:p>
      <w:pPr>
        <w:ind w:firstLine="420" w:firstLineChars="200"/>
        <w:rPr>
          <w:rFonts w:ascii="仿宋" w:hAnsi="仿宋" w:cs="仿宋"/>
          <w:color w:val="auto"/>
          <w:szCs w:val="28"/>
          <w:highlight w:val="none"/>
        </w:rPr>
      </w:pPr>
      <w:r>
        <w:rPr>
          <w:rFonts w:hint="eastAsia" w:ascii="仿宋" w:hAnsi="仿宋" w:cs="仿宋"/>
          <w:color w:val="auto"/>
          <w:szCs w:val="28"/>
          <w:highlight w:val="none"/>
        </w:rPr>
        <w:t>除上述新增外，超算公司的一期项目在运行过程中，工艺和设备均存在优化空间，需针对现有设备进行全方位的咨询评估，并提出相应的改造方案。</w:t>
      </w:r>
    </w:p>
    <w:p>
      <w:pPr>
        <w:ind w:firstLine="420" w:firstLineChars="200"/>
        <w:rPr>
          <w:rFonts w:ascii="仿宋" w:hAnsi="仿宋" w:cs="仿宋"/>
          <w:color w:val="auto"/>
          <w:szCs w:val="28"/>
          <w:highlight w:val="none"/>
        </w:rPr>
      </w:pPr>
      <w:r>
        <w:rPr>
          <w:rFonts w:hint="eastAsia" w:ascii="仿宋" w:hAnsi="仿宋" w:cs="仿宋"/>
          <w:color w:val="auto"/>
          <w:szCs w:val="28"/>
          <w:highlight w:val="none"/>
        </w:rPr>
        <w:t>综上所述，本项目目前已建的系统在运行方面存在一定的问题，有优化的空间；同时本项目所在的地区存在较多的冷热电需求，具有发掘潜力的空间。因此有必要启动咨询，针对现有问题提出优化方案，同时针对需求现状提出最优的冷、热、电系统扩容方案。</w:t>
      </w:r>
    </w:p>
    <w:p>
      <w:pPr>
        <w:pStyle w:val="3"/>
        <w:spacing w:before="0" w:after="0" w:line="240" w:lineRule="auto"/>
        <w:rPr>
          <w:rFonts w:ascii="仿宋" w:hAnsi="仿宋" w:cs="仿宋"/>
          <w:color w:val="auto"/>
          <w:sz w:val="28"/>
          <w:szCs w:val="28"/>
          <w:highlight w:val="none"/>
        </w:rPr>
      </w:pPr>
      <w:r>
        <w:rPr>
          <w:rFonts w:hint="eastAsia" w:ascii="仿宋" w:hAnsi="仿宋" w:cs="仿宋"/>
          <w:color w:val="auto"/>
          <w:sz w:val="28"/>
          <w:szCs w:val="28"/>
          <w:highlight w:val="none"/>
        </w:rPr>
        <w:t>三、技术咨询主要工作内容</w:t>
      </w:r>
    </w:p>
    <w:p>
      <w:pPr>
        <w:spacing w:line="240" w:lineRule="auto"/>
        <w:ind w:firstLine="420"/>
        <w:rPr>
          <w:rFonts w:ascii="仿宋" w:hAnsi="仿宋" w:cs="仿宋"/>
          <w:color w:val="auto"/>
          <w:szCs w:val="28"/>
          <w:highlight w:val="none"/>
        </w:rPr>
      </w:pPr>
      <w:r>
        <w:rPr>
          <w:rFonts w:hint="eastAsia" w:ascii="仿宋" w:hAnsi="仿宋" w:cs="仿宋"/>
          <w:color w:val="auto"/>
          <w:szCs w:val="28"/>
          <w:highlight w:val="none"/>
        </w:rPr>
        <w:t>根据甲方所提供相关资料及现场调查数据，完成超算公司能源站一期系统优化及冷热电系统扩容技术咨询内容，工作包括但不限于以下内容：</w:t>
      </w:r>
    </w:p>
    <w:p>
      <w:pPr>
        <w:pStyle w:val="4"/>
        <w:spacing w:before="0" w:after="0"/>
        <w:rPr>
          <w:rFonts w:ascii="仿宋" w:hAnsi="仿宋" w:cs="仿宋"/>
          <w:color w:val="auto"/>
          <w:szCs w:val="28"/>
          <w:highlight w:val="none"/>
        </w:rPr>
      </w:pPr>
      <w:r>
        <w:rPr>
          <w:rFonts w:hint="eastAsia" w:ascii="仿宋" w:hAnsi="仿宋" w:cs="仿宋"/>
          <w:color w:val="auto"/>
          <w:szCs w:val="28"/>
          <w:highlight w:val="none"/>
        </w:rPr>
        <w:t>（一） 能源站一期系统现状评估咨询</w:t>
      </w:r>
    </w:p>
    <w:p>
      <w:pPr>
        <w:spacing w:line="240" w:lineRule="auto"/>
        <w:ind w:firstLine="420"/>
        <w:rPr>
          <w:rFonts w:ascii="仿宋" w:hAnsi="仿宋" w:cs="仿宋"/>
          <w:color w:val="auto"/>
          <w:szCs w:val="28"/>
          <w:highlight w:val="none"/>
        </w:rPr>
      </w:pPr>
      <w:r>
        <w:rPr>
          <w:rFonts w:hint="eastAsia" w:ascii="仿宋" w:hAnsi="仿宋" w:cs="仿宋"/>
          <w:color w:val="auto"/>
          <w:szCs w:val="28"/>
          <w:highlight w:val="none"/>
        </w:rPr>
        <w:t>根据能源站燃机-溴化锂机组、热水板换器和冷却塔目前的运行状况和从现场了解的情况对系统的整体状况进行评估：</w:t>
      </w:r>
    </w:p>
    <w:p>
      <w:pPr>
        <w:numPr>
          <w:ilvl w:val="0"/>
          <w:numId w:val="11"/>
        </w:numPr>
        <w:spacing w:line="240" w:lineRule="auto"/>
        <w:ind w:firstLine="420"/>
        <w:rPr>
          <w:rFonts w:ascii="仿宋" w:hAnsi="仿宋" w:cs="仿宋"/>
          <w:color w:val="auto"/>
          <w:szCs w:val="28"/>
          <w:highlight w:val="none"/>
        </w:rPr>
      </w:pPr>
      <w:r>
        <w:rPr>
          <w:rFonts w:hint="eastAsia" w:ascii="仿宋" w:hAnsi="仿宋" w:cs="仿宋"/>
          <w:color w:val="auto"/>
          <w:szCs w:val="28"/>
          <w:highlight w:val="none"/>
        </w:rPr>
        <w:t>对能源站一期系统的能效进行综合评估（包括燃机、溴化锂机组、热水板换、冷却塔等设备运行状况）；</w:t>
      </w:r>
    </w:p>
    <w:p>
      <w:pPr>
        <w:numPr>
          <w:ilvl w:val="0"/>
          <w:numId w:val="11"/>
        </w:numPr>
        <w:spacing w:line="240" w:lineRule="auto"/>
        <w:ind w:firstLine="420"/>
        <w:rPr>
          <w:rFonts w:ascii="仿宋" w:hAnsi="仿宋" w:cs="仿宋"/>
          <w:color w:val="auto"/>
          <w:szCs w:val="28"/>
          <w:highlight w:val="none"/>
        </w:rPr>
      </w:pPr>
      <w:r>
        <w:rPr>
          <w:rFonts w:hint="eastAsia" w:ascii="仿宋" w:hAnsi="仿宋" w:cs="仿宋"/>
          <w:color w:val="auto"/>
          <w:szCs w:val="28"/>
          <w:highlight w:val="none"/>
        </w:rPr>
        <w:t>分析一期系统烟气热回收利用的优选方案；</w:t>
      </w:r>
    </w:p>
    <w:p>
      <w:pPr>
        <w:numPr>
          <w:ilvl w:val="0"/>
          <w:numId w:val="11"/>
        </w:numPr>
        <w:spacing w:line="240" w:lineRule="auto"/>
        <w:ind w:firstLine="420"/>
        <w:rPr>
          <w:rFonts w:ascii="仿宋" w:hAnsi="仿宋" w:cs="仿宋"/>
          <w:color w:val="auto"/>
          <w:szCs w:val="28"/>
          <w:highlight w:val="none"/>
        </w:rPr>
      </w:pPr>
      <w:r>
        <w:rPr>
          <w:rFonts w:hint="eastAsia" w:ascii="仿宋" w:hAnsi="仿宋" w:cs="仿宋"/>
          <w:color w:val="auto"/>
          <w:szCs w:val="28"/>
          <w:highlight w:val="none"/>
        </w:rPr>
        <w:t>分析一期系统余热回收的优选方案；</w:t>
      </w:r>
    </w:p>
    <w:p>
      <w:pPr>
        <w:numPr>
          <w:ilvl w:val="0"/>
          <w:numId w:val="11"/>
        </w:numPr>
        <w:spacing w:line="240" w:lineRule="auto"/>
        <w:ind w:firstLine="420"/>
        <w:rPr>
          <w:rFonts w:ascii="仿宋" w:hAnsi="仿宋" w:cs="仿宋"/>
          <w:color w:val="auto"/>
          <w:szCs w:val="28"/>
          <w:highlight w:val="none"/>
        </w:rPr>
      </w:pPr>
      <w:r>
        <w:rPr>
          <w:rFonts w:hint="eastAsia" w:ascii="仿宋" w:hAnsi="仿宋" w:cs="仿宋"/>
          <w:color w:val="auto"/>
          <w:szCs w:val="28"/>
          <w:highlight w:val="none"/>
        </w:rPr>
        <w:t>分析一期系统的优化运行策略</w:t>
      </w:r>
    </w:p>
    <w:p>
      <w:pPr>
        <w:pStyle w:val="4"/>
        <w:rPr>
          <w:color w:val="auto"/>
          <w:highlight w:val="none"/>
        </w:rPr>
      </w:pPr>
      <w:r>
        <w:rPr>
          <w:rFonts w:hint="eastAsia"/>
          <w:color w:val="auto"/>
          <w:highlight w:val="none"/>
        </w:rPr>
        <w:t>（二）能源站冷热电系统扩容咨询</w:t>
      </w:r>
    </w:p>
    <w:p>
      <w:pPr>
        <w:ind w:firstLine="420" w:firstLineChars="200"/>
        <w:rPr>
          <w:color w:val="auto"/>
          <w:highlight w:val="none"/>
        </w:rPr>
      </w:pPr>
      <w:r>
        <w:rPr>
          <w:rFonts w:hint="eastAsia"/>
          <w:color w:val="auto"/>
          <w:highlight w:val="none"/>
        </w:rPr>
        <w:t>从市场需求、政策符合性、成本等多方面对能源站冷热电系统进行扩容评估：</w:t>
      </w:r>
    </w:p>
    <w:p>
      <w:pPr>
        <w:pStyle w:val="19"/>
        <w:numPr>
          <w:ilvl w:val="0"/>
          <w:numId w:val="12"/>
        </w:numPr>
        <w:ind w:firstLineChars="0"/>
        <w:rPr>
          <w:color w:val="auto"/>
          <w:highlight w:val="none"/>
        </w:rPr>
      </w:pPr>
      <w:r>
        <w:rPr>
          <w:rFonts w:hint="eastAsia"/>
          <w:color w:val="auto"/>
          <w:highlight w:val="none"/>
        </w:rPr>
        <w:t>包括发电系统增容分析，包括但不限于增加燃机-溴化锂机组及其相应配套设备的优选方案分析；</w:t>
      </w:r>
    </w:p>
    <w:p>
      <w:pPr>
        <w:pStyle w:val="19"/>
        <w:numPr>
          <w:ilvl w:val="0"/>
          <w:numId w:val="12"/>
        </w:numPr>
        <w:ind w:firstLineChars="0"/>
        <w:rPr>
          <w:color w:val="auto"/>
          <w:highlight w:val="none"/>
        </w:rPr>
      </w:pPr>
      <w:r>
        <w:rPr>
          <w:rFonts w:hint="eastAsia"/>
          <w:color w:val="auto"/>
          <w:highlight w:val="none"/>
        </w:rPr>
        <w:t>冷系统的增容分析，包括但不限于增加电制冷机组及其相应配套设备的优选方案分析；</w:t>
      </w:r>
    </w:p>
    <w:p>
      <w:pPr>
        <w:pStyle w:val="19"/>
        <w:numPr>
          <w:ilvl w:val="0"/>
          <w:numId w:val="12"/>
        </w:numPr>
        <w:ind w:firstLineChars="0"/>
        <w:rPr>
          <w:color w:val="auto"/>
          <w:highlight w:val="none"/>
        </w:rPr>
      </w:pPr>
      <w:r>
        <w:rPr>
          <w:rFonts w:hint="eastAsia"/>
          <w:color w:val="auto"/>
          <w:highlight w:val="none"/>
        </w:rPr>
        <w:t>热系统的增容与利用分析，包括但不限于新增机组余热制备热水的方案分析；</w:t>
      </w:r>
    </w:p>
    <w:p>
      <w:pPr>
        <w:pStyle w:val="19"/>
        <w:numPr>
          <w:ilvl w:val="0"/>
          <w:numId w:val="12"/>
        </w:numPr>
        <w:ind w:firstLineChars="0"/>
        <w:rPr>
          <w:color w:val="auto"/>
          <w:highlight w:val="none"/>
        </w:rPr>
      </w:pPr>
      <w:r>
        <w:rPr>
          <w:rFonts w:hint="eastAsia"/>
          <w:color w:val="auto"/>
          <w:highlight w:val="none"/>
        </w:rPr>
        <w:t>新增机组后冷热管网建设的优选方案分析；</w:t>
      </w:r>
    </w:p>
    <w:p>
      <w:pPr>
        <w:pStyle w:val="19"/>
        <w:numPr>
          <w:ilvl w:val="0"/>
          <w:numId w:val="12"/>
        </w:numPr>
        <w:ind w:firstLineChars="0"/>
        <w:rPr>
          <w:color w:val="auto"/>
          <w:highlight w:val="none"/>
        </w:rPr>
      </w:pPr>
      <w:r>
        <w:rPr>
          <w:rFonts w:hint="eastAsia"/>
          <w:color w:val="auto"/>
          <w:highlight w:val="none"/>
        </w:rPr>
        <w:t>电气、自控方案的优选方案分析；</w:t>
      </w:r>
    </w:p>
    <w:p>
      <w:pPr>
        <w:pStyle w:val="4"/>
        <w:spacing w:before="0" w:after="0"/>
        <w:rPr>
          <w:rFonts w:ascii="仿宋" w:hAnsi="仿宋" w:cs="仿宋"/>
          <w:color w:val="auto"/>
          <w:szCs w:val="28"/>
          <w:highlight w:val="none"/>
        </w:rPr>
      </w:pPr>
      <w:r>
        <w:rPr>
          <w:rFonts w:hint="eastAsia" w:ascii="仿宋" w:hAnsi="仿宋" w:cs="仿宋"/>
          <w:color w:val="auto"/>
          <w:szCs w:val="28"/>
          <w:highlight w:val="none"/>
        </w:rPr>
        <w:t>（三）解决方案咨询</w:t>
      </w:r>
    </w:p>
    <w:p>
      <w:pPr>
        <w:spacing w:line="240" w:lineRule="auto"/>
        <w:rPr>
          <w:rFonts w:ascii="仿宋" w:hAnsi="仿宋" w:cs="仿宋"/>
          <w:color w:val="auto"/>
          <w:szCs w:val="28"/>
          <w:highlight w:val="none"/>
        </w:rPr>
      </w:pPr>
      <w:r>
        <w:rPr>
          <w:rFonts w:hint="eastAsia" w:ascii="仿宋" w:hAnsi="仿宋" w:cs="仿宋"/>
          <w:color w:val="auto"/>
          <w:szCs w:val="28"/>
          <w:highlight w:val="none"/>
        </w:rPr>
        <w:tab/>
      </w:r>
      <w:r>
        <w:rPr>
          <w:rFonts w:hint="eastAsia" w:ascii="仿宋" w:hAnsi="仿宋" w:cs="仿宋"/>
          <w:color w:val="auto"/>
          <w:szCs w:val="28"/>
          <w:highlight w:val="none"/>
        </w:rPr>
        <w:t>根据能源站的现状评估咨询结果和市场分析，结合目前的技术水平，提出解决方案：</w:t>
      </w:r>
    </w:p>
    <w:p>
      <w:pPr>
        <w:spacing w:line="240" w:lineRule="auto"/>
        <w:ind w:firstLine="420"/>
        <w:rPr>
          <w:rFonts w:ascii="仿宋" w:hAnsi="仿宋" w:cs="仿宋"/>
          <w:color w:val="auto"/>
          <w:szCs w:val="28"/>
          <w:highlight w:val="none"/>
        </w:rPr>
      </w:pPr>
      <w:r>
        <w:rPr>
          <w:rFonts w:hint="eastAsia" w:ascii="仿宋" w:hAnsi="仿宋" w:cs="仿宋"/>
          <w:color w:val="auto"/>
          <w:szCs w:val="28"/>
          <w:highlight w:val="none"/>
        </w:rPr>
        <w:t>1.结合现状评估和市场分析提出能源站一期系统优化及冷热电系统扩容可行性研究报告；</w:t>
      </w:r>
    </w:p>
    <w:p>
      <w:pPr>
        <w:spacing w:line="240" w:lineRule="auto"/>
        <w:ind w:firstLine="420"/>
        <w:rPr>
          <w:rFonts w:ascii="仿宋" w:hAnsi="仿宋" w:cs="仿宋"/>
          <w:color w:val="auto"/>
          <w:szCs w:val="28"/>
          <w:highlight w:val="none"/>
        </w:rPr>
      </w:pPr>
      <w:r>
        <w:rPr>
          <w:rFonts w:hint="eastAsia" w:ascii="仿宋" w:hAnsi="仿宋" w:cs="仿宋"/>
          <w:color w:val="auto"/>
          <w:szCs w:val="28"/>
          <w:highlight w:val="none"/>
        </w:rPr>
        <w:t>2.结合可行性研究报告提出的最优方案提出主要设备的技术需求书。</w:t>
      </w:r>
    </w:p>
    <w:p>
      <w:pPr>
        <w:pStyle w:val="4"/>
        <w:spacing w:before="0" w:after="0"/>
        <w:rPr>
          <w:rFonts w:ascii="仿宋" w:hAnsi="仿宋" w:cs="仿宋"/>
          <w:color w:val="auto"/>
          <w:szCs w:val="28"/>
          <w:highlight w:val="none"/>
        </w:rPr>
      </w:pPr>
      <w:r>
        <w:rPr>
          <w:rFonts w:hint="eastAsia" w:ascii="仿宋" w:hAnsi="仿宋" w:cs="仿宋"/>
          <w:color w:val="auto"/>
          <w:szCs w:val="28"/>
          <w:highlight w:val="none"/>
        </w:rPr>
        <w:t>（四） 投资估算咨询</w:t>
      </w:r>
    </w:p>
    <w:p>
      <w:pPr>
        <w:spacing w:line="240" w:lineRule="auto"/>
        <w:rPr>
          <w:rFonts w:ascii="仿宋" w:hAnsi="仿宋" w:cs="仿宋"/>
          <w:color w:val="auto"/>
          <w:szCs w:val="28"/>
          <w:highlight w:val="none"/>
        </w:rPr>
      </w:pPr>
      <w:r>
        <w:rPr>
          <w:rFonts w:hint="eastAsia" w:ascii="仿宋" w:hAnsi="仿宋" w:cs="仿宋"/>
          <w:color w:val="auto"/>
          <w:szCs w:val="28"/>
          <w:highlight w:val="none"/>
        </w:rPr>
        <w:tab/>
      </w:r>
      <w:r>
        <w:rPr>
          <w:rFonts w:hint="eastAsia" w:ascii="仿宋" w:hAnsi="仿宋" w:cs="仿宋"/>
          <w:color w:val="auto"/>
          <w:szCs w:val="28"/>
          <w:highlight w:val="none"/>
        </w:rPr>
        <w:t>根据技术方案及相应的规范（《建设工程造价咨询规范GB/T51095-2015》、《建设工程工程量清单计价规范GB50500-2013》等国家标准）提供项目投资估算，造价估算应包括工程费用、工程建设其他费用、预备费等工程建设相关费用内容，具体细节参照相应国家规范表格内容。</w:t>
      </w:r>
    </w:p>
    <w:p>
      <w:pPr>
        <w:pStyle w:val="3"/>
        <w:spacing w:before="0" w:after="0" w:line="240" w:lineRule="auto"/>
        <w:rPr>
          <w:rFonts w:ascii="仿宋" w:hAnsi="仿宋" w:cs="仿宋"/>
          <w:color w:val="auto"/>
          <w:sz w:val="28"/>
          <w:szCs w:val="28"/>
          <w:highlight w:val="none"/>
        </w:rPr>
      </w:pPr>
      <w:r>
        <w:rPr>
          <w:rFonts w:hint="eastAsia" w:ascii="仿宋" w:hAnsi="仿宋" w:cs="仿宋"/>
          <w:color w:val="auto"/>
          <w:sz w:val="28"/>
          <w:szCs w:val="28"/>
          <w:highlight w:val="none"/>
        </w:rPr>
        <w:t>四、成果验收</w:t>
      </w:r>
    </w:p>
    <w:p>
      <w:pPr>
        <w:ind w:firstLine="420" w:firstLineChars="200"/>
        <w:rPr>
          <w:rFonts w:ascii="仿宋" w:hAnsi="仿宋" w:cs="仿宋"/>
          <w:color w:val="auto"/>
          <w:szCs w:val="28"/>
          <w:highlight w:val="none"/>
        </w:rPr>
      </w:pPr>
      <w:r>
        <w:rPr>
          <w:rFonts w:hint="eastAsia" w:ascii="仿宋" w:hAnsi="仿宋" w:cs="仿宋"/>
          <w:color w:val="auto"/>
          <w:szCs w:val="28"/>
          <w:highlight w:val="none"/>
        </w:rPr>
        <w:t>以下的咨询报告和需求书需提供纸质版和电子版。</w:t>
      </w:r>
    </w:p>
    <w:p>
      <w:pPr>
        <w:spacing w:line="240" w:lineRule="auto"/>
        <w:rPr>
          <w:rFonts w:ascii="仿宋" w:hAnsi="仿宋" w:cs="仿宋"/>
          <w:color w:val="auto"/>
          <w:szCs w:val="28"/>
          <w:highlight w:val="none"/>
        </w:rPr>
      </w:pPr>
      <w:r>
        <w:rPr>
          <w:rFonts w:hint="eastAsia" w:ascii="仿宋" w:hAnsi="仿宋" w:cs="仿宋"/>
          <w:color w:val="auto"/>
          <w:szCs w:val="28"/>
          <w:highlight w:val="none"/>
        </w:rPr>
        <w:tab/>
      </w:r>
      <w:r>
        <w:rPr>
          <w:rFonts w:hint="eastAsia" w:ascii="仿宋" w:hAnsi="仿宋" w:cs="仿宋"/>
          <w:color w:val="auto"/>
          <w:szCs w:val="28"/>
          <w:highlight w:val="none"/>
        </w:rPr>
        <w:t>（一）超算公司能源站一期系统优化及冷热电系统扩容可行性研究报告；</w:t>
      </w:r>
    </w:p>
    <w:p>
      <w:pPr>
        <w:spacing w:line="240" w:lineRule="auto"/>
        <w:ind w:firstLine="420"/>
        <w:rPr>
          <w:rFonts w:ascii="仿宋" w:hAnsi="仿宋" w:cs="仿宋"/>
          <w:color w:val="auto"/>
          <w:szCs w:val="28"/>
          <w:highlight w:val="none"/>
        </w:rPr>
      </w:pPr>
      <w:r>
        <w:rPr>
          <w:rFonts w:hint="eastAsia" w:ascii="仿宋" w:hAnsi="仿宋" w:cs="仿宋"/>
          <w:color w:val="auto"/>
          <w:szCs w:val="28"/>
          <w:highlight w:val="none"/>
        </w:rPr>
        <w:t>（二）超算公司能源站一期系统优化及冷热电系统扩容技术需求书。</w:t>
      </w:r>
    </w:p>
    <w:p>
      <w:pPr>
        <w:pStyle w:val="3"/>
        <w:spacing w:before="0" w:after="0" w:line="240" w:lineRule="auto"/>
        <w:rPr>
          <w:rFonts w:ascii="仿宋" w:hAnsi="仿宋" w:cs="仿宋"/>
          <w:color w:val="auto"/>
          <w:sz w:val="28"/>
          <w:szCs w:val="28"/>
          <w:highlight w:val="none"/>
        </w:rPr>
      </w:pPr>
      <w:r>
        <w:rPr>
          <w:rFonts w:hint="eastAsia" w:ascii="仿宋" w:hAnsi="仿宋" w:cs="仿宋"/>
          <w:color w:val="auto"/>
          <w:sz w:val="28"/>
          <w:szCs w:val="28"/>
          <w:highlight w:val="none"/>
        </w:rPr>
        <w:t>五、进度/工期要求</w:t>
      </w:r>
    </w:p>
    <w:p>
      <w:pPr>
        <w:spacing w:line="240" w:lineRule="auto"/>
        <w:rPr>
          <w:rFonts w:ascii="仿宋" w:hAnsi="仿宋" w:cs="仿宋"/>
          <w:color w:val="auto"/>
          <w:szCs w:val="28"/>
          <w:highlight w:val="none"/>
        </w:rPr>
      </w:pPr>
      <w:r>
        <w:rPr>
          <w:rFonts w:hint="eastAsia" w:ascii="仿宋" w:hAnsi="仿宋" w:cs="仿宋"/>
          <w:color w:val="auto"/>
          <w:szCs w:val="28"/>
          <w:highlight w:val="none"/>
        </w:rPr>
        <w:tab/>
      </w:r>
      <w:r>
        <w:rPr>
          <w:rFonts w:hint="eastAsia" w:ascii="仿宋" w:hAnsi="仿宋" w:cs="仿宋"/>
          <w:color w:val="auto"/>
          <w:szCs w:val="28"/>
          <w:highlight w:val="none"/>
        </w:rPr>
        <w:t>（一）2023年</w:t>
      </w:r>
      <w:r>
        <w:rPr>
          <w:rFonts w:hint="eastAsia" w:ascii="仿宋" w:hAnsi="仿宋" w:cs="仿宋"/>
          <w:color w:val="auto"/>
          <w:szCs w:val="28"/>
          <w:highlight w:val="none"/>
          <w:lang w:val="en-US" w:eastAsia="zh-CN"/>
        </w:rPr>
        <w:t>7</w:t>
      </w:r>
      <w:r>
        <w:rPr>
          <w:rFonts w:hint="eastAsia" w:ascii="仿宋" w:hAnsi="仿宋" w:cs="仿宋"/>
          <w:color w:val="auto"/>
          <w:szCs w:val="28"/>
          <w:highlight w:val="none"/>
        </w:rPr>
        <w:t>月</w:t>
      </w:r>
      <w:r>
        <w:rPr>
          <w:rFonts w:hint="eastAsia" w:ascii="仿宋" w:hAnsi="仿宋" w:cs="仿宋"/>
          <w:color w:val="auto"/>
          <w:szCs w:val="28"/>
          <w:highlight w:val="none"/>
          <w:lang w:val="en-US" w:eastAsia="zh-CN"/>
        </w:rPr>
        <w:t>15</w:t>
      </w:r>
      <w:r>
        <w:rPr>
          <w:rFonts w:hint="eastAsia" w:ascii="仿宋" w:hAnsi="仿宋" w:cs="仿宋"/>
          <w:color w:val="auto"/>
          <w:szCs w:val="28"/>
          <w:highlight w:val="none"/>
        </w:rPr>
        <w:t>日前咨询单位进入超算能源站查看现场。</w:t>
      </w:r>
    </w:p>
    <w:p>
      <w:pPr>
        <w:spacing w:line="240" w:lineRule="auto"/>
        <w:ind w:firstLine="420"/>
        <w:rPr>
          <w:rFonts w:ascii="仿宋" w:hAnsi="仿宋" w:cs="仿宋"/>
          <w:color w:val="auto"/>
          <w:szCs w:val="28"/>
          <w:highlight w:val="none"/>
        </w:rPr>
      </w:pPr>
      <w:r>
        <w:rPr>
          <w:rFonts w:hint="eastAsia" w:ascii="仿宋" w:hAnsi="仿宋" w:cs="仿宋"/>
          <w:color w:val="auto"/>
          <w:szCs w:val="28"/>
          <w:highlight w:val="none"/>
        </w:rPr>
        <w:t>（二）从咨询单位查看现场之日起至提交成果共30天。</w:t>
      </w:r>
    </w:p>
    <w:p>
      <w:pPr>
        <w:pStyle w:val="3"/>
        <w:spacing w:before="0" w:after="0" w:line="240" w:lineRule="auto"/>
        <w:rPr>
          <w:rFonts w:ascii="仿宋" w:hAnsi="仿宋" w:cs="仿宋"/>
          <w:color w:val="auto"/>
          <w:sz w:val="28"/>
          <w:szCs w:val="28"/>
          <w:highlight w:val="none"/>
        </w:rPr>
      </w:pPr>
      <w:r>
        <w:rPr>
          <w:rFonts w:hint="eastAsia" w:ascii="仿宋" w:hAnsi="仿宋" w:cs="仿宋"/>
          <w:color w:val="auto"/>
          <w:sz w:val="28"/>
          <w:szCs w:val="28"/>
          <w:highlight w:val="none"/>
        </w:rPr>
        <w:t>六、咨询单位要求</w:t>
      </w:r>
    </w:p>
    <w:p>
      <w:pPr>
        <w:spacing w:line="240" w:lineRule="auto"/>
        <w:rPr>
          <w:rFonts w:ascii="仿宋" w:hAnsi="仿宋" w:cs="仿宋"/>
          <w:color w:val="auto"/>
          <w:szCs w:val="28"/>
          <w:highlight w:val="none"/>
          <w:shd w:val="clear" w:color="auto" w:fill="FFFFFF"/>
        </w:rPr>
      </w:pPr>
      <w:r>
        <w:rPr>
          <w:rFonts w:hint="eastAsia" w:ascii="仿宋" w:hAnsi="仿宋" w:cs="仿宋"/>
          <w:color w:val="auto"/>
          <w:szCs w:val="28"/>
          <w:highlight w:val="none"/>
          <w:shd w:val="clear" w:color="auto" w:fill="FFFFFF"/>
        </w:rPr>
        <w:t>（一） 工程咨询单位至少具有2名咨询工程师，至少具有2名本专业高级技术职称人员，两者不重复计算；</w:t>
      </w:r>
    </w:p>
    <w:p>
      <w:pPr>
        <w:spacing w:line="240" w:lineRule="auto"/>
        <w:rPr>
          <w:rFonts w:ascii="仿宋" w:hAnsi="仿宋" w:cs="仿宋"/>
          <w:color w:val="auto"/>
          <w:szCs w:val="28"/>
          <w:highlight w:val="none"/>
          <w:shd w:val="clear" w:color="auto" w:fill="FFFFFF"/>
        </w:rPr>
      </w:pPr>
      <w:r>
        <w:rPr>
          <w:rFonts w:hint="eastAsia" w:ascii="仿宋" w:hAnsi="仿宋" w:cs="仿宋"/>
          <w:color w:val="auto"/>
          <w:szCs w:val="28"/>
          <w:highlight w:val="none"/>
          <w:shd w:val="clear" w:color="auto" w:fill="FFFFFF"/>
        </w:rPr>
        <w:t>（二）单位主要技术负责人为咨询工程师，具有工程或工程经济类高级技术职称，从事工程咨询业务不少于8年；</w:t>
      </w:r>
    </w:p>
    <w:p>
      <w:pPr>
        <w:spacing w:line="240" w:lineRule="auto"/>
        <w:rPr>
          <w:rFonts w:ascii="仿宋" w:hAnsi="仿宋" w:cs="仿宋"/>
          <w:color w:val="auto"/>
          <w:szCs w:val="28"/>
          <w:highlight w:val="none"/>
        </w:rPr>
      </w:pPr>
      <w:r>
        <w:rPr>
          <w:rFonts w:hint="eastAsia" w:ascii="仿宋" w:hAnsi="仿宋" w:cs="仿宋"/>
          <w:color w:val="auto"/>
          <w:szCs w:val="28"/>
          <w:highlight w:val="none"/>
        </w:rPr>
        <w:t>（三）</w:t>
      </w:r>
      <w:r>
        <w:rPr>
          <w:rFonts w:hint="eastAsia" w:ascii="仿宋" w:hAnsi="仿宋" w:cs="仿宋"/>
          <w:color w:val="auto"/>
          <w:szCs w:val="28"/>
          <w:highlight w:val="none"/>
          <w:shd w:val="clear" w:color="auto" w:fill="FFFFFF"/>
        </w:rPr>
        <w:t>工程咨询单位</w:t>
      </w:r>
      <w:r>
        <w:rPr>
          <w:rFonts w:hint="eastAsia" w:ascii="仿宋" w:hAnsi="仿宋" w:cs="仿宋"/>
          <w:color w:val="auto"/>
          <w:szCs w:val="28"/>
          <w:highlight w:val="none"/>
        </w:rPr>
        <w:t>具备燃机-溴化锂机组（冷、电、热三联供）项目的设计经验，在本项目通过审批立项后，可取得该项目的设计方案投标优先参与的资格。</w:t>
      </w:r>
    </w:p>
    <w:p>
      <w:pPr>
        <w:spacing w:line="240" w:lineRule="auto"/>
        <w:rPr>
          <w:rFonts w:ascii="仿宋" w:hAnsi="仿宋" w:cs="仿宋"/>
          <w:color w:val="auto"/>
          <w:szCs w:val="28"/>
          <w:highlight w:val="none"/>
        </w:rPr>
      </w:pPr>
    </w:p>
    <w:p>
      <w:pPr>
        <w:spacing w:line="240" w:lineRule="auto"/>
        <w:rPr>
          <w:rFonts w:ascii="仿宋" w:hAnsi="仿宋" w:cs="仿宋"/>
          <w:color w:val="auto"/>
          <w:szCs w:val="28"/>
          <w:highlight w:val="none"/>
        </w:rPr>
      </w:pPr>
    </w:p>
    <w:p>
      <w:pPr>
        <w:spacing w:line="240" w:lineRule="auto"/>
        <w:rPr>
          <w:rFonts w:ascii="仿宋" w:hAnsi="仿宋" w:cs="仿宋"/>
          <w:color w:val="auto"/>
          <w:szCs w:val="28"/>
          <w:highlight w:val="none"/>
        </w:rPr>
      </w:pPr>
    </w:p>
    <w:p>
      <w:pPr>
        <w:spacing w:line="240" w:lineRule="auto"/>
        <w:ind w:right="14"/>
        <w:jc w:val="right"/>
        <w:rPr>
          <w:rFonts w:ascii="仿宋" w:hAnsi="仿宋" w:cs="仿宋"/>
          <w:color w:val="auto"/>
          <w:szCs w:val="28"/>
          <w:highlight w:val="none"/>
        </w:rPr>
      </w:pPr>
      <w:r>
        <w:rPr>
          <w:rFonts w:hint="eastAsia" w:ascii="仿宋" w:hAnsi="仿宋" w:cs="仿宋"/>
          <w:color w:val="auto"/>
          <w:szCs w:val="28"/>
          <w:highlight w:val="none"/>
        </w:rPr>
        <w:t>广州市超算分布式能源投资有限公司</w:t>
      </w:r>
    </w:p>
    <w:p>
      <w:pPr>
        <w:spacing w:line="240" w:lineRule="auto"/>
        <w:ind w:right="14"/>
        <w:jc w:val="right"/>
        <w:rPr>
          <w:rFonts w:ascii="仿宋" w:hAnsi="仿宋" w:cs="仿宋"/>
          <w:color w:val="auto"/>
          <w:szCs w:val="28"/>
          <w:highlight w:val="none"/>
        </w:rPr>
      </w:pPr>
      <w:r>
        <w:rPr>
          <w:rFonts w:hint="eastAsia" w:ascii="仿宋" w:hAnsi="仿宋" w:cs="仿宋"/>
          <w:color w:val="auto"/>
          <w:szCs w:val="28"/>
          <w:highlight w:val="none"/>
        </w:rPr>
        <w:t>2</w:t>
      </w:r>
      <w:r>
        <w:rPr>
          <w:rFonts w:ascii="仿宋" w:hAnsi="仿宋" w:cs="仿宋"/>
          <w:color w:val="auto"/>
          <w:szCs w:val="28"/>
          <w:highlight w:val="none"/>
        </w:rPr>
        <w:t>023</w:t>
      </w:r>
      <w:r>
        <w:rPr>
          <w:rFonts w:hint="eastAsia" w:ascii="仿宋" w:hAnsi="仿宋" w:cs="仿宋"/>
          <w:color w:val="auto"/>
          <w:szCs w:val="28"/>
          <w:highlight w:val="none"/>
        </w:rPr>
        <w:t>年</w:t>
      </w:r>
      <w:r>
        <w:rPr>
          <w:rFonts w:hint="eastAsia" w:ascii="仿宋" w:hAnsi="仿宋" w:cs="仿宋"/>
          <w:color w:val="auto"/>
          <w:szCs w:val="28"/>
          <w:highlight w:val="none"/>
          <w:lang w:val="en-US" w:eastAsia="zh-CN"/>
        </w:rPr>
        <w:t>6</w:t>
      </w:r>
      <w:r>
        <w:rPr>
          <w:rFonts w:hint="eastAsia" w:ascii="仿宋" w:hAnsi="仿宋" w:cs="仿宋"/>
          <w:color w:val="auto"/>
          <w:szCs w:val="28"/>
          <w:highlight w:val="none"/>
        </w:rPr>
        <w:t>月</w:t>
      </w:r>
      <w:r>
        <w:rPr>
          <w:rFonts w:hint="eastAsia" w:ascii="仿宋" w:hAnsi="仿宋" w:cs="仿宋"/>
          <w:color w:val="auto"/>
          <w:szCs w:val="28"/>
          <w:highlight w:val="none"/>
          <w:lang w:val="en-US" w:eastAsia="zh-CN"/>
        </w:rPr>
        <w:t>2</w:t>
      </w:r>
      <w:r>
        <w:rPr>
          <w:rFonts w:hint="eastAsia" w:ascii="仿宋" w:hAnsi="仿宋" w:cs="仿宋"/>
          <w:color w:val="auto"/>
          <w:szCs w:val="28"/>
          <w:highlight w:val="none"/>
        </w:rPr>
        <w:t>0日</w:t>
      </w:r>
    </w:p>
    <w:p>
      <w:pPr>
        <w:spacing w:line="240" w:lineRule="auto"/>
        <w:jc w:val="right"/>
        <w:rPr>
          <w:rFonts w:ascii="仿宋" w:hAnsi="仿宋" w:cs="仿宋"/>
          <w:color w:val="auto"/>
          <w:szCs w:val="28"/>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int="eastAsia" w:ascii="宋体" w:hAnsi="宋体"/>
          <w:color w:val="auto"/>
          <w:sz w:val="32"/>
          <w:highlight w:val="none"/>
        </w:rPr>
      </w:pPr>
    </w:p>
    <w:p>
      <w:pPr>
        <w:widowControl/>
        <w:jc w:val="left"/>
        <w:rPr>
          <w:rFonts w:hAnsi="宋体"/>
          <w:color w:val="auto"/>
          <w:highlight w:val="none"/>
        </w:rPr>
      </w:pPr>
      <w:r>
        <w:rPr>
          <w:rFonts w:hint="eastAsia" w:ascii="宋体" w:hAnsi="宋体"/>
          <w:color w:val="auto"/>
          <w:sz w:val="32"/>
          <w:highlight w:val="none"/>
        </w:rPr>
        <w:t>附件2</w:t>
      </w:r>
    </w:p>
    <w:p>
      <w:pPr>
        <w:spacing w:line="360" w:lineRule="auto"/>
        <w:jc w:val="center"/>
        <w:rPr>
          <w:rFonts w:ascii="宋体" w:hAnsi="宋体"/>
          <w:color w:val="auto"/>
          <w:sz w:val="32"/>
          <w:highlight w:val="none"/>
        </w:rPr>
      </w:pPr>
      <w:r>
        <w:rPr>
          <w:rFonts w:hint="eastAsia" w:ascii="宋体" w:hAnsi="宋体"/>
          <w:color w:val="auto"/>
          <w:sz w:val="32"/>
          <w:highlight w:val="none"/>
        </w:rPr>
        <w:t>报价一览表</w:t>
      </w:r>
    </w:p>
    <w:p>
      <w:pPr>
        <w:spacing w:line="360" w:lineRule="auto"/>
        <w:rPr>
          <w:rFonts w:hint="eastAsia" w:ascii="宋体" w:hAnsi="宋体"/>
          <w:color w:val="auto"/>
          <w:highlight w:val="none"/>
        </w:rPr>
      </w:pPr>
      <w:r>
        <w:rPr>
          <w:rFonts w:hint="eastAsia" w:ascii="宋体" w:hAnsi="宋体"/>
          <w:color w:val="auto"/>
          <w:highlight w:val="none"/>
        </w:rPr>
        <w:t>项目名称：</w:t>
      </w:r>
      <w:r>
        <w:rPr>
          <w:color w:val="auto"/>
          <w:highlight w:val="none"/>
        </w:rPr>
        <w:t xml:space="preserve"> </w:t>
      </w:r>
      <w:r>
        <w:rPr>
          <w:rFonts w:hint="eastAsia" w:ascii="宋体" w:hAnsi="宋体" w:eastAsiaTheme="minorEastAsia" w:cstheme="minorBidi"/>
          <w:color w:val="auto"/>
          <w:sz w:val="21"/>
          <w:szCs w:val="24"/>
          <w:highlight w:val="none"/>
        </w:rPr>
        <w:t>能源站一期系统优化及冷热电系统扩容可行性研究报告编制及相关服务</w:t>
      </w:r>
      <w:r>
        <w:rPr>
          <w:rFonts w:hint="eastAsia" w:ascii="宋体" w:hAnsi="宋体"/>
          <w:color w:val="auto"/>
          <w:sz w:val="21"/>
          <w:highlight w:val="none"/>
          <w:u w:val="none"/>
        </w:rPr>
        <w:t>采购</w:t>
      </w:r>
    </w:p>
    <w:tbl>
      <w:tblPr>
        <w:tblStyle w:val="12"/>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color w:val="auto"/>
                <w:sz w:val="24"/>
                <w:highlight w:val="none"/>
              </w:rPr>
            </w:pPr>
            <w:r>
              <w:rPr>
                <w:rFonts w:hint="eastAsia" w:hAnsi="宋体"/>
                <w:bCs/>
                <w:color w:val="auto"/>
                <w:sz w:val="24"/>
                <w:highlight w:val="none"/>
              </w:rPr>
              <w:t>序号</w:t>
            </w:r>
          </w:p>
        </w:tc>
        <w:tc>
          <w:tcPr>
            <w:tcW w:w="1924" w:type="dxa"/>
            <w:vAlign w:val="center"/>
          </w:tcPr>
          <w:p>
            <w:pPr>
              <w:spacing w:line="360" w:lineRule="auto"/>
              <w:jc w:val="center"/>
              <w:rPr>
                <w:rFonts w:hAnsi="宋体"/>
                <w:bCs/>
                <w:color w:val="auto"/>
                <w:sz w:val="24"/>
                <w:highlight w:val="none"/>
              </w:rPr>
            </w:pPr>
            <w:r>
              <w:rPr>
                <w:rFonts w:hint="eastAsia" w:hAnsi="宋体"/>
                <w:bCs/>
                <w:color w:val="auto"/>
                <w:sz w:val="24"/>
                <w:highlight w:val="none"/>
              </w:rPr>
              <w:t>项目名称</w:t>
            </w:r>
          </w:p>
        </w:tc>
        <w:tc>
          <w:tcPr>
            <w:tcW w:w="6594" w:type="dxa"/>
            <w:gridSpan w:val="2"/>
            <w:vAlign w:val="center"/>
          </w:tcPr>
          <w:p>
            <w:pPr>
              <w:spacing w:line="360" w:lineRule="auto"/>
              <w:jc w:val="center"/>
              <w:rPr>
                <w:rFonts w:hAnsi="宋体"/>
                <w:bCs/>
                <w:color w:val="auto"/>
                <w:sz w:val="24"/>
                <w:highlight w:val="none"/>
              </w:rPr>
            </w:pPr>
            <w:r>
              <w:rPr>
                <w:rFonts w:hint="eastAsia" w:hAnsi="宋体"/>
                <w:bCs/>
                <w:color w:val="auto"/>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color w:val="auto"/>
                <w:sz w:val="24"/>
                <w:highlight w:val="none"/>
              </w:rPr>
            </w:pPr>
            <w:r>
              <w:rPr>
                <w:rFonts w:hint="eastAsia" w:hAnsi="宋体"/>
                <w:color w:val="auto"/>
                <w:sz w:val="24"/>
                <w:highlight w:val="none"/>
              </w:rPr>
              <w:t>1</w:t>
            </w:r>
          </w:p>
        </w:tc>
        <w:tc>
          <w:tcPr>
            <w:tcW w:w="1924" w:type="dxa"/>
            <w:vAlign w:val="center"/>
          </w:tcPr>
          <w:p>
            <w:pPr>
              <w:spacing w:line="360" w:lineRule="auto"/>
              <w:jc w:val="center"/>
              <w:rPr>
                <w:rFonts w:hAnsi="宋体"/>
                <w:color w:val="auto"/>
                <w:sz w:val="24"/>
                <w:highlight w:val="none"/>
              </w:rPr>
            </w:pPr>
            <w:r>
              <w:rPr>
                <w:rFonts w:hint="eastAsia" w:hAnsi="宋体"/>
                <w:color w:val="auto"/>
                <w:sz w:val="24"/>
                <w:highlight w:val="none"/>
              </w:rPr>
              <w:t>投标总价（含税）</w:t>
            </w:r>
          </w:p>
        </w:tc>
        <w:tc>
          <w:tcPr>
            <w:tcW w:w="6594" w:type="dxa"/>
            <w:gridSpan w:val="2"/>
            <w:vAlign w:val="center"/>
          </w:tcPr>
          <w:p>
            <w:pPr>
              <w:spacing w:line="360" w:lineRule="auto"/>
              <w:rPr>
                <w:rFonts w:hAnsi="宋体"/>
                <w:color w:val="auto"/>
                <w:sz w:val="24"/>
                <w:highlight w:val="none"/>
              </w:rPr>
            </w:pPr>
            <w:r>
              <w:rPr>
                <w:rFonts w:hint="eastAsia" w:ascii="宋体" w:hAnsi="宋体"/>
                <w:color w:val="auto"/>
                <w:sz w:val="24"/>
                <w:highlight w:val="none"/>
              </w:rPr>
              <w:t>大写</w:t>
            </w:r>
            <w:r>
              <w:rPr>
                <w:rFonts w:hint="eastAsia" w:hAnsi="宋体"/>
                <w:color w:val="auto"/>
                <w:sz w:val="24"/>
                <w:highlight w:val="none"/>
              </w:rPr>
              <w:t>：</w:t>
            </w:r>
          </w:p>
          <w:p>
            <w:pPr>
              <w:spacing w:line="360" w:lineRule="auto"/>
              <w:rPr>
                <w:rFonts w:hAnsi="宋体"/>
                <w:color w:val="auto"/>
                <w:sz w:val="24"/>
                <w:highlight w:val="none"/>
              </w:rPr>
            </w:pPr>
            <w:r>
              <w:rPr>
                <w:rFonts w:hint="eastAsia" w:hAnsi="宋体"/>
                <w:color w:val="auto"/>
                <w:sz w:val="24"/>
                <w:highlight w:val="none"/>
              </w:rPr>
              <w:t>小写：</w:t>
            </w:r>
          </w:p>
          <w:p>
            <w:pPr>
              <w:spacing w:line="360" w:lineRule="auto"/>
              <w:rPr>
                <w:rFonts w:hAnsi="宋体"/>
                <w:color w:val="auto"/>
                <w:sz w:val="24"/>
                <w:highlight w:val="none"/>
              </w:rPr>
            </w:pPr>
            <w:r>
              <w:rPr>
                <w:rFonts w:hint="eastAsia" w:hAnsi="宋体"/>
                <w:color w:val="auto"/>
                <w:sz w:val="24"/>
                <w:highlight w:val="none"/>
              </w:rPr>
              <w:t>必须开具增值税专用发票，税点（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Ansi="宋体"/>
                <w:color w:val="auto"/>
                <w:sz w:val="24"/>
                <w:highlight w:val="none"/>
              </w:rPr>
            </w:pPr>
            <w:r>
              <w:rPr>
                <w:rFonts w:hint="eastAsia" w:hAnsi="宋体"/>
                <w:color w:val="auto"/>
                <w:sz w:val="24"/>
                <w:highlight w:val="none"/>
              </w:rPr>
              <w:t>2</w:t>
            </w:r>
          </w:p>
        </w:tc>
        <w:tc>
          <w:tcPr>
            <w:tcW w:w="4334" w:type="dxa"/>
            <w:gridSpan w:val="2"/>
            <w:vAlign w:val="center"/>
          </w:tcPr>
          <w:p>
            <w:pPr>
              <w:spacing w:line="360" w:lineRule="auto"/>
              <w:jc w:val="center"/>
              <w:rPr>
                <w:rFonts w:hAnsi="宋体"/>
                <w:color w:val="auto"/>
                <w:sz w:val="24"/>
                <w:highlight w:val="none"/>
              </w:rPr>
            </w:pPr>
            <w:r>
              <w:rPr>
                <w:rFonts w:hint="eastAsia" w:hAnsi="宋体"/>
                <w:color w:val="auto"/>
                <w:sz w:val="24"/>
                <w:highlight w:val="none"/>
              </w:rPr>
              <w:t>投标工期</w:t>
            </w:r>
          </w:p>
        </w:tc>
        <w:tc>
          <w:tcPr>
            <w:tcW w:w="4184" w:type="dxa"/>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color w:val="auto"/>
                <w:sz w:val="24"/>
                <w:highlight w:val="none"/>
              </w:rPr>
            </w:pPr>
            <w:r>
              <w:rPr>
                <w:rFonts w:hint="eastAsia" w:hAnsi="宋体"/>
                <w:color w:val="auto"/>
                <w:sz w:val="24"/>
                <w:highlight w:val="none"/>
              </w:rPr>
              <w:t>3</w:t>
            </w:r>
          </w:p>
        </w:tc>
        <w:tc>
          <w:tcPr>
            <w:tcW w:w="1924" w:type="dxa"/>
            <w:vMerge w:val="restart"/>
            <w:vAlign w:val="center"/>
          </w:tcPr>
          <w:p>
            <w:pPr>
              <w:spacing w:line="360" w:lineRule="auto"/>
              <w:jc w:val="center"/>
              <w:rPr>
                <w:rFonts w:hAnsi="宋体"/>
                <w:color w:val="auto"/>
                <w:sz w:val="24"/>
                <w:highlight w:val="none"/>
              </w:rPr>
            </w:pPr>
            <w:r>
              <w:rPr>
                <w:rFonts w:hint="eastAsia" w:hAnsi="宋体"/>
                <w:color w:val="auto"/>
                <w:sz w:val="24"/>
                <w:highlight w:val="none"/>
              </w:rPr>
              <w:t>拟委派的项目</w:t>
            </w:r>
          </w:p>
          <w:p>
            <w:pPr>
              <w:spacing w:line="360" w:lineRule="auto"/>
              <w:jc w:val="center"/>
              <w:rPr>
                <w:rFonts w:hAnsi="宋体"/>
                <w:color w:val="auto"/>
                <w:sz w:val="24"/>
                <w:highlight w:val="none"/>
              </w:rPr>
            </w:pPr>
            <w:r>
              <w:rPr>
                <w:rFonts w:hint="eastAsia" w:hAnsi="宋体"/>
                <w:color w:val="auto"/>
                <w:sz w:val="24"/>
                <w:highlight w:val="none"/>
              </w:rPr>
              <w:t>负责人</w:t>
            </w:r>
          </w:p>
        </w:tc>
        <w:tc>
          <w:tcPr>
            <w:tcW w:w="2410" w:type="dxa"/>
            <w:vAlign w:val="center"/>
          </w:tcPr>
          <w:p>
            <w:pPr>
              <w:spacing w:line="360" w:lineRule="auto"/>
              <w:jc w:val="center"/>
              <w:rPr>
                <w:rFonts w:hAnsi="宋体"/>
                <w:color w:val="auto"/>
                <w:sz w:val="24"/>
                <w:highlight w:val="none"/>
              </w:rPr>
            </w:pPr>
            <w:r>
              <w:rPr>
                <w:rFonts w:hint="eastAsia" w:hAnsi="宋体"/>
                <w:color w:val="auto"/>
                <w:sz w:val="24"/>
                <w:highlight w:val="none"/>
              </w:rPr>
              <w:t>姓名</w:t>
            </w:r>
          </w:p>
        </w:tc>
        <w:tc>
          <w:tcPr>
            <w:tcW w:w="4184" w:type="dxa"/>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highlight w:val="none"/>
              </w:rPr>
            </w:pPr>
          </w:p>
        </w:tc>
        <w:tc>
          <w:tcPr>
            <w:tcW w:w="1924" w:type="dxa"/>
            <w:vMerge w:val="continue"/>
            <w:vAlign w:val="center"/>
          </w:tcPr>
          <w:p>
            <w:pPr>
              <w:spacing w:line="360" w:lineRule="auto"/>
              <w:jc w:val="center"/>
              <w:rPr>
                <w:rFonts w:hAnsi="宋体"/>
                <w:color w:val="auto"/>
                <w:sz w:val="24"/>
                <w:highlight w:val="none"/>
              </w:rPr>
            </w:pPr>
          </w:p>
        </w:tc>
        <w:tc>
          <w:tcPr>
            <w:tcW w:w="2410" w:type="dxa"/>
            <w:vAlign w:val="center"/>
          </w:tcPr>
          <w:p>
            <w:pPr>
              <w:spacing w:line="360" w:lineRule="auto"/>
              <w:jc w:val="center"/>
              <w:rPr>
                <w:rFonts w:hAnsi="宋体"/>
                <w:color w:val="auto"/>
                <w:sz w:val="24"/>
                <w:highlight w:val="none"/>
              </w:rPr>
            </w:pPr>
            <w:r>
              <w:rPr>
                <w:rFonts w:hint="eastAsia" w:hAnsi="宋体"/>
                <w:color w:val="auto"/>
                <w:sz w:val="24"/>
                <w:highlight w:val="none"/>
              </w:rPr>
              <w:t>主要工作经验</w:t>
            </w:r>
          </w:p>
        </w:tc>
        <w:tc>
          <w:tcPr>
            <w:tcW w:w="4184" w:type="dxa"/>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highlight w:val="none"/>
              </w:rPr>
            </w:pPr>
          </w:p>
        </w:tc>
        <w:tc>
          <w:tcPr>
            <w:tcW w:w="1924" w:type="dxa"/>
            <w:vMerge w:val="continue"/>
            <w:vAlign w:val="center"/>
          </w:tcPr>
          <w:p>
            <w:pPr>
              <w:spacing w:line="360" w:lineRule="auto"/>
              <w:jc w:val="center"/>
              <w:rPr>
                <w:rFonts w:hAnsi="宋体"/>
                <w:color w:val="auto"/>
                <w:sz w:val="24"/>
                <w:highlight w:val="none"/>
              </w:rPr>
            </w:pPr>
          </w:p>
        </w:tc>
        <w:tc>
          <w:tcPr>
            <w:tcW w:w="2410" w:type="dxa"/>
            <w:vAlign w:val="center"/>
          </w:tcPr>
          <w:p>
            <w:pPr>
              <w:spacing w:line="360" w:lineRule="auto"/>
              <w:jc w:val="center"/>
              <w:rPr>
                <w:rFonts w:hAnsi="宋体"/>
                <w:color w:val="auto"/>
                <w:sz w:val="24"/>
                <w:highlight w:val="none"/>
              </w:rPr>
            </w:pPr>
            <w:r>
              <w:rPr>
                <w:rFonts w:hint="eastAsia" w:hAnsi="宋体"/>
                <w:color w:val="auto"/>
                <w:sz w:val="24"/>
                <w:highlight w:val="none"/>
              </w:rPr>
              <w:t>联系方式</w:t>
            </w:r>
          </w:p>
        </w:tc>
        <w:tc>
          <w:tcPr>
            <w:tcW w:w="4184" w:type="dxa"/>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color w:val="auto"/>
                <w:sz w:val="24"/>
                <w:highlight w:val="none"/>
              </w:rPr>
            </w:pPr>
            <w:r>
              <w:rPr>
                <w:rFonts w:hint="eastAsia" w:hAnsi="宋体"/>
                <w:color w:val="auto"/>
                <w:sz w:val="24"/>
                <w:highlight w:val="none"/>
              </w:rPr>
              <w:t>4</w:t>
            </w:r>
          </w:p>
        </w:tc>
        <w:tc>
          <w:tcPr>
            <w:tcW w:w="1924" w:type="dxa"/>
            <w:vMerge w:val="restart"/>
            <w:vAlign w:val="center"/>
          </w:tcPr>
          <w:p>
            <w:pPr>
              <w:spacing w:line="360" w:lineRule="auto"/>
              <w:jc w:val="center"/>
              <w:rPr>
                <w:rFonts w:hAnsi="宋体"/>
                <w:color w:val="auto"/>
                <w:sz w:val="24"/>
                <w:highlight w:val="none"/>
              </w:rPr>
            </w:pPr>
            <w:r>
              <w:rPr>
                <w:rFonts w:hint="eastAsia" w:hAnsi="宋体"/>
                <w:color w:val="auto"/>
                <w:sz w:val="24"/>
                <w:highlight w:val="none"/>
              </w:rPr>
              <w:t>拟委派的团队</w:t>
            </w:r>
          </w:p>
          <w:p>
            <w:pPr>
              <w:spacing w:line="360" w:lineRule="auto"/>
              <w:jc w:val="center"/>
              <w:rPr>
                <w:rFonts w:hAnsi="宋体"/>
                <w:color w:val="auto"/>
                <w:sz w:val="24"/>
                <w:highlight w:val="none"/>
              </w:rPr>
            </w:pPr>
            <w:r>
              <w:rPr>
                <w:rFonts w:hint="eastAsia" w:hAnsi="宋体"/>
                <w:color w:val="auto"/>
                <w:sz w:val="24"/>
                <w:highlight w:val="none"/>
              </w:rPr>
              <w:t>（项目主要咨询和编写人员）</w:t>
            </w:r>
          </w:p>
        </w:tc>
        <w:tc>
          <w:tcPr>
            <w:tcW w:w="2410" w:type="dxa"/>
            <w:vAlign w:val="center"/>
          </w:tcPr>
          <w:p>
            <w:pPr>
              <w:spacing w:line="360" w:lineRule="auto"/>
              <w:jc w:val="center"/>
              <w:rPr>
                <w:rFonts w:hAnsi="宋体"/>
                <w:color w:val="auto"/>
                <w:sz w:val="24"/>
                <w:highlight w:val="none"/>
              </w:rPr>
            </w:pPr>
            <w:r>
              <w:rPr>
                <w:rFonts w:hint="eastAsia" w:hAnsi="宋体"/>
                <w:color w:val="auto"/>
                <w:sz w:val="24"/>
                <w:highlight w:val="none"/>
              </w:rPr>
              <w:t>姓名</w:t>
            </w:r>
          </w:p>
        </w:tc>
        <w:tc>
          <w:tcPr>
            <w:tcW w:w="4184" w:type="dxa"/>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highlight w:val="none"/>
              </w:rPr>
            </w:pPr>
          </w:p>
        </w:tc>
        <w:tc>
          <w:tcPr>
            <w:tcW w:w="1924" w:type="dxa"/>
            <w:vMerge w:val="continue"/>
            <w:vAlign w:val="center"/>
          </w:tcPr>
          <w:p>
            <w:pPr>
              <w:spacing w:line="360" w:lineRule="auto"/>
              <w:jc w:val="center"/>
              <w:rPr>
                <w:rFonts w:hAnsi="宋体"/>
                <w:color w:val="auto"/>
                <w:sz w:val="24"/>
                <w:highlight w:val="none"/>
              </w:rPr>
            </w:pPr>
          </w:p>
        </w:tc>
        <w:tc>
          <w:tcPr>
            <w:tcW w:w="2410" w:type="dxa"/>
            <w:vAlign w:val="center"/>
          </w:tcPr>
          <w:p>
            <w:pPr>
              <w:spacing w:line="360" w:lineRule="auto"/>
              <w:jc w:val="center"/>
              <w:rPr>
                <w:rFonts w:hAnsi="宋体"/>
                <w:color w:val="auto"/>
                <w:sz w:val="24"/>
                <w:highlight w:val="none"/>
              </w:rPr>
            </w:pPr>
            <w:r>
              <w:rPr>
                <w:rFonts w:hint="eastAsia" w:hAnsi="宋体"/>
                <w:color w:val="auto"/>
                <w:sz w:val="24"/>
                <w:highlight w:val="none"/>
              </w:rPr>
              <w:t>主要工作经验</w:t>
            </w:r>
          </w:p>
        </w:tc>
        <w:tc>
          <w:tcPr>
            <w:tcW w:w="4184" w:type="dxa"/>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highlight w:val="none"/>
              </w:rPr>
            </w:pPr>
          </w:p>
        </w:tc>
        <w:tc>
          <w:tcPr>
            <w:tcW w:w="1924" w:type="dxa"/>
            <w:vMerge w:val="continue"/>
            <w:vAlign w:val="center"/>
          </w:tcPr>
          <w:p>
            <w:pPr>
              <w:spacing w:line="360" w:lineRule="auto"/>
              <w:jc w:val="center"/>
              <w:rPr>
                <w:rFonts w:hAnsi="宋体"/>
                <w:color w:val="auto"/>
                <w:sz w:val="24"/>
                <w:highlight w:val="none"/>
              </w:rPr>
            </w:pPr>
          </w:p>
        </w:tc>
        <w:tc>
          <w:tcPr>
            <w:tcW w:w="2410" w:type="dxa"/>
            <w:vAlign w:val="center"/>
          </w:tcPr>
          <w:p>
            <w:pPr>
              <w:spacing w:line="360" w:lineRule="auto"/>
              <w:jc w:val="center"/>
              <w:rPr>
                <w:rFonts w:hAnsi="宋体"/>
                <w:color w:val="auto"/>
                <w:sz w:val="24"/>
                <w:highlight w:val="none"/>
              </w:rPr>
            </w:pPr>
            <w:r>
              <w:rPr>
                <w:rFonts w:hint="eastAsia" w:hAnsi="宋体"/>
                <w:color w:val="auto"/>
                <w:sz w:val="24"/>
                <w:highlight w:val="none"/>
              </w:rPr>
              <w:t>联系方式</w:t>
            </w:r>
          </w:p>
        </w:tc>
        <w:tc>
          <w:tcPr>
            <w:tcW w:w="4184" w:type="dxa"/>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highlight w:val="none"/>
              </w:rPr>
            </w:pPr>
          </w:p>
        </w:tc>
        <w:tc>
          <w:tcPr>
            <w:tcW w:w="1924" w:type="dxa"/>
            <w:vMerge w:val="continue"/>
            <w:vAlign w:val="center"/>
          </w:tcPr>
          <w:p>
            <w:pPr>
              <w:spacing w:line="360" w:lineRule="auto"/>
              <w:jc w:val="center"/>
              <w:rPr>
                <w:rFonts w:hAnsi="宋体"/>
                <w:color w:val="auto"/>
                <w:sz w:val="24"/>
                <w:highlight w:val="none"/>
              </w:rPr>
            </w:pPr>
          </w:p>
        </w:tc>
        <w:tc>
          <w:tcPr>
            <w:tcW w:w="2410" w:type="dxa"/>
            <w:vAlign w:val="center"/>
          </w:tcPr>
          <w:p>
            <w:pPr>
              <w:spacing w:line="360" w:lineRule="auto"/>
              <w:jc w:val="center"/>
              <w:rPr>
                <w:rFonts w:hAnsi="宋体"/>
                <w:color w:val="auto"/>
                <w:sz w:val="24"/>
                <w:highlight w:val="none"/>
              </w:rPr>
            </w:pPr>
            <w:r>
              <w:rPr>
                <w:rFonts w:hint="eastAsia" w:hAnsi="宋体"/>
                <w:color w:val="auto"/>
                <w:sz w:val="24"/>
                <w:highlight w:val="none"/>
              </w:rPr>
              <w:t>姓名</w:t>
            </w:r>
          </w:p>
        </w:tc>
        <w:tc>
          <w:tcPr>
            <w:tcW w:w="4184" w:type="dxa"/>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highlight w:val="none"/>
              </w:rPr>
            </w:pPr>
          </w:p>
        </w:tc>
        <w:tc>
          <w:tcPr>
            <w:tcW w:w="1924" w:type="dxa"/>
            <w:vMerge w:val="continue"/>
            <w:vAlign w:val="center"/>
          </w:tcPr>
          <w:p>
            <w:pPr>
              <w:spacing w:line="360" w:lineRule="auto"/>
              <w:jc w:val="center"/>
              <w:rPr>
                <w:rFonts w:hAnsi="宋体"/>
                <w:color w:val="auto"/>
                <w:sz w:val="24"/>
                <w:highlight w:val="none"/>
              </w:rPr>
            </w:pPr>
          </w:p>
        </w:tc>
        <w:tc>
          <w:tcPr>
            <w:tcW w:w="2410" w:type="dxa"/>
            <w:vAlign w:val="center"/>
          </w:tcPr>
          <w:p>
            <w:pPr>
              <w:spacing w:line="360" w:lineRule="auto"/>
              <w:jc w:val="center"/>
              <w:rPr>
                <w:rFonts w:hAnsi="宋体"/>
                <w:color w:val="auto"/>
                <w:sz w:val="24"/>
                <w:highlight w:val="none"/>
              </w:rPr>
            </w:pPr>
            <w:r>
              <w:rPr>
                <w:rFonts w:hint="eastAsia" w:hAnsi="宋体"/>
                <w:color w:val="auto"/>
                <w:sz w:val="24"/>
                <w:highlight w:val="none"/>
              </w:rPr>
              <w:t>主要工作经验</w:t>
            </w:r>
          </w:p>
        </w:tc>
        <w:tc>
          <w:tcPr>
            <w:tcW w:w="4184" w:type="dxa"/>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highlight w:val="none"/>
              </w:rPr>
            </w:pPr>
          </w:p>
        </w:tc>
        <w:tc>
          <w:tcPr>
            <w:tcW w:w="1924" w:type="dxa"/>
            <w:vMerge w:val="continue"/>
            <w:vAlign w:val="center"/>
          </w:tcPr>
          <w:p>
            <w:pPr>
              <w:spacing w:line="360" w:lineRule="auto"/>
              <w:jc w:val="center"/>
              <w:rPr>
                <w:rFonts w:hAnsi="宋体"/>
                <w:color w:val="auto"/>
                <w:sz w:val="24"/>
                <w:highlight w:val="none"/>
              </w:rPr>
            </w:pPr>
          </w:p>
        </w:tc>
        <w:tc>
          <w:tcPr>
            <w:tcW w:w="2410" w:type="dxa"/>
            <w:vAlign w:val="center"/>
          </w:tcPr>
          <w:p>
            <w:pPr>
              <w:spacing w:line="360" w:lineRule="auto"/>
              <w:jc w:val="center"/>
              <w:rPr>
                <w:rFonts w:hAnsi="宋体"/>
                <w:color w:val="auto"/>
                <w:sz w:val="24"/>
                <w:highlight w:val="none"/>
              </w:rPr>
            </w:pPr>
            <w:r>
              <w:rPr>
                <w:rFonts w:hint="eastAsia" w:hAnsi="宋体"/>
                <w:color w:val="auto"/>
                <w:sz w:val="24"/>
                <w:highlight w:val="none"/>
              </w:rPr>
              <w:t>联系方式</w:t>
            </w:r>
          </w:p>
        </w:tc>
        <w:tc>
          <w:tcPr>
            <w:tcW w:w="4184" w:type="dxa"/>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highlight w:val="none"/>
              </w:rPr>
            </w:pPr>
          </w:p>
        </w:tc>
        <w:tc>
          <w:tcPr>
            <w:tcW w:w="1924" w:type="dxa"/>
            <w:vMerge w:val="continue"/>
            <w:vAlign w:val="center"/>
          </w:tcPr>
          <w:p>
            <w:pPr>
              <w:spacing w:line="360" w:lineRule="auto"/>
              <w:jc w:val="center"/>
              <w:rPr>
                <w:rFonts w:hAnsi="宋体"/>
                <w:color w:val="auto"/>
                <w:sz w:val="24"/>
                <w:highlight w:val="none"/>
              </w:rPr>
            </w:pPr>
          </w:p>
        </w:tc>
        <w:tc>
          <w:tcPr>
            <w:tcW w:w="2410" w:type="dxa"/>
            <w:vAlign w:val="center"/>
          </w:tcPr>
          <w:p>
            <w:pPr>
              <w:spacing w:line="360" w:lineRule="auto"/>
              <w:jc w:val="center"/>
              <w:rPr>
                <w:rFonts w:hAnsi="宋体"/>
                <w:color w:val="auto"/>
                <w:sz w:val="24"/>
                <w:highlight w:val="none"/>
              </w:rPr>
            </w:pPr>
            <w:r>
              <w:rPr>
                <w:rFonts w:hint="eastAsia" w:hAnsi="宋体"/>
                <w:color w:val="auto"/>
                <w:sz w:val="24"/>
                <w:highlight w:val="none"/>
              </w:rPr>
              <w:t>……</w:t>
            </w:r>
          </w:p>
        </w:tc>
        <w:tc>
          <w:tcPr>
            <w:tcW w:w="4184" w:type="dxa"/>
            <w:vAlign w:val="center"/>
          </w:tcPr>
          <w:p>
            <w:pPr>
              <w:spacing w:line="360" w:lineRule="auto"/>
              <w:jc w:val="center"/>
              <w:rPr>
                <w:rFonts w:hAnsi="宋体"/>
                <w:color w:val="auto"/>
                <w:sz w:val="24"/>
                <w:highlight w:val="none"/>
              </w:rPr>
            </w:pPr>
          </w:p>
        </w:tc>
      </w:tr>
    </w:tbl>
    <w:p>
      <w:pPr>
        <w:spacing w:line="360" w:lineRule="auto"/>
        <w:ind w:firstLine="440"/>
        <w:rPr>
          <w:rFonts w:hAnsi="宋体"/>
          <w:color w:val="auto"/>
          <w:highlight w:val="none"/>
        </w:rPr>
      </w:pPr>
    </w:p>
    <w:p>
      <w:pPr>
        <w:spacing w:line="360" w:lineRule="auto"/>
        <w:ind w:firstLine="440"/>
        <w:rPr>
          <w:rFonts w:hAnsi="宋体"/>
          <w:color w:val="auto"/>
          <w:highlight w:val="none"/>
        </w:rPr>
      </w:pPr>
      <w:r>
        <w:rPr>
          <w:rFonts w:hint="eastAsia" w:hAnsi="宋体"/>
          <w:color w:val="auto"/>
          <w:highlight w:val="none"/>
        </w:rPr>
        <w:t>注：（1）投标总价为人民币报价。</w:t>
      </w:r>
    </w:p>
    <w:p>
      <w:pPr>
        <w:pStyle w:val="16"/>
        <w:spacing w:line="360" w:lineRule="auto"/>
        <w:rPr>
          <w:rFonts w:ascii="宋体" w:hAnsi="宋体"/>
          <w:color w:val="auto"/>
          <w:sz w:val="24"/>
          <w:highlight w:val="none"/>
        </w:rPr>
      </w:pPr>
      <w:r>
        <w:rPr>
          <w:rFonts w:hint="eastAsia" w:hAnsi="宋体"/>
          <w:color w:val="auto"/>
          <w:highlight w:val="none"/>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color w:val="auto"/>
          <w:highlight w:val="none"/>
        </w:rPr>
      </w:pPr>
      <w:r>
        <w:rPr>
          <w:rFonts w:hint="eastAsia" w:hAnsi="宋体"/>
          <w:color w:val="auto"/>
          <w:highlight w:val="none"/>
        </w:rPr>
        <w:t>（3）若用小写表示的金额和用大写表示的金额不一致，以大写表示的金额为准。</w:t>
      </w:r>
    </w:p>
    <w:p>
      <w:pPr>
        <w:spacing w:beforeLines="30" w:line="400" w:lineRule="exact"/>
        <w:ind w:firstLine="3780" w:firstLineChars="1800"/>
        <w:rPr>
          <w:rFonts w:hAnsi="宋体"/>
          <w:color w:val="auto"/>
          <w:highlight w:val="none"/>
        </w:rPr>
      </w:pPr>
      <w:r>
        <w:rPr>
          <w:rFonts w:hint="eastAsia" w:hAnsi="宋体"/>
          <w:color w:val="auto"/>
          <w:highlight w:val="none"/>
        </w:rPr>
        <w:t>供应商名称（盖章）：</w:t>
      </w:r>
    </w:p>
    <w:p>
      <w:pPr>
        <w:rPr>
          <w:rFonts w:hAnsi="宋体"/>
          <w:color w:val="auto"/>
          <w:highlight w:val="none"/>
        </w:rPr>
      </w:pPr>
    </w:p>
    <w:p>
      <w:pPr>
        <w:spacing w:beforeLines="30" w:line="400" w:lineRule="exact"/>
        <w:ind w:firstLine="4200" w:firstLineChars="2000"/>
        <w:rPr>
          <w:color w:val="auto"/>
          <w:sz w:val="24"/>
          <w:highlight w:val="none"/>
        </w:rPr>
      </w:pPr>
      <w:r>
        <w:rPr>
          <w:rFonts w:hint="eastAsia" w:hAnsi="宋体"/>
          <w:color w:val="auto"/>
          <w:highlight w:val="none"/>
        </w:rPr>
        <w:t>日期：   年   月    日</w:t>
      </w:r>
    </w:p>
    <w:p>
      <w:pPr>
        <w:widowControl/>
        <w:jc w:val="left"/>
        <w:rPr>
          <w:rFonts w:ascii="宋体" w:hAnsi="宋体"/>
          <w:color w:val="auto"/>
          <w:sz w:val="32"/>
          <w:highlight w:val="none"/>
        </w:rPr>
      </w:pPr>
      <w:r>
        <w:rPr>
          <w:rFonts w:hint="eastAsia" w:ascii="宋体" w:hAnsi="宋体"/>
          <w:color w:val="auto"/>
          <w:sz w:val="32"/>
          <w:highlight w:val="none"/>
        </w:rPr>
        <w:t>附件3</w:t>
      </w:r>
    </w:p>
    <w:p>
      <w:pPr>
        <w:widowControl/>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编号：TZ4-23</w:t>
      </w:r>
    </w:p>
    <w:tbl>
      <w:tblPr>
        <w:tblStyle w:val="12"/>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color w:val="auto"/>
                <w:kern w:val="0"/>
                <w:sz w:val="44"/>
                <w:szCs w:val="44"/>
                <w:highlight w:val="none"/>
              </w:rPr>
            </w:pPr>
            <w:r>
              <w:rPr>
                <w:rFonts w:hint="eastAsia" w:ascii="黑体" w:hAnsi="黑体" w:eastAsia="黑体" w:cs="宋体"/>
                <w:color w:val="auto"/>
                <w:kern w:val="0"/>
                <w:sz w:val="44"/>
                <w:szCs w:val="44"/>
                <w:highlight w:val="none"/>
              </w:rPr>
              <w:t>供应商调查表</w:t>
            </w:r>
          </w:p>
        </w:tc>
      </w:tr>
      <w:tr>
        <w:tblPrEx>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spacing w:line="360" w:lineRule="auto"/>
              <w:ind w:firstLine="0"/>
              <w:rPr>
                <w:rFonts w:ascii="宋体" w:hAnsi="宋体" w:cs="宋体"/>
                <w:b/>
                <w:color w:val="auto"/>
                <w:kern w:val="0"/>
                <w:sz w:val="28"/>
                <w:szCs w:val="28"/>
                <w:highlight w:val="none"/>
              </w:rPr>
            </w:pPr>
            <w:r>
              <w:rPr>
                <w:rFonts w:hint="eastAsia" w:ascii="宋体" w:hAnsi="宋体"/>
                <w:color w:val="auto"/>
                <w:highlight w:val="none"/>
              </w:rPr>
              <w:t>项目名称：</w:t>
            </w:r>
            <w:r>
              <w:rPr>
                <w:color w:val="auto"/>
                <w:highlight w:val="none"/>
              </w:rPr>
              <w:t xml:space="preserve"> </w:t>
            </w:r>
            <w:r>
              <w:rPr>
                <w:rFonts w:hint="eastAsia" w:ascii="宋体" w:hAnsi="宋体" w:eastAsiaTheme="minorEastAsia" w:cstheme="minorBidi"/>
                <w:color w:val="auto"/>
                <w:sz w:val="21"/>
                <w:szCs w:val="24"/>
                <w:highlight w:val="none"/>
              </w:rPr>
              <w:t>能源站一期系统优化及冷热电系统扩容可行性研究报告编制及相关服务</w:t>
            </w:r>
            <w:r>
              <w:rPr>
                <w:rFonts w:hint="eastAsia" w:ascii="宋体" w:hAnsi="宋体"/>
                <w:color w:val="auto"/>
                <w:sz w:val="21"/>
                <w:highlight w:val="none"/>
                <w:u w:val="none"/>
              </w:rPr>
              <w:t>采购</w:t>
            </w: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发证机关</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近三年类似业绩</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项目内容</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color w:val="auto"/>
                <w:kern w:val="0"/>
                <w:sz w:val="24"/>
                <w:highlight w:val="none"/>
              </w:rPr>
            </w:pPr>
          </w:p>
        </w:tc>
      </w:tr>
      <w:tr>
        <w:tblPrEx>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r>
      <w:tr>
        <w:tblPrEx>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color w:val="auto"/>
                <w:sz w:val="28"/>
                <w:szCs w:val="28"/>
                <w:highlight w:val="none"/>
              </w:rPr>
            </w:pPr>
          </w:p>
          <w:p>
            <w:pPr>
              <w:spacing w:line="400" w:lineRule="exact"/>
              <w:rPr>
                <w:color w:val="auto"/>
                <w:sz w:val="28"/>
                <w:szCs w:val="28"/>
                <w:highlight w:val="none"/>
              </w:rPr>
            </w:pPr>
            <w:r>
              <w:rPr>
                <w:rFonts w:hint="eastAsia"/>
                <w:color w:val="auto"/>
                <w:sz w:val="28"/>
                <w:szCs w:val="28"/>
                <w:highlight w:val="none"/>
              </w:rPr>
              <w:t>供应商单位（盖章）：</w:t>
            </w:r>
          </w:p>
        </w:tc>
      </w:tr>
    </w:tbl>
    <w:p>
      <w:pPr>
        <w:spacing w:line="400" w:lineRule="exact"/>
        <w:ind w:left="560" w:hanging="560" w:hangingChars="200"/>
        <w:rPr>
          <w:color w:val="auto"/>
          <w:sz w:val="28"/>
          <w:szCs w:val="28"/>
          <w:highlight w:val="none"/>
        </w:rPr>
      </w:pPr>
    </w:p>
    <w:p>
      <w:pPr>
        <w:spacing w:line="400" w:lineRule="exact"/>
        <w:ind w:left="560" w:hanging="560" w:hangingChars="200"/>
        <w:rPr>
          <w:color w:val="auto"/>
          <w:sz w:val="28"/>
          <w:szCs w:val="28"/>
          <w:highlight w:val="none"/>
        </w:rPr>
      </w:pPr>
      <w:r>
        <w:rPr>
          <w:rFonts w:hint="eastAsia"/>
          <w:color w:val="auto"/>
          <w:sz w:val="28"/>
          <w:szCs w:val="28"/>
          <w:highlight w:val="none"/>
        </w:rPr>
        <w:t>日期：202</w:t>
      </w:r>
      <w:r>
        <w:rPr>
          <w:rFonts w:hint="eastAsia"/>
          <w:color w:val="auto"/>
          <w:sz w:val="28"/>
          <w:szCs w:val="28"/>
          <w:highlight w:val="none"/>
          <w:lang w:val="en-US" w:eastAsia="zh-CN"/>
        </w:rPr>
        <w:t>3</w:t>
      </w:r>
      <w:r>
        <w:rPr>
          <w:rFonts w:hint="eastAsia"/>
          <w:color w:val="auto"/>
          <w:sz w:val="28"/>
          <w:szCs w:val="28"/>
          <w:highlight w:val="none"/>
        </w:rPr>
        <w:t>年  月   日</w:t>
      </w:r>
    </w:p>
    <w:p>
      <w:pPr>
        <w:widowControl/>
        <w:jc w:val="left"/>
        <w:rPr>
          <w:rFonts w:ascii="宋体" w:hAnsi="宋体"/>
          <w:color w:val="auto"/>
          <w:sz w:val="32"/>
          <w:highlight w:val="none"/>
        </w:rPr>
      </w:pPr>
      <w:r>
        <w:rPr>
          <w:color w:val="auto"/>
          <w:sz w:val="28"/>
          <w:szCs w:val="28"/>
          <w:highlight w:val="none"/>
        </w:rPr>
        <w:br w:type="page"/>
      </w:r>
      <w:r>
        <w:rPr>
          <w:rFonts w:hint="eastAsia" w:ascii="宋体" w:hAnsi="宋体"/>
          <w:color w:val="auto"/>
          <w:sz w:val="32"/>
          <w:highlight w:val="none"/>
        </w:rPr>
        <w:t>附件4</w:t>
      </w:r>
    </w:p>
    <w:p>
      <w:pPr>
        <w:spacing w:line="500" w:lineRule="exact"/>
        <w:jc w:val="center"/>
        <w:rPr>
          <w:rFonts w:eastAsia="黑体"/>
          <w:b/>
          <w:bCs/>
          <w:color w:val="auto"/>
          <w:sz w:val="36"/>
          <w:highlight w:val="none"/>
        </w:rPr>
      </w:pPr>
      <w:r>
        <w:rPr>
          <w:rFonts w:hint="eastAsia" w:eastAsia="黑体"/>
          <w:b/>
          <w:bCs/>
          <w:color w:val="auto"/>
          <w:sz w:val="36"/>
          <w:highlight w:val="none"/>
        </w:rPr>
        <w:t>法定代表人证明书</w:t>
      </w:r>
    </w:p>
    <w:p>
      <w:pPr>
        <w:spacing w:line="500" w:lineRule="exact"/>
        <w:jc w:val="center"/>
        <w:rPr>
          <w:b/>
          <w:bCs/>
          <w:color w:val="auto"/>
          <w:szCs w:val="21"/>
          <w:highlight w:val="none"/>
        </w:rPr>
      </w:pPr>
    </w:p>
    <w:p>
      <w:pPr>
        <w:spacing w:line="500" w:lineRule="exact"/>
        <w:ind w:firstLine="840" w:firstLineChars="300"/>
        <w:jc w:val="left"/>
        <w:rPr>
          <w:rFonts w:ascii="宋体" w:hAnsi="宋体" w:cs="宋体"/>
          <w:color w:val="auto"/>
          <w:sz w:val="28"/>
          <w:highlight w:val="none"/>
        </w:rPr>
      </w:pPr>
      <w:r>
        <w:rPr>
          <w:rFonts w:hint="eastAsia" w:ascii="宋体" w:hAnsi="宋体" w:cs="宋体"/>
          <w:color w:val="auto"/>
          <w:sz w:val="28"/>
          <w:highlight w:val="none"/>
        </w:rPr>
        <w:t>在我单位任职务，是我单位法定代表人，身份证号为，特此证明。</w:t>
      </w:r>
    </w:p>
    <w:p>
      <w:pPr>
        <w:spacing w:line="500" w:lineRule="exact"/>
        <w:ind w:firstLine="627" w:firstLineChars="224"/>
        <w:jc w:val="left"/>
        <w:rPr>
          <w:rFonts w:ascii="宋体" w:hAnsi="宋体" w:cs="宋体"/>
          <w:color w:val="auto"/>
          <w:sz w:val="28"/>
          <w:highlight w:val="none"/>
        </w:rPr>
      </w:pPr>
    </w:p>
    <w:p>
      <w:pPr>
        <w:spacing w:line="500" w:lineRule="exact"/>
        <w:jc w:val="center"/>
        <w:rPr>
          <w:rFonts w:ascii="宋体" w:hAnsi="宋体" w:cs="宋体"/>
          <w:color w:val="auto"/>
          <w:sz w:val="28"/>
          <w:highlight w:val="none"/>
        </w:rPr>
      </w:pPr>
      <w:r>
        <w:rPr>
          <w:rFonts w:hint="eastAsia" w:ascii="宋体" w:hAnsi="宋体" w:cs="宋体"/>
          <w:color w:val="auto"/>
          <w:sz w:val="28"/>
          <w:highlight w:val="none"/>
        </w:rPr>
        <w:t>（单位盖章）</w:t>
      </w:r>
    </w:p>
    <w:p>
      <w:pPr>
        <w:spacing w:line="500" w:lineRule="exact"/>
        <w:ind w:firstLine="627" w:firstLineChars="224"/>
        <w:jc w:val="left"/>
        <w:rPr>
          <w:rFonts w:ascii="宋体" w:hAnsi="宋体" w:cs="宋体"/>
          <w:color w:val="auto"/>
          <w:sz w:val="28"/>
          <w:highlight w:val="none"/>
        </w:rPr>
      </w:pPr>
      <w:r>
        <w:rPr>
          <w:rFonts w:hint="eastAsia" w:hAnsi="宋体" w:cs="宋体"/>
          <w:color w:val="auto"/>
          <w:sz w:val="28"/>
          <w:szCs w:val="28"/>
          <w:highlight w:val="none"/>
        </w:rPr>
        <w:t>日期： 20</w:t>
      </w:r>
      <w:r>
        <w:rPr>
          <w:rFonts w:hint="eastAsia" w:hAnsi="宋体" w:cs="宋体"/>
          <w:color w:val="auto"/>
          <w:sz w:val="28"/>
          <w:szCs w:val="28"/>
          <w:highlight w:val="none"/>
          <w:lang w:val="en-US" w:eastAsia="zh-CN"/>
        </w:rPr>
        <w:t>23</w:t>
      </w:r>
      <w:r>
        <w:rPr>
          <w:rFonts w:hint="eastAsia" w:hAnsi="宋体" w:cs="宋体"/>
          <w:color w:val="auto"/>
          <w:sz w:val="28"/>
          <w:szCs w:val="28"/>
          <w:highlight w:val="none"/>
        </w:rPr>
        <w:t>年   月  日</w:t>
      </w:r>
    </w:p>
    <w:p>
      <w:pPr>
        <w:spacing w:line="500" w:lineRule="exact"/>
        <w:jc w:val="left"/>
        <w:rPr>
          <w:rFonts w:ascii="宋体" w:hAnsi="宋体" w:cs="宋体"/>
          <w:color w:val="auto"/>
          <w:sz w:val="28"/>
          <w:highlight w:val="none"/>
        </w:rPr>
      </w:pPr>
      <w:r>
        <w:rPr>
          <w:rFonts w:hint="eastAsia" w:ascii="宋体" w:hAnsi="宋体" w:cs="宋体"/>
          <w:color w:val="auto"/>
          <w:sz w:val="28"/>
          <w:highlight w:val="none"/>
        </w:rPr>
        <w:t xml:space="preserve">单位通信地址：                                </w:t>
      </w:r>
    </w:p>
    <w:p>
      <w:pPr>
        <w:spacing w:line="500" w:lineRule="exact"/>
        <w:jc w:val="left"/>
        <w:rPr>
          <w:rFonts w:ascii="宋体" w:hAnsi="宋体" w:cs="宋体"/>
          <w:color w:val="auto"/>
          <w:sz w:val="28"/>
          <w:highlight w:val="none"/>
        </w:rPr>
      </w:pPr>
      <w:r>
        <w:rPr>
          <w:rFonts w:hint="eastAsia" w:ascii="宋体" w:hAnsi="宋体" w:cs="宋体"/>
          <w:color w:val="auto"/>
          <w:sz w:val="28"/>
          <w:highlight w:val="none"/>
        </w:rPr>
        <w:t xml:space="preserve">邮政编码：                 单位联系电话：   </w:t>
      </w:r>
    </w:p>
    <w:p>
      <w:pPr>
        <w:rPr>
          <w:color w:val="auto"/>
          <w:highlight w:val="none"/>
        </w:rPr>
      </w:pPr>
    </w:p>
    <w:p>
      <w:pPr>
        <w:spacing w:line="360" w:lineRule="auto"/>
        <w:ind w:right="420"/>
        <w:jc w:val="left"/>
        <w:rPr>
          <w:rFonts w:ascii="宋体" w:hAnsi="宋体" w:cs="Arial"/>
          <w:color w:val="auto"/>
          <w:sz w:val="28"/>
          <w:szCs w:val="28"/>
          <w:highlight w:val="none"/>
        </w:rPr>
      </w:pPr>
      <w:r>
        <w:rPr>
          <w:rFonts w:hint="eastAsia" w:ascii="宋体" w:hAnsi="宋体" w:cs="Arial"/>
          <w:color w:val="auto"/>
          <w:sz w:val="28"/>
          <w:szCs w:val="28"/>
          <w:highlight w:val="none"/>
        </w:rPr>
        <w:t>附：法人代表身份证正反面或其他身份证明材料复印件</w:t>
      </w:r>
    </w:p>
    <w:p>
      <w:pPr>
        <w:spacing w:line="360" w:lineRule="auto"/>
        <w:ind w:right="420"/>
        <w:jc w:val="left"/>
        <w:rPr>
          <w:rFonts w:ascii="宋体" w:hAnsi="宋体" w:cs="Arial"/>
          <w:color w:val="auto"/>
          <w:sz w:val="28"/>
          <w:szCs w:val="28"/>
          <w:highlight w:val="none"/>
        </w:rPr>
      </w:pPr>
    </w:p>
    <w:p>
      <w:pPr>
        <w:spacing w:line="360" w:lineRule="auto"/>
        <w:ind w:right="420"/>
        <w:jc w:val="left"/>
        <w:rPr>
          <w:rFonts w:ascii="宋体" w:hAnsi="宋体" w:cs="Arial"/>
          <w:color w:val="auto"/>
          <w:sz w:val="28"/>
          <w:szCs w:val="28"/>
          <w:highlight w:val="none"/>
        </w:rPr>
      </w:pPr>
      <w:r>
        <w:rPr>
          <w:rFonts w:hint="eastAsia" w:ascii="宋体" w:hAnsi="宋体" w:cs="Arial"/>
          <w:color w:val="auto"/>
          <w:sz w:val="28"/>
          <w:szCs w:val="28"/>
          <w:highlight w:val="none"/>
        </w:rPr>
        <w:br w:type="page"/>
      </w:r>
    </w:p>
    <w:p>
      <w:pPr>
        <w:spacing w:line="360" w:lineRule="auto"/>
        <w:ind w:firstLine="560" w:firstLineChars="200"/>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附件5</w:t>
      </w:r>
    </w:p>
    <w:p>
      <w:pPr>
        <w:spacing w:line="500" w:lineRule="exact"/>
        <w:jc w:val="center"/>
        <w:rPr>
          <w:rFonts w:eastAsia="黑体"/>
          <w:b/>
          <w:bCs/>
          <w:color w:val="auto"/>
          <w:sz w:val="36"/>
          <w:highlight w:val="none"/>
        </w:rPr>
      </w:pPr>
      <w:r>
        <w:rPr>
          <w:rFonts w:hint="eastAsia" w:eastAsia="黑体"/>
          <w:b/>
          <w:bCs/>
          <w:color w:val="auto"/>
          <w:sz w:val="36"/>
          <w:highlight w:val="none"/>
        </w:rPr>
        <w:t>法定代表人授权委托证明书</w:t>
      </w:r>
    </w:p>
    <w:p>
      <w:pPr>
        <w:pStyle w:val="24"/>
        <w:spacing w:line="360" w:lineRule="auto"/>
        <w:ind w:firstLine="424" w:firstLineChars="177"/>
        <w:rPr>
          <w:rFonts w:hAnsi="宋体"/>
          <w:bCs/>
          <w:color w:val="auto"/>
          <w:sz w:val="24"/>
          <w:szCs w:val="24"/>
          <w:highlight w:val="none"/>
        </w:rPr>
      </w:pPr>
    </w:p>
    <w:p>
      <w:pPr>
        <w:spacing w:line="360" w:lineRule="auto"/>
        <w:ind w:firstLine="480" w:firstLineChars="200"/>
        <w:rPr>
          <w:rFonts w:hAnsi="宋体"/>
          <w:color w:val="auto"/>
          <w:sz w:val="24"/>
          <w:szCs w:val="24"/>
          <w:highlight w:val="none"/>
        </w:rPr>
      </w:pPr>
      <w:r>
        <w:rPr>
          <w:rFonts w:hint="eastAsia" w:hAnsi="宋体"/>
          <w:bCs/>
          <w:color w:val="auto"/>
          <w:sz w:val="24"/>
          <w:szCs w:val="24"/>
          <w:highlight w:val="none"/>
        </w:rPr>
        <w:t>兹授权（委托代理人姓名）为我方委托代理人，其权限是：</w:t>
      </w:r>
      <w:r>
        <w:rPr>
          <w:rFonts w:hint="eastAsia" w:hAnsi="宋体"/>
          <w:color w:val="auto"/>
          <w:sz w:val="24"/>
          <w:szCs w:val="24"/>
          <w:highlight w:val="none"/>
        </w:rPr>
        <w:t>办理                       （采购单位名称）组织的“</w:t>
      </w:r>
      <w:r>
        <w:rPr>
          <w:rFonts w:hint="eastAsia" w:ascii="宋体" w:hAnsi="宋体" w:eastAsiaTheme="minorEastAsia" w:cstheme="minorBidi"/>
          <w:color w:val="auto"/>
          <w:sz w:val="21"/>
          <w:szCs w:val="24"/>
          <w:highlight w:val="none"/>
        </w:rPr>
        <w:t>能源站一期系统优化及冷热电系统扩容可行性研究报告编制及相关服务</w:t>
      </w:r>
      <w:r>
        <w:rPr>
          <w:rFonts w:hint="eastAsia" w:ascii="宋体" w:hAnsi="宋体"/>
          <w:color w:val="auto"/>
          <w:sz w:val="21"/>
          <w:highlight w:val="none"/>
          <w:u w:val="none"/>
        </w:rPr>
        <w:t>采购</w:t>
      </w:r>
      <w:r>
        <w:rPr>
          <w:rFonts w:hint="eastAsia" w:hAnsi="宋体"/>
          <w:color w:val="auto"/>
          <w:sz w:val="24"/>
          <w:szCs w:val="24"/>
          <w:highlight w:val="none"/>
        </w:rPr>
        <w:t>”的投标和合同执行，以我方的名义处理一切与之有关的事宜。</w:t>
      </w:r>
    </w:p>
    <w:p>
      <w:pPr>
        <w:pStyle w:val="24"/>
        <w:spacing w:line="360" w:lineRule="auto"/>
        <w:ind w:firstLine="480" w:firstLineChars="200"/>
        <w:rPr>
          <w:rFonts w:hAnsi="宋体"/>
          <w:bCs/>
          <w:color w:val="auto"/>
          <w:sz w:val="24"/>
          <w:szCs w:val="24"/>
          <w:highlight w:val="none"/>
        </w:rPr>
      </w:pPr>
      <w:r>
        <w:rPr>
          <w:rFonts w:hint="eastAsia" w:hAnsi="宋体"/>
          <w:color w:val="auto"/>
          <w:sz w:val="24"/>
          <w:szCs w:val="24"/>
          <w:highlight w:val="none"/>
          <w:lang w:val="en-GB"/>
        </w:rPr>
        <w:t>本</w:t>
      </w:r>
      <w:r>
        <w:rPr>
          <w:rFonts w:hint="eastAsia" w:hAnsi="宋体"/>
          <w:color w:val="auto"/>
          <w:sz w:val="24"/>
          <w:szCs w:val="24"/>
          <w:highlight w:val="none"/>
        </w:rPr>
        <w:t>授权书</w:t>
      </w:r>
      <w:r>
        <w:rPr>
          <w:rFonts w:hint="eastAsia" w:hAnsi="宋体"/>
          <w:color w:val="auto"/>
          <w:sz w:val="24"/>
          <w:szCs w:val="24"/>
          <w:highlight w:val="none"/>
          <w:lang w:val="en-GB"/>
        </w:rPr>
        <w:t>自</w:t>
      </w:r>
      <w:r>
        <w:rPr>
          <w:rFonts w:hint="eastAsia" w:hAnsi="宋体"/>
          <w:color w:val="auto"/>
          <w:sz w:val="24"/>
          <w:szCs w:val="24"/>
          <w:highlight w:val="none"/>
        </w:rPr>
        <w:t>年月日</w:t>
      </w:r>
      <w:r>
        <w:rPr>
          <w:rFonts w:hint="eastAsia" w:hAnsi="宋体"/>
          <w:color w:val="auto"/>
          <w:sz w:val="24"/>
          <w:szCs w:val="24"/>
          <w:highlight w:val="none"/>
          <w:lang w:val="en-GB"/>
        </w:rPr>
        <w:t>签章之日起生效，特此声明。</w:t>
      </w:r>
    </w:p>
    <w:p>
      <w:pPr>
        <w:pStyle w:val="24"/>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附：代理人性别：   年龄：   职务：</w:t>
      </w:r>
    </w:p>
    <w:p>
      <w:pPr>
        <w:pStyle w:val="24"/>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身份证号码：</w:t>
      </w:r>
    </w:p>
    <w:p>
      <w:pPr>
        <w:pStyle w:val="24"/>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（营业执照等）注册号码：</w:t>
      </w:r>
    </w:p>
    <w:p>
      <w:pPr>
        <w:pStyle w:val="24"/>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企业类型：</w:t>
      </w:r>
    </w:p>
    <w:p>
      <w:pPr>
        <w:pStyle w:val="24"/>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经营范围：</w:t>
      </w:r>
    </w:p>
    <w:p>
      <w:pPr>
        <w:pStyle w:val="24"/>
        <w:spacing w:line="360" w:lineRule="auto"/>
        <w:ind w:firstLine="480" w:firstLineChars="200"/>
        <w:rPr>
          <w:rFonts w:hAnsi="宋体"/>
          <w:color w:val="auto"/>
          <w:sz w:val="24"/>
          <w:szCs w:val="24"/>
          <w:highlight w:val="none"/>
        </w:rPr>
      </w:pPr>
      <w:r>
        <w:rPr>
          <w:rFonts w:hint="eastAsia" w:hAnsi="宋体"/>
          <w:color w:val="auto"/>
          <w:sz w:val="24"/>
          <w:szCs w:val="24"/>
          <w:highlight w:val="none"/>
        </w:rPr>
        <w:t>附：被授权人有效身份证正反面或其他身份证明材料复印　　　　　　　</w:t>
      </w:r>
    </w:p>
    <w:p>
      <w:pPr>
        <w:pStyle w:val="25"/>
        <w:spacing w:line="360" w:lineRule="auto"/>
        <w:rPr>
          <w:rFonts w:hAnsi="宋体"/>
          <w:color w:val="auto"/>
          <w:sz w:val="24"/>
          <w:szCs w:val="24"/>
          <w:highlight w:val="none"/>
        </w:rPr>
      </w:pPr>
    </w:p>
    <w:p>
      <w:pPr>
        <w:pStyle w:val="25"/>
        <w:spacing w:line="360" w:lineRule="auto"/>
        <w:jc w:val="center"/>
        <w:rPr>
          <w:rFonts w:hAnsi="宋体" w:eastAsia="宋体" w:cs="宋体"/>
          <w:color w:val="auto"/>
          <w:sz w:val="28"/>
          <w:highlight w:val="none"/>
        </w:rPr>
      </w:pPr>
    </w:p>
    <w:p>
      <w:pPr>
        <w:pStyle w:val="25"/>
        <w:spacing w:line="360" w:lineRule="auto"/>
        <w:jc w:val="center"/>
        <w:rPr>
          <w:rFonts w:hAnsi="宋体" w:eastAsia="宋体" w:cs="宋体"/>
          <w:color w:val="auto"/>
          <w:sz w:val="28"/>
          <w:highlight w:val="none"/>
        </w:rPr>
      </w:pPr>
    </w:p>
    <w:p>
      <w:pPr>
        <w:pStyle w:val="25"/>
        <w:spacing w:line="360" w:lineRule="auto"/>
        <w:jc w:val="center"/>
        <w:rPr>
          <w:rFonts w:hAnsi="宋体" w:eastAsia="宋体" w:cs="宋体"/>
          <w:color w:val="auto"/>
          <w:sz w:val="28"/>
          <w:highlight w:val="none"/>
        </w:rPr>
      </w:pPr>
    </w:p>
    <w:p>
      <w:pPr>
        <w:pStyle w:val="25"/>
        <w:spacing w:line="360" w:lineRule="auto"/>
        <w:rPr>
          <w:rFonts w:hAnsi="宋体" w:eastAsia="宋体" w:cs="宋体"/>
          <w:color w:val="auto"/>
          <w:sz w:val="28"/>
          <w:highlight w:val="none"/>
        </w:rPr>
      </w:pPr>
    </w:p>
    <w:p>
      <w:pPr>
        <w:pStyle w:val="25"/>
        <w:spacing w:line="360" w:lineRule="auto"/>
        <w:rPr>
          <w:rFonts w:hAnsi="宋体" w:eastAsia="宋体" w:cs="宋体"/>
          <w:color w:val="auto"/>
          <w:sz w:val="28"/>
          <w:szCs w:val="28"/>
          <w:highlight w:val="none"/>
        </w:rPr>
      </w:pPr>
      <w:r>
        <w:rPr>
          <w:rFonts w:hint="eastAsia" w:hAnsi="宋体" w:eastAsia="宋体" w:cs="宋体"/>
          <w:color w:val="auto"/>
          <w:sz w:val="28"/>
          <w:highlight w:val="none"/>
        </w:rPr>
        <w:t>（单位盖章</w:t>
      </w:r>
      <w:r>
        <w:rPr>
          <w:rFonts w:hint="eastAsia" w:hAnsi="宋体" w:eastAsia="宋体" w:cs="宋体"/>
          <w:color w:val="auto"/>
          <w:sz w:val="28"/>
          <w:szCs w:val="28"/>
          <w:highlight w:val="none"/>
        </w:rPr>
        <w:t>）：</w:t>
      </w:r>
    </w:p>
    <w:p>
      <w:pPr>
        <w:pStyle w:val="25"/>
        <w:spacing w:line="360" w:lineRule="auto"/>
        <w:rPr>
          <w:rFonts w:hAnsi="宋体" w:eastAsia="宋体" w:cs="宋体"/>
          <w:color w:val="auto"/>
          <w:sz w:val="28"/>
          <w:szCs w:val="28"/>
          <w:highlight w:val="none"/>
        </w:rPr>
      </w:pPr>
    </w:p>
    <w:p>
      <w:pPr>
        <w:pStyle w:val="25"/>
        <w:spacing w:line="360" w:lineRule="auto"/>
        <w:rPr>
          <w:rFonts w:hAnsi="宋体" w:eastAsia="宋体" w:cs="宋体"/>
          <w:color w:val="auto"/>
          <w:sz w:val="28"/>
          <w:szCs w:val="28"/>
          <w:highlight w:val="none"/>
        </w:rPr>
      </w:pPr>
      <w:r>
        <w:rPr>
          <w:rFonts w:hint="eastAsia" w:hAnsi="宋体" w:eastAsia="宋体" w:cs="宋体"/>
          <w:color w:val="auto"/>
          <w:sz w:val="28"/>
          <w:szCs w:val="28"/>
          <w:highlight w:val="none"/>
        </w:rPr>
        <w:t>法定代表人（签字或盖章）：</w:t>
      </w:r>
    </w:p>
    <w:p>
      <w:pPr>
        <w:pStyle w:val="25"/>
        <w:spacing w:line="360" w:lineRule="auto"/>
        <w:rPr>
          <w:rFonts w:hAnsi="宋体" w:eastAsia="宋体" w:cs="宋体"/>
          <w:color w:val="auto"/>
          <w:sz w:val="28"/>
          <w:szCs w:val="28"/>
          <w:highlight w:val="none"/>
        </w:rPr>
      </w:pPr>
      <w:r>
        <w:rPr>
          <w:rFonts w:hint="eastAsia" w:hAnsi="宋体" w:eastAsia="宋体" w:cs="宋体"/>
          <w:color w:val="auto"/>
          <w:sz w:val="28"/>
          <w:szCs w:val="28"/>
          <w:highlight w:val="none"/>
        </w:rPr>
        <w:t>被授权人（签字或盖章）：</w:t>
      </w:r>
    </w:p>
    <w:p>
      <w:pPr>
        <w:pStyle w:val="25"/>
        <w:spacing w:line="360" w:lineRule="auto"/>
        <w:rPr>
          <w:rFonts w:hAnsi="宋体" w:eastAsia="宋体" w:cs="宋体"/>
          <w:color w:val="auto"/>
          <w:sz w:val="28"/>
          <w:szCs w:val="28"/>
          <w:highlight w:val="none"/>
        </w:rPr>
      </w:pPr>
      <w:r>
        <w:rPr>
          <w:rFonts w:hint="eastAsia" w:hAnsi="宋体" w:eastAsia="宋体" w:cs="宋体"/>
          <w:color w:val="auto"/>
          <w:sz w:val="28"/>
          <w:szCs w:val="28"/>
          <w:highlight w:val="none"/>
        </w:rPr>
        <w:t>日期： 20</w:t>
      </w:r>
      <w:r>
        <w:rPr>
          <w:rFonts w:hint="eastAsia" w:hAnsi="宋体" w:eastAsia="宋体" w:cs="宋体"/>
          <w:color w:val="auto"/>
          <w:sz w:val="28"/>
          <w:szCs w:val="28"/>
          <w:highlight w:val="none"/>
          <w:lang w:val="en-US" w:eastAsia="zh-CN"/>
        </w:rPr>
        <w:t>23</w:t>
      </w:r>
      <w:r>
        <w:rPr>
          <w:rFonts w:hint="eastAsia" w:hAnsi="宋体" w:eastAsia="宋体" w:cs="宋体"/>
          <w:color w:val="auto"/>
          <w:sz w:val="28"/>
          <w:szCs w:val="28"/>
          <w:highlight w:val="none"/>
        </w:rPr>
        <w:t>年   月   日</w:t>
      </w:r>
    </w:p>
    <w:p>
      <w:pPr>
        <w:adjustRightInd w:val="0"/>
        <w:spacing w:line="460" w:lineRule="exact"/>
        <w:jc w:val="left"/>
        <w:rPr>
          <w:rFonts w:ascii="宋体" w:hAnsi="宋体"/>
          <w:b/>
          <w:color w:val="auto"/>
          <w:sz w:val="32"/>
          <w:szCs w:val="32"/>
          <w:highlight w:val="none"/>
        </w:rPr>
      </w:pPr>
      <w:r>
        <w:rPr>
          <w:rFonts w:hint="eastAsia" w:hAnsi="宋体" w:cs="宋体"/>
          <w:color w:val="auto"/>
          <w:sz w:val="28"/>
          <w:szCs w:val="28"/>
          <w:highlight w:val="none"/>
          <w:lang w:val="zh-CN"/>
        </w:rPr>
        <w:t>说明：法定代表人亲自办理投标事宜的，无需提交本证明书。</w:t>
      </w:r>
    </w:p>
    <w:p>
      <w:pPr>
        <w:adjustRightInd w:val="0"/>
        <w:spacing w:line="460" w:lineRule="exact"/>
        <w:jc w:val="left"/>
        <w:rPr>
          <w:rFonts w:ascii="宋体" w:hAnsi="宋体"/>
          <w:b/>
          <w:color w:val="auto"/>
          <w:sz w:val="32"/>
          <w:szCs w:val="32"/>
          <w:highlight w:val="none"/>
        </w:rPr>
      </w:pPr>
      <w:r>
        <w:rPr>
          <w:rFonts w:hint="eastAsia" w:ascii="宋体" w:hAnsi="宋体"/>
          <w:b/>
          <w:color w:val="auto"/>
          <w:sz w:val="32"/>
          <w:szCs w:val="32"/>
          <w:highlight w:val="none"/>
        </w:rPr>
        <w:br w:type="page"/>
      </w:r>
    </w:p>
    <w:p>
      <w:pPr>
        <w:widowControl/>
        <w:jc w:val="left"/>
        <w:rPr>
          <w:rFonts w:ascii="宋体" w:hAnsi="宋体"/>
          <w:color w:val="auto"/>
          <w:sz w:val="32"/>
          <w:highlight w:val="none"/>
        </w:rPr>
      </w:pPr>
      <w:r>
        <w:rPr>
          <w:rFonts w:hint="eastAsia" w:ascii="宋体" w:hAnsi="宋体"/>
          <w:color w:val="auto"/>
          <w:sz w:val="32"/>
          <w:highlight w:val="none"/>
        </w:rPr>
        <w:t>附件6</w:t>
      </w:r>
    </w:p>
    <w:p>
      <w:pPr>
        <w:widowControl/>
        <w:jc w:val="center"/>
        <w:rPr>
          <w:rFonts w:ascii="宋体" w:hAnsi="宋体"/>
          <w:b/>
          <w:color w:val="auto"/>
          <w:kern w:val="0"/>
          <w:highlight w:val="none"/>
        </w:rPr>
      </w:pPr>
      <w:r>
        <w:rPr>
          <w:rFonts w:hint="eastAsia" w:ascii="宋体" w:hAnsi="宋体"/>
          <w:b/>
          <w:color w:val="auto"/>
          <w:kern w:val="0"/>
          <w:sz w:val="28"/>
          <w:highlight w:val="none"/>
        </w:rPr>
        <w:t>资格性和有效性审查表</w:t>
      </w:r>
    </w:p>
    <w:p>
      <w:pPr>
        <w:spacing w:line="360" w:lineRule="auto"/>
        <w:rPr>
          <w:rFonts w:hint="eastAsia" w:ascii="宋体" w:hAnsi="宋体"/>
          <w:color w:val="auto"/>
          <w:highlight w:val="none"/>
        </w:rPr>
      </w:pPr>
      <w:r>
        <w:rPr>
          <w:rFonts w:hint="eastAsia" w:ascii="宋体" w:hAnsi="宋体"/>
          <w:color w:val="auto"/>
          <w:highlight w:val="none"/>
        </w:rPr>
        <w:t>项目名称：</w:t>
      </w:r>
      <w:r>
        <w:rPr>
          <w:color w:val="auto"/>
          <w:highlight w:val="none"/>
        </w:rPr>
        <w:t xml:space="preserve"> </w:t>
      </w:r>
      <w:r>
        <w:rPr>
          <w:rFonts w:hint="eastAsia" w:ascii="宋体" w:hAnsi="宋体" w:eastAsiaTheme="minorEastAsia" w:cstheme="minorBidi"/>
          <w:color w:val="auto"/>
          <w:sz w:val="21"/>
          <w:szCs w:val="24"/>
          <w:highlight w:val="none"/>
        </w:rPr>
        <w:t>能源站一期系统优化及冷热电系统扩容可行性研究报告编制及相关服务</w:t>
      </w:r>
      <w:r>
        <w:rPr>
          <w:rFonts w:hint="eastAsia" w:ascii="宋体" w:hAnsi="宋体"/>
          <w:color w:val="auto"/>
          <w:sz w:val="21"/>
          <w:highlight w:val="none"/>
          <w:u w:val="none"/>
        </w:rPr>
        <w:t>采购</w:t>
      </w:r>
    </w:p>
    <w:tbl>
      <w:tblPr>
        <w:tblStyle w:val="12"/>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
        <w:gridCol w:w="8205"/>
        <w:gridCol w:w="4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513" w:type="dxa"/>
            <w:vAlign w:val="center"/>
          </w:tcPr>
          <w:p>
            <w:pPr>
              <w:jc w:val="center"/>
              <w:rPr>
                <w:rFonts w:asciiTheme="minorEastAsia" w:hAnsiTheme="minorEastAsia"/>
                <w:b/>
                <w:color w:val="auto"/>
                <w:sz w:val="18"/>
                <w:szCs w:val="18"/>
                <w:highlight w:val="none"/>
              </w:rPr>
            </w:pPr>
            <w:r>
              <w:rPr>
                <w:rFonts w:hint="eastAsia" w:cs="宋体" w:asciiTheme="minorEastAsia" w:hAnsiTheme="minorEastAsia"/>
                <w:b/>
                <w:bCs/>
                <w:color w:val="auto"/>
                <w:sz w:val="18"/>
                <w:szCs w:val="18"/>
                <w:highlight w:val="none"/>
              </w:rPr>
              <w:t>序号</w:t>
            </w:r>
          </w:p>
        </w:tc>
        <w:tc>
          <w:tcPr>
            <w:tcW w:w="8205" w:type="dxa"/>
            <w:vAlign w:val="center"/>
          </w:tcPr>
          <w:p>
            <w:pPr>
              <w:ind w:firstLine="440"/>
              <w:rPr>
                <w:rFonts w:asciiTheme="minorEastAsia" w:hAnsiTheme="minorEastAsia"/>
                <w:b/>
                <w:color w:val="auto"/>
                <w:sz w:val="18"/>
                <w:szCs w:val="18"/>
                <w:highlight w:val="none"/>
              </w:rPr>
            </w:pPr>
            <w:r>
              <w:rPr>
                <w:rFonts w:hint="eastAsia" w:cs="宋体" w:asciiTheme="minorEastAsia" w:hAnsiTheme="minorEastAsia"/>
                <w:b/>
                <w:bCs/>
                <w:color w:val="auto"/>
                <w:sz w:val="18"/>
                <w:szCs w:val="18"/>
                <w:highlight w:val="none"/>
              </w:rPr>
              <w:t>评审内容</w:t>
            </w:r>
          </w:p>
        </w:tc>
        <w:tc>
          <w:tcPr>
            <w:tcW w:w="481" w:type="dxa"/>
            <w:vAlign w:val="center"/>
          </w:tcPr>
          <w:p>
            <w:pPr>
              <w:ind w:firstLine="29" w:firstLineChars="16"/>
              <w:rPr>
                <w:rFonts w:asciiTheme="minorEastAsia" w:hAnsiTheme="minorEastAsia"/>
                <w:b/>
                <w:color w:val="auto"/>
                <w:sz w:val="18"/>
                <w:szCs w:val="18"/>
                <w:highlight w:val="none"/>
              </w:rPr>
            </w:pPr>
            <w:r>
              <w:rPr>
                <w:rFonts w:hint="eastAsia" w:cs="宋体" w:asciiTheme="minorEastAsia" w:hAnsiTheme="minorEastAsia"/>
                <w:b/>
                <w:bCs/>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atLeast"/>
        </w:trPr>
        <w:tc>
          <w:tcPr>
            <w:tcW w:w="513" w:type="dxa"/>
            <w:shd w:val="clear" w:color="auto" w:fill="auto"/>
            <w:vAlign w:val="center"/>
          </w:tcPr>
          <w:p>
            <w:pPr>
              <w:keepNext w:val="0"/>
              <w:keepLines w:val="0"/>
              <w:widowControl/>
              <w:suppressLineNumbers w:val="0"/>
              <w:jc w:val="center"/>
              <w:textAlignment w:val="center"/>
              <w:rPr>
                <w:rFonts w:asciiTheme="minorEastAsia" w:hAnsiTheme="minorEastAsia"/>
                <w:bCs/>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205" w:type="dxa"/>
            <w:shd w:val="clear" w:color="auto" w:fill="auto"/>
            <w:vAlign w:val="center"/>
          </w:tcPr>
          <w:p>
            <w:pPr>
              <w:keepNext w:val="0"/>
              <w:keepLines w:val="0"/>
              <w:widowControl/>
              <w:suppressLineNumbers w:val="0"/>
              <w:jc w:val="both"/>
              <w:textAlignment w:val="center"/>
              <w:rPr>
                <w:rFonts w:asciiTheme="minorEastAsia" w:hAnsiTheme="minorEastAsia"/>
                <w:color w:val="auto"/>
                <w:sz w:val="18"/>
                <w:szCs w:val="18"/>
                <w:highlight w:val="none"/>
              </w:rPr>
            </w:pPr>
            <w:r>
              <w:rPr>
                <w:rStyle w:val="28"/>
                <w:color w:val="auto"/>
                <w:highlight w:val="none"/>
                <w:lang w:val="en-US" w:eastAsia="zh-CN" w:bidi="ar"/>
              </w:rPr>
              <w:t>必须是具有独立承担民事责任能力的在中华人民共和国境内注册的法人，具备有效的工商营业执照、企业法人组织机构代码证书、税务登记证书（或三证合一），按国家法律经营。</w:t>
            </w:r>
          </w:p>
        </w:tc>
        <w:tc>
          <w:tcPr>
            <w:tcW w:w="481"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trPr>
        <w:tc>
          <w:tcPr>
            <w:tcW w:w="513" w:type="dxa"/>
            <w:shd w:val="clear" w:color="auto" w:fill="auto"/>
            <w:vAlign w:val="center"/>
          </w:tcPr>
          <w:p>
            <w:pPr>
              <w:keepNext w:val="0"/>
              <w:keepLines w:val="0"/>
              <w:widowControl/>
              <w:suppressLineNumbers w:val="0"/>
              <w:jc w:val="center"/>
              <w:textAlignment w:val="center"/>
              <w:rPr>
                <w:rFonts w:cs="宋体" w:asciiTheme="minorEastAsia" w:hAnsiTheme="minorEastAsia"/>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205" w:type="dxa"/>
            <w:shd w:val="clear" w:color="auto" w:fill="auto"/>
            <w:vAlign w:val="center"/>
          </w:tcPr>
          <w:p>
            <w:pPr>
              <w:keepNext w:val="0"/>
              <w:keepLines w:val="0"/>
              <w:widowControl/>
              <w:suppressLineNumbers w:val="0"/>
              <w:jc w:val="both"/>
              <w:textAlignment w:val="center"/>
              <w:rPr>
                <w:rFonts w:asciiTheme="minorEastAsia" w:hAnsiTheme="minorEastAsia"/>
                <w:color w:val="auto"/>
                <w:sz w:val="18"/>
                <w:szCs w:val="18"/>
                <w:highlight w:val="none"/>
              </w:rPr>
            </w:pPr>
            <w:r>
              <w:rPr>
                <w:rStyle w:val="28"/>
                <w:color w:val="auto"/>
                <w:highlight w:val="none"/>
                <w:lang w:val="en-US" w:eastAsia="zh-CN" w:bidi="ar"/>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481"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513" w:type="dxa"/>
            <w:shd w:val="clear" w:color="auto" w:fill="auto"/>
            <w:vAlign w:val="center"/>
          </w:tcPr>
          <w:p>
            <w:pPr>
              <w:keepNext w:val="0"/>
              <w:keepLines w:val="0"/>
              <w:widowControl/>
              <w:suppressLineNumbers w:val="0"/>
              <w:jc w:val="center"/>
              <w:textAlignment w:val="center"/>
              <w:rPr>
                <w:rFonts w:asciiTheme="minorEastAsia" w:hAnsiTheme="minorEastAsia"/>
                <w:bCs/>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8205" w:type="dxa"/>
            <w:shd w:val="clear" w:color="auto" w:fill="auto"/>
            <w:vAlign w:val="center"/>
          </w:tcPr>
          <w:p>
            <w:pPr>
              <w:keepNext w:val="0"/>
              <w:keepLines w:val="0"/>
              <w:widowControl/>
              <w:suppressLineNumbers w:val="0"/>
              <w:jc w:val="both"/>
              <w:textAlignment w:val="center"/>
              <w:rPr>
                <w:rFonts w:asciiTheme="minorEastAsia" w:hAnsiTheme="minorEastAsia"/>
                <w:color w:val="auto"/>
                <w:sz w:val="18"/>
                <w:szCs w:val="18"/>
                <w:highlight w:val="none"/>
              </w:rPr>
            </w:pPr>
            <w:r>
              <w:rPr>
                <w:rStyle w:val="28"/>
                <w:color w:val="auto"/>
                <w:highlight w:val="none"/>
                <w:lang w:val="en-US" w:eastAsia="zh-CN" w:bidi="ar"/>
              </w:rPr>
              <w:t>投标人没有处于被责令停业或破产状态，且资产未被重组、接管和冻结，声明在投标活动中3年内没有重大违法活动和涉嫌违规行为。（格式自拟）</w:t>
            </w:r>
          </w:p>
        </w:tc>
        <w:tc>
          <w:tcPr>
            <w:tcW w:w="481"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513" w:type="dxa"/>
            <w:shd w:val="clear" w:color="auto" w:fill="auto"/>
            <w:vAlign w:val="center"/>
          </w:tcPr>
          <w:p>
            <w:pPr>
              <w:widowControl/>
              <w:ind w:firstLine="0" w:firstLineChars="0"/>
              <w:jc w:val="center"/>
              <w:textAlignment w:val="center"/>
              <w:rPr>
                <w:rFonts w:asciiTheme="minorEastAsia" w:hAnsiTheme="minorEastAsia"/>
                <w:bCs/>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8205" w:type="dxa"/>
            <w:shd w:val="clear" w:color="auto" w:fill="auto"/>
            <w:vAlign w:val="center"/>
          </w:tcPr>
          <w:p>
            <w:pPr>
              <w:widowControl/>
              <w:ind w:left="15" w:leftChars="7" w:firstLine="0" w:firstLineChars="0"/>
              <w:jc w:val="both"/>
              <w:textAlignment w:val="center"/>
              <w:rPr>
                <w:rFonts w:asciiTheme="minorEastAsia" w:hAnsiTheme="minorEastAsia"/>
                <w:color w:val="auto"/>
                <w:sz w:val="18"/>
                <w:szCs w:val="18"/>
                <w:highlight w:val="none"/>
              </w:rPr>
            </w:pPr>
            <w:r>
              <w:rPr>
                <w:rStyle w:val="28"/>
                <w:color w:val="auto"/>
                <w:highlight w:val="none"/>
                <w:lang w:val="en-US" w:eastAsia="zh-CN" w:bidi="ar"/>
              </w:rPr>
              <w:t>已在全国投资项目在线审批监管平台完成咨询业务备案，需提供备案网页或证书复印件作为证明材料。</w:t>
            </w:r>
          </w:p>
        </w:tc>
        <w:tc>
          <w:tcPr>
            <w:tcW w:w="481" w:type="dxa"/>
            <w:vAlign w:val="center"/>
          </w:tcPr>
          <w:p>
            <w:pPr>
              <w:rPr>
                <w:rFonts w:cs="宋体" w:asciiTheme="minorEastAsia" w:hAnsiTheme="minorEastAsia"/>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513" w:type="dxa"/>
            <w:shd w:val="clear" w:color="auto" w:fill="auto"/>
            <w:vAlign w:val="center"/>
          </w:tcPr>
          <w:p>
            <w:pPr>
              <w:widowControl/>
              <w:ind w:firstLine="0" w:firstLineChars="0"/>
              <w:jc w:val="center"/>
              <w:textAlignment w:val="center"/>
              <w:rPr>
                <w:rFonts w:hint="default" w:asciiTheme="minorEastAsia" w:hAnsiTheme="minorEastAsia" w:eastAsiaTheme="minorEastAsia"/>
                <w:bCs/>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8205" w:type="dxa"/>
            <w:shd w:val="clear" w:color="auto" w:fill="auto"/>
            <w:vAlign w:val="center"/>
          </w:tcPr>
          <w:p>
            <w:pPr>
              <w:widowControl/>
              <w:numPr>
                <w:ilvl w:val="0"/>
                <w:numId w:val="0"/>
              </w:numPr>
              <w:spacing w:line="240" w:lineRule="auto"/>
              <w:ind w:left="0" w:leftChars="0" w:firstLine="0" w:firstLineChars="0"/>
              <w:jc w:val="both"/>
              <w:textAlignment w:val="center"/>
              <w:rPr>
                <w:rFonts w:hint="eastAsia" w:asciiTheme="minorEastAsia" w:hAnsiTheme="minorEastAsia"/>
                <w:bCs/>
                <w:color w:val="auto"/>
                <w:sz w:val="18"/>
                <w:szCs w:val="18"/>
                <w:highlight w:val="none"/>
              </w:rPr>
            </w:pPr>
            <w:r>
              <w:rPr>
                <w:rStyle w:val="28"/>
                <w:color w:val="auto"/>
                <w:highlight w:val="none"/>
                <w:lang w:bidi="ar"/>
              </w:rPr>
              <w:t>具有能源、新能源、区域供冷、集中供冷、区域集中供冷、冷站、能源站等项目</w:t>
            </w:r>
            <w:r>
              <w:rPr>
                <w:rStyle w:val="28"/>
                <w:rFonts w:hint="eastAsia" w:eastAsia="宋体"/>
                <w:color w:val="auto"/>
                <w:highlight w:val="none"/>
                <w:lang w:val="en-US" w:eastAsia="zh-CN" w:bidi="ar"/>
              </w:rPr>
              <w:t>咨询、</w:t>
            </w:r>
            <w:r>
              <w:rPr>
                <w:rStyle w:val="28"/>
                <w:color w:val="auto"/>
                <w:highlight w:val="none"/>
                <w:lang w:bidi="ar"/>
              </w:rPr>
              <w:t>设计经验</w:t>
            </w:r>
            <w:r>
              <w:rPr>
                <w:rStyle w:val="28"/>
                <w:color w:val="auto"/>
                <w:highlight w:val="none"/>
                <w:lang w:val="en-US" w:eastAsia="zh-CN" w:bidi="ar"/>
              </w:rPr>
              <w:t>，需提供相关类似业绩作为证明材料。</w:t>
            </w:r>
          </w:p>
        </w:tc>
        <w:tc>
          <w:tcPr>
            <w:tcW w:w="481" w:type="dxa"/>
            <w:vAlign w:val="center"/>
          </w:tcPr>
          <w:p>
            <w:pPr>
              <w:rPr>
                <w:rFonts w:cs="宋体" w:asciiTheme="minorEastAsia" w:hAnsiTheme="minorEastAsia"/>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513" w:type="dxa"/>
            <w:vAlign w:val="center"/>
          </w:tcPr>
          <w:p>
            <w:pPr>
              <w:widowControl/>
              <w:ind w:firstLine="0" w:firstLineChars="0"/>
              <w:jc w:val="center"/>
              <w:textAlignment w:val="center"/>
              <w:rPr>
                <w:rFonts w:hint="eastAsia" w:asciiTheme="minorEastAsia" w:hAnsiTheme="minorEastAsia" w:eastAsiaTheme="minorEastAsia"/>
                <w:bCs/>
                <w:color w:val="auto"/>
                <w:sz w:val="18"/>
                <w:szCs w:val="18"/>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6</w:t>
            </w:r>
          </w:p>
        </w:tc>
        <w:tc>
          <w:tcPr>
            <w:tcW w:w="8205" w:type="dxa"/>
            <w:vAlign w:val="center"/>
          </w:tcPr>
          <w:p>
            <w:pPr>
              <w:widowControl/>
              <w:ind w:left="15" w:leftChars="7" w:firstLine="0" w:firstLineChars="0"/>
              <w:jc w:val="both"/>
              <w:textAlignment w:val="center"/>
              <w:rPr>
                <w:rFonts w:asciiTheme="minorEastAsia" w:hAnsiTheme="minorEastAsia"/>
                <w:color w:val="auto"/>
                <w:sz w:val="18"/>
                <w:szCs w:val="18"/>
                <w:highlight w:val="none"/>
              </w:rPr>
            </w:pPr>
            <w:r>
              <w:rPr>
                <w:rStyle w:val="28"/>
                <w:color w:val="auto"/>
                <w:highlight w:val="none"/>
                <w:lang w:val="en-US" w:eastAsia="zh-CN" w:bidi="ar"/>
              </w:rPr>
              <w:t>本项目不接受联合体报价。</w:t>
            </w:r>
          </w:p>
        </w:tc>
        <w:tc>
          <w:tcPr>
            <w:tcW w:w="481"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513" w:type="dxa"/>
            <w:vAlign w:val="center"/>
          </w:tcPr>
          <w:p>
            <w:pPr>
              <w:widowControl/>
              <w:ind w:firstLine="0" w:firstLineChars="0"/>
              <w:jc w:val="center"/>
              <w:textAlignment w:val="center"/>
              <w:rPr>
                <w:rFonts w:hint="eastAsia" w:asciiTheme="minorEastAsia" w:hAnsiTheme="minorEastAsia" w:eastAsiaTheme="minorEastAsia"/>
                <w:bCs/>
                <w:color w:val="auto"/>
                <w:sz w:val="18"/>
                <w:szCs w:val="18"/>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7</w:t>
            </w:r>
          </w:p>
        </w:tc>
        <w:tc>
          <w:tcPr>
            <w:tcW w:w="8205" w:type="dxa"/>
            <w:vAlign w:val="center"/>
          </w:tcPr>
          <w:p>
            <w:pPr>
              <w:widowControl/>
              <w:ind w:left="0" w:leftChars="0"/>
              <w:textAlignment w:val="center"/>
              <w:rPr>
                <w:rFonts w:asciiTheme="minorEastAsia" w:hAnsiTheme="minorEastAsia"/>
                <w:color w:val="auto"/>
                <w:sz w:val="18"/>
                <w:szCs w:val="18"/>
                <w:highlight w:val="none"/>
              </w:rPr>
            </w:pPr>
            <w:r>
              <w:rPr>
                <w:rStyle w:val="28"/>
                <w:color w:val="auto"/>
                <w:highlight w:val="none"/>
                <w:lang w:val="en-US" w:eastAsia="zh-CN" w:bidi="ar"/>
              </w:rPr>
              <w:t>投标文件按竞选文件的规定密封、盖章和签署；</w:t>
            </w:r>
          </w:p>
        </w:tc>
        <w:tc>
          <w:tcPr>
            <w:tcW w:w="481"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513" w:type="dxa"/>
            <w:vAlign w:val="center"/>
          </w:tcPr>
          <w:p>
            <w:pPr>
              <w:widowControl/>
              <w:ind w:firstLine="0" w:firstLineChars="0"/>
              <w:jc w:val="center"/>
              <w:textAlignment w:val="center"/>
              <w:rPr>
                <w:rFonts w:hint="eastAsia" w:asciiTheme="minorEastAsia" w:hAnsiTheme="minorEastAsia" w:eastAsiaTheme="minorEastAsia"/>
                <w:bCs/>
                <w:color w:val="auto"/>
                <w:sz w:val="18"/>
                <w:szCs w:val="18"/>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8</w:t>
            </w:r>
          </w:p>
        </w:tc>
        <w:tc>
          <w:tcPr>
            <w:tcW w:w="8205" w:type="dxa"/>
            <w:vAlign w:val="center"/>
          </w:tcPr>
          <w:p>
            <w:pPr>
              <w:widowControl/>
              <w:ind w:left="0" w:leftChars="0"/>
              <w:textAlignment w:val="center"/>
              <w:rPr>
                <w:rFonts w:asciiTheme="minorEastAsia" w:hAnsiTheme="minorEastAsia"/>
                <w:color w:val="auto"/>
                <w:sz w:val="18"/>
                <w:szCs w:val="18"/>
                <w:highlight w:val="none"/>
              </w:rPr>
            </w:pPr>
            <w:r>
              <w:rPr>
                <w:rStyle w:val="28"/>
                <w:color w:val="auto"/>
                <w:highlight w:val="none"/>
                <w:lang w:val="en-US" w:eastAsia="zh-CN" w:bidi="ar"/>
              </w:rPr>
              <w:t>投标文件按竞选文件规定的格式填写，内容无不全或关键字迹模糊、无法辩认情形；</w:t>
            </w:r>
          </w:p>
        </w:tc>
        <w:tc>
          <w:tcPr>
            <w:tcW w:w="481"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513" w:type="dxa"/>
            <w:vAlign w:val="center"/>
          </w:tcPr>
          <w:p>
            <w:pPr>
              <w:widowControl/>
              <w:ind w:firstLine="0" w:firstLineChars="0"/>
              <w:jc w:val="center"/>
              <w:textAlignment w:val="center"/>
              <w:rPr>
                <w:rFonts w:hint="eastAsia" w:asciiTheme="minorEastAsia" w:hAnsiTheme="minorEastAsia" w:eastAsiaTheme="minorEastAsia"/>
                <w:bCs/>
                <w:color w:val="auto"/>
                <w:sz w:val="18"/>
                <w:szCs w:val="18"/>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9</w:t>
            </w:r>
          </w:p>
        </w:tc>
        <w:tc>
          <w:tcPr>
            <w:tcW w:w="8205" w:type="dxa"/>
            <w:vAlign w:val="center"/>
          </w:tcPr>
          <w:p>
            <w:pPr>
              <w:widowControl/>
              <w:ind w:left="0" w:leftChars="0"/>
              <w:textAlignment w:val="center"/>
              <w:rPr>
                <w:rFonts w:asciiTheme="minorEastAsia" w:hAnsiTheme="minorEastAsia"/>
                <w:color w:val="auto"/>
                <w:sz w:val="18"/>
                <w:szCs w:val="18"/>
                <w:highlight w:val="none"/>
              </w:rPr>
            </w:pPr>
            <w:r>
              <w:rPr>
                <w:rStyle w:val="28"/>
                <w:color w:val="auto"/>
                <w:highlight w:val="none"/>
                <w:lang w:val="en-US" w:eastAsia="zh-CN" w:bidi="ar"/>
              </w:rPr>
              <w:t>对同一竞选项目未出现两个或以上的投标报价，且没声明哪个有效；</w:t>
            </w:r>
          </w:p>
        </w:tc>
        <w:tc>
          <w:tcPr>
            <w:tcW w:w="481"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513" w:type="dxa"/>
            <w:vAlign w:val="center"/>
          </w:tcPr>
          <w:p>
            <w:pPr>
              <w:widowControl/>
              <w:ind w:firstLine="0" w:firstLineChars="0"/>
              <w:jc w:val="center"/>
              <w:textAlignment w:val="center"/>
              <w:rPr>
                <w:rFonts w:hint="default" w:asciiTheme="minorEastAsia" w:hAnsiTheme="minorEastAsia" w:eastAsiaTheme="minorEastAsia"/>
                <w:bCs/>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10</w:t>
            </w:r>
          </w:p>
        </w:tc>
        <w:tc>
          <w:tcPr>
            <w:tcW w:w="8205" w:type="dxa"/>
            <w:vAlign w:val="center"/>
          </w:tcPr>
          <w:p>
            <w:pPr>
              <w:widowControl/>
              <w:ind w:left="0" w:leftChars="0"/>
              <w:textAlignment w:val="center"/>
              <w:rPr>
                <w:rFonts w:cs="宋体" w:asciiTheme="minorEastAsia" w:hAnsiTheme="minorEastAsia"/>
                <w:color w:val="auto"/>
                <w:sz w:val="18"/>
                <w:szCs w:val="18"/>
                <w:highlight w:val="none"/>
              </w:rPr>
            </w:pPr>
            <w:r>
              <w:rPr>
                <w:rStyle w:val="28"/>
                <w:color w:val="auto"/>
                <w:highlight w:val="none"/>
                <w:lang w:val="en-US" w:eastAsia="zh-CN" w:bidi="ar"/>
              </w:rPr>
              <w:t>投标总报价不高于采购限价；</w:t>
            </w:r>
          </w:p>
        </w:tc>
        <w:tc>
          <w:tcPr>
            <w:tcW w:w="481"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trPr>
        <w:tc>
          <w:tcPr>
            <w:tcW w:w="513" w:type="dxa"/>
            <w:vAlign w:val="center"/>
          </w:tcPr>
          <w:p>
            <w:pPr>
              <w:widowControl/>
              <w:ind w:firstLine="0" w:firstLineChars="0"/>
              <w:jc w:val="center"/>
              <w:textAlignment w:val="center"/>
              <w:rPr>
                <w:rFonts w:hint="default" w:asciiTheme="minorEastAsia" w:hAnsiTheme="minorEastAsia" w:eastAsiaTheme="minorEastAsia"/>
                <w:bCs/>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11</w:t>
            </w:r>
          </w:p>
        </w:tc>
        <w:tc>
          <w:tcPr>
            <w:tcW w:w="8205" w:type="dxa"/>
            <w:vAlign w:val="center"/>
          </w:tcPr>
          <w:p>
            <w:pPr>
              <w:widowControl/>
              <w:ind w:left="0" w:leftChars="0"/>
              <w:textAlignment w:val="center"/>
              <w:rPr>
                <w:rFonts w:asciiTheme="minorEastAsia" w:hAnsiTheme="minorEastAsia"/>
                <w:color w:val="auto"/>
                <w:sz w:val="18"/>
                <w:szCs w:val="18"/>
                <w:highlight w:val="none"/>
              </w:rPr>
            </w:pPr>
            <w:r>
              <w:rPr>
                <w:rStyle w:val="28"/>
                <w:color w:val="auto"/>
                <w:highlight w:val="none"/>
                <w:lang w:val="en-US" w:eastAsia="zh-CN" w:bidi="ar"/>
              </w:rPr>
              <w:t>投标总报价不低于企业自身成本；</w:t>
            </w:r>
          </w:p>
        </w:tc>
        <w:tc>
          <w:tcPr>
            <w:tcW w:w="481"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513" w:type="dxa"/>
            <w:vAlign w:val="center"/>
          </w:tcPr>
          <w:p>
            <w:pPr>
              <w:widowControl/>
              <w:ind w:firstLine="0" w:firstLineChars="0"/>
              <w:jc w:val="center"/>
              <w:textAlignment w:val="center"/>
              <w:rPr>
                <w:rFonts w:hint="default" w:asciiTheme="minorEastAsia" w:hAnsiTheme="minorEastAsia" w:eastAsiaTheme="minorEastAsia"/>
                <w:bCs/>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12</w:t>
            </w:r>
          </w:p>
        </w:tc>
        <w:tc>
          <w:tcPr>
            <w:tcW w:w="8205" w:type="dxa"/>
            <w:vAlign w:val="center"/>
          </w:tcPr>
          <w:p>
            <w:pPr>
              <w:widowControl/>
              <w:ind w:left="0" w:leftChars="0"/>
              <w:textAlignment w:val="center"/>
              <w:rPr>
                <w:rFonts w:asciiTheme="minorEastAsia" w:hAnsiTheme="minorEastAsia"/>
                <w:color w:val="auto"/>
                <w:sz w:val="18"/>
                <w:szCs w:val="18"/>
                <w:highlight w:val="none"/>
              </w:rPr>
            </w:pPr>
            <w:r>
              <w:rPr>
                <w:rStyle w:val="28"/>
                <w:color w:val="auto"/>
                <w:highlight w:val="none"/>
                <w:lang w:val="en-US" w:eastAsia="zh-CN" w:bidi="ar"/>
              </w:rPr>
              <w:t>工期满足竞选文件要求的；</w:t>
            </w:r>
          </w:p>
        </w:tc>
        <w:tc>
          <w:tcPr>
            <w:tcW w:w="481"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513" w:type="dxa"/>
            <w:vAlign w:val="center"/>
          </w:tcPr>
          <w:p>
            <w:pPr>
              <w:widowControl/>
              <w:ind w:firstLine="0" w:firstLineChars="0"/>
              <w:jc w:val="center"/>
              <w:textAlignment w:val="center"/>
              <w:rPr>
                <w:rFonts w:hint="default" w:asciiTheme="minorEastAsia" w:hAnsiTheme="minorEastAsia" w:eastAsiaTheme="minorEastAsia"/>
                <w:bCs/>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13</w:t>
            </w:r>
          </w:p>
        </w:tc>
        <w:tc>
          <w:tcPr>
            <w:tcW w:w="8205" w:type="dxa"/>
            <w:vAlign w:val="center"/>
          </w:tcPr>
          <w:p>
            <w:pPr>
              <w:widowControl/>
              <w:ind w:left="0" w:leftChars="0"/>
              <w:textAlignment w:val="center"/>
              <w:rPr>
                <w:rFonts w:asciiTheme="minorEastAsia" w:hAnsiTheme="minorEastAsia"/>
                <w:color w:val="auto"/>
                <w:sz w:val="18"/>
                <w:szCs w:val="18"/>
                <w:highlight w:val="none"/>
              </w:rPr>
            </w:pPr>
            <w:r>
              <w:rPr>
                <w:rStyle w:val="28"/>
                <w:color w:val="auto"/>
                <w:highlight w:val="none"/>
                <w:lang w:val="en-US" w:eastAsia="zh-CN" w:bidi="ar"/>
              </w:rPr>
              <w:t>方案响应竞选文件中已明确必须要作实质性响应的内容；</w:t>
            </w:r>
          </w:p>
        </w:tc>
        <w:tc>
          <w:tcPr>
            <w:tcW w:w="481"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513" w:type="dxa"/>
            <w:vAlign w:val="center"/>
          </w:tcPr>
          <w:p>
            <w:pPr>
              <w:widowControl/>
              <w:ind w:firstLine="0" w:firstLineChars="0"/>
              <w:jc w:val="center"/>
              <w:textAlignment w:val="center"/>
              <w:rPr>
                <w:rFonts w:hint="default" w:asciiTheme="minorEastAsia" w:hAnsiTheme="minorEastAsia" w:eastAsiaTheme="minorEastAsia"/>
                <w:bCs/>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14</w:t>
            </w:r>
          </w:p>
        </w:tc>
        <w:tc>
          <w:tcPr>
            <w:tcW w:w="8205" w:type="dxa"/>
            <w:vAlign w:val="center"/>
          </w:tcPr>
          <w:p>
            <w:pPr>
              <w:widowControl/>
              <w:ind w:left="0" w:leftChars="0"/>
              <w:textAlignment w:val="center"/>
              <w:rPr>
                <w:rFonts w:asciiTheme="minorEastAsia" w:hAnsiTheme="minorEastAsia"/>
                <w:color w:val="auto"/>
                <w:sz w:val="18"/>
                <w:szCs w:val="18"/>
                <w:highlight w:val="none"/>
              </w:rPr>
            </w:pPr>
            <w:r>
              <w:rPr>
                <w:rStyle w:val="28"/>
                <w:color w:val="auto"/>
                <w:highlight w:val="none"/>
                <w:lang w:val="en-US" w:eastAsia="zh-CN" w:bidi="ar"/>
              </w:rPr>
              <w:t>投标文件未附有采购人不能接受的条件；</w:t>
            </w:r>
          </w:p>
        </w:tc>
        <w:tc>
          <w:tcPr>
            <w:tcW w:w="481"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513" w:type="dxa"/>
            <w:vAlign w:val="center"/>
          </w:tcPr>
          <w:p>
            <w:pPr>
              <w:widowControl/>
              <w:ind w:firstLine="0" w:firstLineChars="0"/>
              <w:jc w:val="center"/>
              <w:textAlignment w:val="center"/>
              <w:rPr>
                <w:rFonts w:hint="default" w:asciiTheme="minorEastAsia" w:hAnsiTheme="minorEastAsia" w:eastAsiaTheme="minorEastAsia"/>
                <w:bCs/>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15</w:t>
            </w:r>
          </w:p>
        </w:tc>
        <w:tc>
          <w:tcPr>
            <w:tcW w:w="8205" w:type="dxa"/>
            <w:vAlign w:val="center"/>
          </w:tcPr>
          <w:p>
            <w:pPr>
              <w:widowControl/>
              <w:ind w:left="0" w:leftChars="0"/>
              <w:textAlignment w:val="center"/>
              <w:rPr>
                <w:rFonts w:asciiTheme="minorEastAsia" w:hAnsiTheme="minorEastAsia"/>
                <w:color w:val="auto"/>
                <w:sz w:val="18"/>
                <w:szCs w:val="18"/>
                <w:highlight w:val="none"/>
              </w:rPr>
            </w:pPr>
            <w:r>
              <w:rPr>
                <w:rStyle w:val="28"/>
                <w:color w:val="auto"/>
                <w:highlight w:val="none"/>
                <w:lang w:val="en-US" w:eastAsia="zh-CN" w:bidi="ar"/>
              </w:rPr>
              <w:t>不符合竞选文件中规定的其他实质性要求。</w:t>
            </w:r>
          </w:p>
        </w:tc>
        <w:tc>
          <w:tcPr>
            <w:tcW w:w="481"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513" w:type="dxa"/>
            <w:vAlign w:val="center"/>
          </w:tcPr>
          <w:p>
            <w:pPr>
              <w:ind w:firstLine="440"/>
              <w:jc w:val="center"/>
              <w:rPr>
                <w:rFonts w:asciiTheme="minorEastAsia" w:hAnsiTheme="minorEastAsia"/>
                <w:bCs/>
                <w:color w:val="auto"/>
                <w:sz w:val="18"/>
                <w:szCs w:val="18"/>
                <w:highlight w:val="none"/>
              </w:rPr>
            </w:pPr>
          </w:p>
        </w:tc>
        <w:tc>
          <w:tcPr>
            <w:tcW w:w="8205" w:type="dxa"/>
            <w:vAlign w:val="center"/>
          </w:tcPr>
          <w:p>
            <w:pPr>
              <w:ind w:firstLine="440"/>
              <w:rPr>
                <w:rFonts w:asciiTheme="minorEastAsia" w:hAnsiTheme="minorEastAsia"/>
                <w:color w:val="auto"/>
                <w:sz w:val="18"/>
                <w:szCs w:val="18"/>
                <w:highlight w:val="none"/>
              </w:rPr>
            </w:pPr>
            <w:r>
              <w:rPr>
                <w:rFonts w:hint="eastAsia" w:cs="宋体" w:asciiTheme="minorEastAsia" w:hAnsiTheme="minorEastAsia"/>
                <w:b/>
                <w:bCs/>
                <w:color w:val="auto"/>
                <w:sz w:val="18"/>
                <w:szCs w:val="18"/>
                <w:highlight w:val="none"/>
              </w:rPr>
              <w:t>评审结论（</w:t>
            </w:r>
            <w:r>
              <w:rPr>
                <w:rFonts w:hint="eastAsia" w:asciiTheme="minorEastAsia" w:hAnsiTheme="minorEastAsia"/>
                <w:color w:val="auto"/>
                <w:sz w:val="18"/>
                <w:szCs w:val="18"/>
                <w:highlight w:val="none"/>
              </w:rPr>
              <w:t>通过/不通过</w:t>
            </w:r>
            <w:r>
              <w:rPr>
                <w:rFonts w:hint="eastAsia" w:cs="宋体" w:asciiTheme="minorEastAsia" w:hAnsiTheme="minorEastAsia"/>
                <w:b/>
                <w:bCs/>
                <w:color w:val="auto"/>
                <w:sz w:val="18"/>
                <w:szCs w:val="18"/>
                <w:highlight w:val="none"/>
              </w:rPr>
              <w:t>）</w:t>
            </w:r>
          </w:p>
        </w:tc>
        <w:tc>
          <w:tcPr>
            <w:tcW w:w="481" w:type="dxa"/>
            <w:vAlign w:val="center"/>
          </w:tcPr>
          <w:p>
            <w:pPr>
              <w:ind w:firstLine="440"/>
              <w:rPr>
                <w:rFonts w:asciiTheme="minorEastAsia" w:hAnsiTheme="minorEastAsia"/>
                <w:b/>
                <w:color w:val="auto"/>
                <w:sz w:val="18"/>
                <w:szCs w:val="18"/>
                <w:highlight w:val="none"/>
              </w:rPr>
            </w:pPr>
          </w:p>
        </w:tc>
      </w:tr>
    </w:tbl>
    <w:p>
      <w:pPr>
        <w:numPr>
          <w:ilvl w:val="0"/>
          <w:numId w:val="13"/>
        </w:numPr>
        <w:adjustRightInd w:val="0"/>
        <w:snapToGrid w:val="0"/>
        <w:spacing w:line="360" w:lineRule="auto"/>
        <w:ind w:firstLine="363" w:firstLineChars="202"/>
        <w:rPr>
          <w:rFonts w:ascii="宋体" w:hAnsi="宋体"/>
          <w:color w:val="auto"/>
          <w:sz w:val="18"/>
          <w:szCs w:val="21"/>
          <w:highlight w:val="none"/>
        </w:rPr>
      </w:pPr>
      <w:r>
        <w:rPr>
          <w:rFonts w:hint="eastAsia" w:ascii="宋体" w:hAnsi="宋体"/>
          <w:color w:val="auto"/>
          <w:sz w:val="18"/>
          <w:szCs w:val="21"/>
          <w:highlight w:val="none"/>
        </w:rPr>
        <w:t>投标人分栏中填写“√”表示该项符合竞选文件要求，“×”表示该项不符合竞选文件要求，“○”表示无该项内容；</w:t>
      </w:r>
    </w:p>
    <w:p>
      <w:pPr>
        <w:numPr>
          <w:ilvl w:val="0"/>
          <w:numId w:val="13"/>
        </w:numPr>
        <w:adjustRightInd w:val="0"/>
        <w:snapToGrid w:val="0"/>
        <w:spacing w:line="360" w:lineRule="auto"/>
        <w:ind w:firstLine="363" w:firstLineChars="202"/>
        <w:rPr>
          <w:rFonts w:ascii="宋体" w:hAnsi="宋体"/>
          <w:color w:val="auto"/>
          <w:sz w:val="18"/>
          <w:szCs w:val="21"/>
          <w:highlight w:val="none"/>
        </w:rPr>
      </w:pPr>
      <w:r>
        <w:rPr>
          <w:rFonts w:hint="eastAsia" w:ascii="宋体" w:hAnsi="宋体"/>
          <w:color w:val="auto"/>
          <w:sz w:val="18"/>
          <w:szCs w:val="21"/>
          <w:highlight w:val="none"/>
        </w:rPr>
        <w:t>经评标委员会审核后，出现一个“×”的结论为“不通过”，即按废标处理。</w:t>
      </w:r>
    </w:p>
    <w:p>
      <w:pPr>
        <w:numPr>
          <w:ilvl w:val="0"/>
          <w:numId w:val="13"/>
        </w:numPr>
        <w:adjustRightInd w:val="0"/>
        <w:snapToGrid w:val="0"/>
        <w:spacing w:line="360" w:lineRule="auto"/>
        <w:ind w:firstLine="363" w:firstLineChars="202"/>
        <w:rPr>
          <w:rFonts w:ascii="宋体" w:hAnsi="宋体"/>
          <w:color w:val="auto"/>
          <w:sz w:val="18"/>
          <w:szCs w:val="21"/>
          <w:highlight w:val="none"/>
        </w:rPr>
      </w:pPr>
      <w:r>
        <w:rPr>
          <w:rFonts w:hint="eastAsia" w:ascii="宋体" w:hAnsi="宋体"/>
          <w:color w:val="auto"/>
          <w:sz w:val="18"/>
          <w:szCs w:val="21"/>
          <w:highlight w:val="none"/>
        </w:rPr>
        <w:t>表中全部条件满足为“通过”，同意进入下一阶段评审。</w:t>
      </w:r>
    </w:p>
    <w:p>
      <w:pPr>
        <w:numPr>
          <w:ilvl w:val="0"/>
          <w:numId w:val="13"/>
        </w:numPr>
        <w:adjustRightInd w:val="0"/>
        <w:snapToGrid w:val="0"/>
        <w:spacing w:line="360" w:lineRule="auto"/>
        <w:ind w:firstLine="363" w:firstLineChars="202"/>
        <w:rPr>
          <w:rFonts w:ascii="宋体" w:hAnsi="宋体"/>
          <w:color w:val="auto"/>
          <w:sz w:val="18"/>
          <w:szCs w:val="21"/>
          <w:highlight w:val="none"/>
        </w:rPr>
      </w:pPr>
      <w:r>
        <w:rPr>
          <w:rFonts w:hint="eastAsia"/>
          <w:color w:val="auto"/>
          <w:sz w:val="18"/>
          <w:szCs w:val="21"/>
          <w:highlight w:val="none"/>
        </w:rPr>
        <w:t>如对本表中某种情形的</w:t>
      </w:r>
      <w:r>
        <w:rPr>
          <w:rFonts w:hint="eastAsia" w:ascii="宋体" w:hAnsi="宋体"/>
          <w:color w:val="auto"/>
          <w:sz w:val="18"/>
          <w:szCs w:val="21"/>
          <w:highlight w:val="none"/>
        </w:rPr>
        <w:t>评委意见不一致时，</w:t>
      </w:r>
      <w:r>
        <w:rPr>
          <w:rFonts w:hint="eastAsia"/>
          <w:color w:val="auto"/>
          <w:sz w:val="18"/>
          <w:szCs w:val="21"/>
          <w:highlight w:val="none"/>
        </w:rPr>
        <w:t>以评标委员会过半数成员的意见作为评标委员会对该情形的认定结论。</w:t>
      </w:r>
    </w:p>
    <w:p>
      <w:pPr>
        <w:adjustRightInd w:val="0"/>
        <w:snapToGrid w:val="0"/>
        <w:spacing w:line="360" w:lineRule="auto"/>
        <w:ind w:left="424"/>
        <w:rPr>
          <w:rFonts w:hint="eastAsia" w:ascii="宋体" w:hAnsi="宋体"/>
          <w:color w:val="auto"/>
          <w:sz w:val="32"/>
          <w:highlight w:val="none"/>
        </w:rPr>
      </w:pPr>
      <w:r>
        <w:rPr>
          <w:rFonts w:hint="eastAsia" w:ascii="宋体" w:hAnsi="宋体"/>
          <w:bCs/>
          <w:color w:val="auto"/>
          <w:szCs w:val="21"/>
          <w:highlight w:val="none"/>
        </w:rPr>
        <w:t>评委签名：                                          日 期：</w:t>
      </w:r>
      <w:r>
        <w:rPr>
          <w:rFonts w:ascii="宋体" w:hAnsi="宋体"/>
          <w:color w:val="auto"/>
          <w:szCs w:val="21"/>
          <w:highlight w:val="none"/>
        </w:rPr>
        <w:t>202</w:t>
      </w:r>
      <w:r>
        <w:rPr>
          <w:rFonts w:hint="eastAsia" w:ascii="宋体" w:hAnsi="宋体"/>
          <w:color w:val="auto"/>
          <w:szCs w:val="21"/>
          <w:highlight w:val="none"/>
          <w:lang w:val="en-US" w:eastAsia="zh-CN"/>
        </w:rPr>
        <w:t>3</w:t>
      </w:r>
      <w:r>
        <w:rPr>
          <w:rFonts w:hint="eastAsia" w:ascii="宋体" w:hAnsi="宋体"/>
          <w:color w:val="auto"/>
          <w:szCs w:val="21"/>
          <w:highlight w:val="none"/>
        </w:rPr>
        <w:t>年   月   日</w:t>
      </w:r>
    </w:p>
    <w:p>
      <w:pPr>
        <w:spacing w:line="360" w:lineRule="auto"/>
        <w:rPr>
          <w:rFonts w:ascii="宋体" w:hAnsi="宋体"/>
          <w:color w:val="auto"/>
          <w:sz w:val="24"/>
          <w:highlight w:val="none"/>
        </w:rPr>
      </w:pPr>
      <w:r>
        <w:rPr>
          <w:rFonts w:hint="eastAsia" w:ascii="宋体" w:hAnsi="宋体"/>
          <w:color w:val="auto"/>
          <w:sz w:val="32"/>
          <w:highlight w:val="none"/>
        </w:rPr>
        <w:t>附件7</w:t>
      </w:r>
      <w:r>
        <w:rPr>
          <w:rFonts w:hint="eastAsia" w:ascii="宋体" w:hAnsi="宋体"/>
          <w:color w:val="auto"/>
          <w:sz w:val="32"/>
          <w:highlight w:val="none"/>
        </w:rPr>
        <w:tab/>
      </w:r>
    </w:p>
    <w:p>
      <w:pPr>
        <w:ind w:firstLine="2891" w:firstLineChars="800"/>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t>综合评分细则</w:t>
      </w:r>
    </w:p>
    <w:tbl>
      <w:tblPr>
        <w:tblStyle w:val="12"/>
        <w:tblW w:w="100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260"/>
        <w:gridCol w:w="705"/>
        <w:gridCol w:w="7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评审大项</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评审内容</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分值</w:t>
            </w:r>
          </w:p>
        </w:tc>
        <w:tc>
          <w:tcPr>
            <w:tcW w:w="7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商务部分（15分）</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业绩</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自2020年1月1日至投标截止日前，投标人参与或完成“冷、热、电三联供”“冷、电联产”“热、电联产”等项目业绩，每一个项目得2分；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本项累计最高得6分。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提交证明资料中，项目合同或中标通知书中必须带单独</w:t>
            </w:r>
            <w:r>
              <w:rPr>
                <w:rStyle w:val="31"/>
                <w:color w:val="auto"/>
                <w:highlight w:val="none"/>
                <w:lang w:val="en-US" w:eastAsia="zh-CN" w:bidi="ar"/>
              </w:rPr>
              <w:t>的“冷、热、电三联供”“冷、电联产”“热、电联产”等字样</w:t>
            </w:r>
            <w:r>
              <w:rPr>
                <w:rFonts w:hint="eastAsia" w:ascii="宋体" w:hAnsi="宋体" w:eastAsia="宋体" w:cs="宋体"/>
                <w:i w:val="0"/>
                <w:iCs w:val="0"/>
                <w:color w:val="auto"/>
                <w:kern w:val="0"/>
                <w:sz w:val="18"/>
                <w:szCs w:val="18"/>
                <w:highlight w:val="none"/>
                <w:u w:val="none"/>
                <w:lang w:val="en-US" w:eastAsia="zh-CN" w:bidi="ar"/>
              </w:rPr>
              <w:t>，否则为无效项目。参与项目的时间以合同或中标通知书为准。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项目团队专业技术人员配备情况</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1、项目负责人应具备扎实的理论知识和实践经验，项目负责人必须为咨询工程师，并且具有工程或工程类高级技术职称职称得4分。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2、项目负责人从事工程咨询业务不少于8年以上，得1分。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3、项目负责人每担任过1个及以上的类似项目工程的可研报告编制或设计或咨询的，一个项目1分，最高得2分。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4、项目成员具有咨询工程师或以上职称，每人每证得0.5分，本项最高得1分；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5、项目组成员具有工程咨询本专业高级技术职称或以上职称，每人每证得0.5分，本项最高得1分；。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项目负责人必须为投标单位人员，提供职称证书复印件，否则不予计分。提交证明资料中，项目合同或中标通知书中必须带单独的“冷、热、电三联供”“冷、电联产”“热、电联产”等字样，否则为无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本项最高得9分。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技术部分（25分）</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总体方案评审</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A.对项目已深入研究熟悉，总体方案具有针对性，符合项目特点，合理且可操作性强，构思方案优良，得7-10分。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 对项目较为了解，总体案有一定的针对性，基本符合项目特点，基本合理，可操作性一般，构思方案一般，得4-6分。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 不了解项目情况，总体方案泛泛没有针对性，不符合项目或不合理，可操作性差，构思方案差，得0-3分。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项目的重点和难点分析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 技术理念先进，叙述全面，且简明扼要，重点突出，近远期结合，市场需求、政策符合、经济可行。项目难点的分析透彻，并提出实际可行的针对措施，得6-8分。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 技术理念有一定新意，叙述较为全面，可操作性一般，重点基本突出。项目难点分析欠透彻，解决措施可行性一般，得3-5分。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 技术理念无新意，可操作性差，重点不突出；项目重点、难点的分析不透彻，解决措施差或不可行，得0-2分。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优化方案及投资效益分析</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7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A.优化方案理念新颖，工程技术创新、科学合理，初步投资效益分析言之有物，有类似项目佐证，具有实质参考意义。得6-7分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B：优化方案一般，工程技术实用，初步投资效益分析简略，空泛。得3-5分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C：优化方案及工程技术无创新，没有初步投资效益分析。得0-2分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价格部分（60分）</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报价</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通过价格标有效性审查的投标人中，投标人报价的最低价为评标基准价，通过价格有效性审查的各投标人的价格评分统一按照下列公式计算：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价格评分＝评标基准价÷投标人评标报价×60。</w:t>
            </w:r>
          </w:p>
        </w:tc>
      </w:tr>
    </w:tbl>
    <w:p>
      <w:pPr>
        <w:ind w:firstLine="0" w:firstLineChars="0"/>
        <w:jc w:val="left"/>
        <w:rPr>
          <w:color w:val="auto"/>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fldChar w:fldCharType="begin"/>
    </w:r>
    <w:r>
      <w:instrText xml:space="preserve"> PAGE   \* MERGEFORMAT </w:instrText>
    </w:r>
    <w:r>
      <w:fldChar w:fldCharType="separate"/>
    </w:r>
    <w:r>
      <w:rPr>
        <w:lang w:val="zh-CN"/>
      </w:rPr>
      <w:t>12</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2">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5">
    <w:nsid w:val="3EF047A2"/>
    <w:multiLevelType w:val="singleLevel"/>
    <w:tmpl w:val="3EF047A2"/>
    <w:lvl w:ilvl="0" w:tentative="0">
      <w:start w:val="1"/>
      <w:numFmt w:val="decimal"/>
      <w:suff w:val="space"/>
      <w:lvlText w:val="%1."/>
      <w:lvlJc w:val="left"/>
    </w:lvl>
  </w:abstractNum>
  <w:abstractNum w:abstractNumId="6">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0EE571D"/>
    <w:multiLevelType w:val="multilevel"/>
    <w:tmpl w:val="60EE571D"/>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1">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7CD96845"/>
    <w:multiLevelType w:val="multilevel"/>
    <w:tmpl w:val="7CD96845"/>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0"/>
  </w:num>
  <w:num w:numId="2">
    <w:abstractNumId w:val="6"/>
  </w:num>
  <w:num w:numId="3">
    <w:abstractNumId w:val="0"/>
  </w:num>
  <w:num w:numId="4">
    <w:abstractNumId w:val="4"/>
  </w:num>
  <w:num w:numId="5">
    <w:abstractNumId w:val="9"/>
  </w:num>
  <w:num w:numId="6">
    <w:abstractNumId w:val="2"/>
  </w:num>
  <w:num w:numId="7">
    <w:abstractNumId w:val="3"/>
  </w:num>
  <w:num w:numId="8">
    <w:abstractNumId w:val="11"/>
  </w:num>
  <w:num w:numId="9">
    <w:abstractNumId w:val="8"/>
  </w:num>
  <w:num w:numId="10">
    <w:abstractNumId w:val="1"/>
  </w:num>
  <w:num w:numId="11">
    <w:abstractNumId w:val="5"/>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mMyYjJlZTJiYmIyY2IxNmYxZmEzZTZkMjk3MTMifQ=="/>
  </w:docVars>
  <w:rsids>
    <w:rsidRoot w:val="00172A27"/>
    <w:rsid w:val="000025EC"/>
    <w:rsid w:val="000046C2"/>
    <w:rsid w:val="00006CE6"/>
    <w:rsid w:val="000134FD"/>
    <w:rsid w:val="000337E3"/>
    <w:rsid w:val="00054EFA"/>
    <w:rsid w:val="00055462"/>
    <w:rsid w:val="00066EB5"/>
    <w:rsid w:val="000704AC"/>
    <w:rsid w:val="000775B8"/>
    <w:rsid w:val="0008426A"/>
    <w:rsid w:val="00084FC8"/>
    <w:rsid w:val="00092026"/>
    <w:rsid w:val="00094100"/>
    <w:rsid w:val="000F74C2"/>
    <w:rsid w:val="00104D44"/>
    <w:rsid w:val="001131FD"/>
    <w:rsid w:val="00121884"/>
    <w:rsid w:val="001252F0"/>
    <w:rsid w:val="00125F32"/>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18BC"/>
    <w:rsid w:val="00204CDD"/>
    <w:rsid w:val="00204E26"/>
    <w:rsid w:val="00211957"/>
    <w:rsid w:val="00212346"/>
    <w:rsid w:val="00213918"/>
    <w:rsid w:val="00236C90"/>
    <w:rsid w:val="002560DB"/>
    <w:rsid w:val="00266350"/>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72405"/>
    <w:rsid w:val="003741AF"/>
    <w:rsid w:val="00395112"/>
    <w:rsid w:val="003960D2"/>
    <w:rsid w:val="003C76D0"/>
    <w:rsid w:val="003D691C"/>
    <w:rsid w:val="003D71E2"/>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5C00"/>
    <w:rsid w:val="005E4749"/>
    <w:rsid w:val="005F3031"/>
    <w:rsid w:val="00603628"/>
    <w:rsid w:val="00603F0D"/>
    <w:rsid w:val="006133C3"/>
    <w:rsid w:val="006157FE"/>
    <w:rsid w:val="00620929"/>
    <w:rsid w:val="006326E3"/>
    <w:rsid w:val="006401BA"/>
    <w:rsid w:val="00643C6C"/>
    <w:rsid w:val="006633E3"/>
    <w:rsid w:val="00671D4B"/>
    <w:rsid w:val="006765CF"/>
    <w:rsid w:val="0068111A"/>
    <w:rsid w:val="006814C2"/>
    <w:rsid w:val="00682622"/>
    <w:rsid w:val="006963AF"/>
    <w:rsid w:val="006A1E2D"/>
    <w:rsid w:val="006A3BB3"/>
    <w:rsid w:val="006A4371"/>
    <w:rsid w:val="006A5CC4"/>
    <w:rsid w:val="006B71ED"/>
    <w:rsid w:val="006C0BB9"/>
    <w:rsid w:val="006D0F63"/>
    <w:rsid w:val="006D40FC"/>
    <w:rsid w:val="006D6938"/>
    <w:rsid w:val="006D7FA1"/>
    <w:rsid w:val="007029DA"/>
    <w:rsid w:val="00705503"/>
    <w:rsid w:val="00705D2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467F"/>
    <w:rsid w:val="00856C32"/>
    <w:rsid w:val="00865633"/>
    <w:rsid w:val="008704B7"/>
    <w:rsid w:val="00883690"/>
    <w:rsid w:val="00886649"/>
    <w:rsid w:val="008911DA"/>
    <w:rsid w:val="008A600E"/>
    <w:rsid w:val="008B389F"/>
    <w:rsid w:val="008D0411"/>
    <w:rsid w:val="008D19F5"/>
    <w:rsid w:val="008D471D"/>
    <w:rsid w:val="008D7E50"/>
    <w:rsid w:val="008F7CF5"/>
    <w:rsid w:val="00903F55"/>
    <w:rsid w:val="00910331"/>
    <w:rsid w:val="00920579"/>
    <w:rsid w:val="009325E3"/>
    <w:rsid w:val="00936314"/>
    <w:rsid w:val="00943A43"/>
    <w:rsid w:val="00947D4B"/>
    <w:rsid w:val="00950B98"/>
    <w:rsid w:val="00953AE7"/>
    <w:rsid w:val="00954038"/>
    <w:rsid w:val="00954F62"/>
    <w:rsid w:val="00956392"/>
    <w:rsid w:val="00961F75"/>
    <w:rsid w:val="00994C4E"/>
    <w:rsid w:val="00996F07"/>
    <w:rsid w:val="00996F2E"/>
    <w:rsid w:val="009B252A"/>
    <w:rsid w:val="009B63A8"/>
    <w:rsid w:val="009D20F5"/>
    <w:rsid w:val="009D4CB5"/>
    <w:rsid w:val="009D591B"/>
    <w:rsid w:val="009D62F1"/>
    <w:rsid w:val="009E0F94"/>
    <w:rsid w:val="00A039CA"/>
    <w:rsid w:val="00A1326C"/>
    <w:rsid w:val="00A21F52"/>
    <w:rsid w:val="00A23778"/>
    <w:rsid w:val="00A23A51"/>
    <w:rsid w:val="00A26562"/>
    <w:rsid w:val="00A26AAD"/>
    <w:rsid w:val="00A30091"/>
    <w:rsid w:val="00A47F45"/>
    <w:rsid w:val="00A56B98"/>
    <w:rsid w:val="00A56F06"/>
    <w:rsid w:val="00A63A1C"/>
    <w:rsid w:val="00A65C4B"/>
    <w:rsid w:val="00A8655B"/>
    <w:rsid w:val="00A9110E"/>
    <w:rsid w:val="00A93C1E"/>
    <w:rsid w:val="00A9620E"/>
    <w:rsid w:val="00AA7926"/>
    <w:rsid w:val="00AD0A84"/>
    <w:rsid w:val="00AE07C4"/>
    <w:rsid w:val="00AE7619"/>
    <w:rsid w:val="00B11C01"/>
    <w:rsid w:val="00B25413"/>
    <w:rsid w:val="00B3439E"/>
    <w:rsid w:val="00B35BF8"/>
    <w:rsid w:val="00B35E77"/>
    <w:rsid w:val="00B40C3B"/>
    <w:rsid w:val="00B46A1A"/>
    <w:rsid w:val="00B473E4"/>
    <w:rsid w:val="00B7188E"/>
    <w:rsid w:val="00B92D92"/>
    <w:rsid w:val="00BA30B9"/>
    <w:rsid w:val="00BB0A73"/>
    <w:rsid w:val="00BC1D8F"/>
    <w:rsid w:val="00BD137E"/>
    <w:rsid w:val="00BD5998"/>
    <w:rsid w:val="00BD6859"/>
    <w:rsid w:val="00C02D4F"/>
    <w:rsid w:val="00C21B6F"/>
    <w:rsid w:val="00C24901"/>
    <w:rsid w:val="00C25A28"/>
    <w:rsid w:val="00C34E86"/>
    <w:rsid w:val="00C35BE0"/>
    <w:rsid w:val="00C360CE"/>
    <w:rsid w:val="00C3749D"/>
    <w:rsid w:val="00C66ABC"/>
    <w:rsid w:val="00C81B8E"/>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C3097"/>
    <w:rsid w:val="00DC4492"/>
    <w:rsid w:val="00DC67D9"/>
    <w:rsid w:val="00DD349E"/>
    <w:rsid w:val="00DE79D9"/>
    <w:rsid w:val="00DF12E6"/>
    <w:rsid w:val="00E06363"/>
    <w:rsid w:val="00E11332"/>
    <w:rsid w:val="00E276AA"/>
    <w:rsid w:val="00E312F0"/>
    <w:rsid w:val="00E31860"/>
    <w:rsid w:val="00E35E82"/>
    <w:rsid w:val="00E467F5"/>
    <w:rsid w:val="00E474FB"/>
    <w:rsid w:val="00E560B1"/>
    <w:rsid w:val="00E8151C"/>
    <w:rsid w:val="00E933A8"/>
    <w:rsid w:val="00EC63AD"/>
    <w:rsid w:val="00ED5BEE"/>
    <w:rsid w:val="00ED5E29"/>
    <w:rsid w:val="00EE01B2"/>
    <w:rsid w:val="00F1390E"/>
    <w:rsid w:val="00F17F25"/>
    <w:rsid w:val="00F36482"/>
    <w:rsid w:val="00F5422B"/>
    <w:rsid w:val="00F56CDD"/>
    <w:rsid w:val="00F63A29"/>
    <w:rsid w:val="00F67C31"/>
    <w:rsid w:val="00F83FBB"/>
    <w:rsid w:val="00FA0FD6"/>
    <w:rsid w:val="00FA1E8E"/>
    <w:rsid w:val="00FC308C"/>
    <w:rsid w:val="00FD3F02"/>
    <w:rsid w:val="00FE22F7"/>
    <w:rsid w:val="00FF6134"/>
    <w:rsid w:val="03B348D9"/>
    <w:rsid w:val="0CBE7D9B"/>
    <w:rsid w:val="1D486867"/>
    <w:rsid w:val="24C37BD9"/>
    <w:rsid w:val="24E1746D"/>
    <w:rsid w:val="26630315"/>
    <w:rsid w:val="2A2331A1"/>
    <w:rsid w:val="318105E6"/>
    <w:rsid w:val="346F20BC"/>
    <w:rsid w:val="3B4320D1"/>
    <w:rsid w:val="3E4D1237"/>
    <w:rsid w:val="492B0790"/>
    <w:rsid w:val="526815AB"/>
    <w:rsid w:val="53E02240"/>
    <w:rsid w:val="55BC644E"/>
    <w:rsid w:val="57801871"/>
    <w:rsid w:val="5E79352B"/>
    <w:rsid w:val="63745753"/>
    <w:rsid w:val="64E262CE"/>
    <w:rsid w:val="69F10D61"/>
    <w:rsid w:val="6C3078F9"/>
    <w:rsid w:val="6D535020"/>
    <w:rsid w:val="6E6C0E64"/>
    <w:rsid w:val="728C5ACB"/>
    <w:rsid w:val="78E45BDC"/>
    <w:rsid w:val="7D3F20B7"/>
    <w:rsid w:val="7DA334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jc w:val="center"/>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unhideWhenUsed/>
    <w:qFormat/>
    <w:uiPriority w:val="9"/>
    <w:pPr>
      <w:keepNext/>
      <w:keepLines/>
      <w:spacing w:before="100" w:after="100" w:line="240" w:lineRule="auto"/>
      <w:outlineLvl w:val="2"/>
    </w:pPr>
    <w:rPr>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0"/>
    <w:rPr>
      <w:sz w:val="24"/>
    </w:rPr>
  </w:style>
  <w:style w:type="paragraph" w:styleId="6">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ascii="Times New Roman" w:hAnsi="Times New Roman" w:eastAsia="宋体" w:cs="Times New Roman"/>
      <w:kern w:val="0"/>
      <w:sz w:val="24"/>
    </w:rPr>
  </w:style>
  <w:style w:type="paragraph" w:styleId="11">
    <w:name w:val="Title"/>
    <w:basedOn w:val="1"/>
    <w:next w:val="1"/>
    <w:link w:val="26"/>
    <w:qFormat/>
    <w:uiPriority w:val="10"/>
    <w:pPr>
      <w:spacing w:before="240" w:after="60"/>
      <w:jc w:val="center"/>
      <w:outlineLvl w:val="0"/>
    </w:pPr>
    <w:rPr>
      <w:rFonts w:eastAsia="宋体" w:asciiTheme="majorHAnsi" w:hAnsiTheme="majorHAnsi" w:cstheme="majorBidi"/>
      <w:b/>
      <w:bCs/>
      <w:sz w:val="32"/>
      <w:szCs w:val="32"/>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34"/>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21">
    <w:name w:val="页眉 Char"/>
    <w:basedOn w:val="14"/>
    <w:link w:val="9"/>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eastAsia="宋体" w:cs="Times New Roman"/>
      <w:szCs w:val="22"/>
    </w:rPr>
  </w:style>
  <w:style w:type="paragraph" w:customStyle="1" w:styleId="25">
    <w:name w:val="纯文本1"/>
    <w:basedOn w:val="1"/>
    <w:qFormat/>
    <w:uiPriority w:val="0"/>
    <w:pPr>
      <w:widowControl/>
      <w:jc w:val="left"/>
    </w:pPr>
    <w:rPr>
      <w:rFonts w:ascii="宋体" w:hAnsi="Courier New" w:eastAsia="微软雅黑" w:cs="Times New Roman"/>
      <w:kern w:val="0"/>
      <w:sz w:val="20"/>
      <w:szCs w:val="21"/>
    </w:rPr>
  </w:style>
  <w:style w:type="character" w:customStyle="1" w:styleId="26">
    <w:name w:val="标题 Char"/>
    <w:basedOn w:val="14"/>
    <w:link w:val="11"/>
    <w:qFormat/>
    <w:uiPriority w:val="10"/>
    <w:rPr>
      <w:rFonts w:eastAsia="宋体" w:asciiTheme="majorHAnsi" w:hAnsiTheme="majorHAnsi" w:cstheme="majorBidi"/>
      <w:b/>
      <w:bCs/>
      <w:kern w:val="2"/>
      <w:sz w:val="32"/>
      <w:szCs w:val="32"/>
    </w:rPr>
  </w:style>
  <w:style w:type="paragraph" w:customStyle="1" w:styleId="27">
    <w:name w:val="！表格内容"/>
    <w:basedOn w:val="1"/>
    <w:qFormat/>
    <w:uiPriority w:val="0"/>
    <w:pPr>
      <w:spacing w:line="320" w:lineRule="atLeast"/>
    </w:pPr>
    <w:rPr>
      <w:rFonts w:ascii="Times New Roman" w:hAnsi="Times New Roman" w:eastAsia="宋体" w:cs="Times New Roman"/>
    </w:rPr>
  </w:style>
  <w:style w:type="character" w:customStyle="1" w:styleId="28">
    <w:name w:val="font11"/>
    <w:basedOn w:val="14"/>
    <w:qFormat/>
    <w:uiPriority w:val="0"/>
    <w:rPr>
      <w:rFonts w:hint="eastAsia" w:ascii="宋体" w:hAnsi="宋体" w:eastAsia="宋体" w:cs="宋体"/>
      <w:color w:val="000000"/>
      <w:sz w:val="18"/>
      <w:szCs w:val="18"/>
      <w:u w:val="none"/>
    </w:rPr>
  </w:style>
  <w:style w:type="character" w:customStyle="1" w:styleId="29">
    <w:name w:val="font21"/>
    <w:basedOn w:val="14"/>
    <w:qFormat/>
    <w:uiPriority w:val="0"/>
    <w:rPr>
      <w:rFonts w:hint="eastAsia" w:ascii="宋体" w:hAnsi="宋体" w:eastAsia="宋体" w:cs="宋体"/>
      <w:color w:val="000000"/>
      <w:sz w:val="18"/>
      <w:szCs w:val="18"/>
      <w:u w:val="none"/>
    </w:rPr>
  </w:style>
  <w:style w:type="character" w:customStyle="1" w:styleId="30">
    <w:name w:val="font31"/>
    <w:basedOn w:val="14"/>
    <w:qFormat/>
    <w:uiPriority w:val="0"/>
    <w:rPr>
      <w:rFonts w:hint="eastAsia" w:ascii="宋体" w:hAnsi="宋体" w:eastAsia="宋体" w:cs="宋体"/>
      <w:color w:val="000000"/>
      <w:sz w:val="18"/>
      <w:szCs w:val="18"/>
      <w:u w:val="none"/>
    </w:rPr>
  </w:style>
  <w:style w:type="character" w:customStyle="1" w:styleId="31">
    <w:name w:val="font41"/>
    <w:basedOn w:val="14"/>
    <w:qFormat/>
    <w:uiPriority w:val="0"/>
    <w:rPr>
      <w:rFonts w:hint="eastAsia" w:ascii="宋体" w:hAnsi="宋体" w:eastAsia="宋体" w:cs="宋体"/>
      <w:color w:val="4472C4"/>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441EF-438A-448B-BDE1-8E6C4C056A7B}">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15</Pages>
  <Words>7613</Words>
  <Characters>7998</Characters>
  <Lines>53</Lines>
  <Paragraphs>14</Paragraphs>
  <TotalTime>46</TotalTime>
  <ScaleCrop>false</ScaleCrop>
  <LinksUpToDate>false</LinksUpToDate>
  <CharactersWithSpaces>8239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云上晴</cp:lastModifiedBy>
  <cp:lastPrinted>2023-07-04T07:17:39Z</cp:lastPrinted>
  <dcterms:modified xsi:type="dcterms:W3CDTF">2023-07-04T07:18:32Z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7674D93466814684A9D8CA473B423F11_13</vt:lpwstr>
  </property>
</Properties>
</file>