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0" w:leftChars="0" w:firstLine="0" w:firstLineChars="0"/>
        <w:jc w:val="center"/>
        <w:rPr>
          <w:rFonts w:hint="eastAsia"/>
          <w:b/>
          <w:sz w:val="28"/>
          <w:szCs w:val="28"/>
          <w:highlight w:val="none"/>
          <w:lang w:eastAsia="zh-CN"/>
        </w:rPr>
      </w:pPr>
      <w:bookmarkStart w:id="0" w:name="_Hlk102747051"/>
      <w:bookmarkEnd w:id="0"/>
      <w:r>
        <w:rPr>
          <w:rFonts w:hint="eastAsia"/>
          <w:b/>
          <w:sz w:val="28"/>
          <w:szCs w:val="28"/>
          <w:highlight w:val="none"/>
          <w:lang w:eastAsia="zh-CN"/>
        </w:rPr>
        <w:t>广州城投综合能源投资经营管理有限公司</w:t>
      </w:r>
    </w:p>
    <w:p>
      <w:pPr>
        <w:spacing w:line="360" w:lineRule="auto"/>
        <w:ind w:left="0" w:leftChars="0" w:firstLine="0" w:firstLineChars="0"/>
        <w:jc w:val="center"/>
        <w:rPr>
          <w:rFonts w:hint="eastAsia" w:ascii="仿宋" w:hAnsi="仿宋" w:eastAsia="宋体"/>
          <w:b/>
          <w:sz w:val="36"/>
          <w:szCs w:val="36"/>
          <w:highlight w:val="none"/>
          <w:lang w:val="en-US" w:eastAsia="zh-CN"/>
        </w:rPr>
      </w:pPr>
      <w:r>
        <w:rPr>
          <w:rFonts w:hint="eastAsia"/>
          <w:b/>
          <w:sz w:val="28"/>
          <w:szCs w:val="28"/>
          <w:highlight w:val="none"/>
          <w:lang w:eastAsia="zh-CN"/>
        </w:rPr>
        <w:t>冷站二级泵电机前后轴承端盖轴承室修复工程</w:t>
      </w:r>
    </w:p>
    <w:p>
      <w:pPr>
        <w:tabs>
          <w:tab w:val="left" w:pos="720"/>
        </w:tabs>
        <w:spacing w:before="120" w:beforeLines="50" w:after="120" w:afterLines="50" w:line="360" w:lineRule="auto"/>
        <w:jc w:val="center"/>
        <w:rPr>
          <w:rFonts w:hint="eastAsia" w:eastAsia="宋体"/>
          <w:b/>
          <w:sz w:val="28"/>
          <w:szCs w:val="28"/>
          <w:highlight w:val="none"/>
          <w:lang w:eastAsia="zh-CN"/>
        </w:rPr>
      </w:pPr>
      <w:r>
        <w:rPr>
          <w:rFonts w:hint="eastAsia"/>
          <w:b/>
          <w:sz w:val="28"/>
          <w:szCs w:val="28"/>
          <w:highlight w:val="none"/>
        </w:rPr>
        <w:t>竞选文件</w:t>
      </w:r>
    </w:p>
    <w:p>
      <w:pPr>
        <w:numPr>
          <w:ilvl w:val="0"/>
          <w:numId w:val="1"/>
        </w:numPr>
        <w:spacing w:before="120" w:beforeLines="50" w:after="120" w:afterLines="50" w:line="360" w:lineRule="auto"/>
        <w:ind w:left="0" w:firstLine="482" w:firstLineChars="200"/>
        <w:rPr>
          <w:b/>
          <w:bCs/>
          <w:sz w:val="24"/>
          <w:highlight w:val="none"/>
        </w:rPr>
      </w:pPr>
      <w:r>
        <w:rPr>
          <w:rFonts w:hint="eastAsia"/>
          <w:b/>
          <w:bCs/>
          <w:sz w:val="24"/>
          <w:highlight w:val="none"/>
        </w:rPr>
        <w:t>项目基本情况</w:t>
      </w:r>
    </w:p>
    <w:p>
      <w:pPr>
        <w:numPr>
          <w:ilvl w:val="0"/>
          <w:numId w:val="2"/>
        </w:numPr>
        <w:spacing w:before="120" w:beforeLines="50" w:after="120" w:afterLines="50" w:line="360" w:lineRule="auto"/>
        <w:ind w:left="0" w:firstLine="480" w:firstLineChars="200"/>
        <w:rPr>
          <w:sz w:val="24"/>
          <w:highlight w:val="none"/>
        </w:rPr>
      </w:pPr>
      <w:r>
        <w:rPr>
          <w:rFonts w:hint="eastAsia"/>
          <w:sz w:val="24"/>
          <w:highlight w:val="none"/>
        </w:rPr>
        <w:t>项目名称：</w:t>
      </w:r>
      <w:r>
        <w:rPr>
          <w:rFonts w:hint="eastAsia" w:ascii="宋体"/>
          <w:sz w:val="24"/>
          <w:highlight w:val="none"/>
          <w:lang w:eastAsia="zh-CN"/>
        </w:rPr>
        <w:t>冷站二级泵电机前后轴承端盖轴承室修复工程</w:t>
      </w:r>
    </w:p>
    <w:p>
      <w:pPr>
        <w:numPr>
          <w:ilvl w:val="0"/>
          <w:numId w:val="2"/>
        </w:numPr>
        <w:spacing w:before="120" w:beforeLines="50" w:after="120" w:afterLines="50" w:line="360" w:lineRule="auto"/>
        <w:ind w:left="0" w:firstLine="480" w:firstLineChars="200"/>
        <w:rPr>
          <w:sz w:val="24"/>
          <w:highlight w:val="none"/>
        </w:rPr>
      </w:pPr>
      <w:r>
        <w:rPr>
          <w:rFonts w:hint="eastAsia"/>
          <w:sz w:val="24"/>
          <w:highlight w:val="none"/>
        </w:rPr>
        <w:t>项目地点：</w:t>
      </w:r>
      <w:r>
        <w:rPr>
          <w:rFonts w:hint="eastAsia"/>
          <w:sz w:val="24"/>
          <w:highlight w:val="none"/>
          <w:lang w:val="en-US" w:eastAsia="zh-CN"/>
        </w:rPr>
        <w:t>广州大学城</w:t>
      </w:r>
    </w:p>
    <w:p>
      <w:pPr>
        <w:numPr>
          <w:ilvl w:val="0"/>
          <w:numId w:val="2"/>
        </w:numPr>
        <w:spacing w:before="120" w:beforeLines="50" w:after="120" w:afterLines="50" w:line="360" w:lineRule="auto"/>
        <w:ind w:left="0" w:firstLine="480" w:firstLineChars="200"/>
        <w:rPr>
          <w:sz w:val="24"/>
          <w:highlight w:val="none"/>
        </w:rPr>
      </w:pPr>
      <w:r>
        <w:rPr>
          <w:rFonts w:hint="eastAsia"/>
          <w:sz w:val="24"/>
          <w:highlight w:val="none"/>
        </w:rPr>
        <w:t>采购限价：人民币</w:t>
      </w:r>
      <w:r>
        <w:rPr>
          <w:rFonts w:hint="eastAsia"/>
          <w:sz w:val="24"/>
          <w:highlight w:val="none"/>
          <w:lang w:val="en-US" w:eastAsia="zh-CN"/>
        </w:rPr>
        <w:t>7.2</w:t>
      </w:r>
      <w:r>
        <w:rPr>
          <w:rFonts w:hint="eastAsia"/>
          <w:sz w:val="24"/>
          <w:highlight w:val="none"/>
        </w:rPr>
        <w:t>万元（投标报价超过采购限价为无效投标）。</w:t>
      </w:r>
    </w:p>
    <w:p>
      <w:pPr>
        <w:numPr>
          <w:ilvl w:val="0"/>
          <w:numId w:val="2"/>
        </w:numPr>
        <w:spacing w:before="120" w:beforeLines="50" w:after="120" w:afterLines="50" w:line="360" w:lineRule="auto"/>
        <w:ind w:left="0" w:firstLine="480" w:firstLineChars="200"/>
        <w:rPr>
          <w:sz w:val="24"/>
          <w:highlight w:val="none"/>
        </w:rPr>
      </w:pPr>
      <w:r>
        <w:rPr>
          <w:rFonts w:hint="eastAsia"/>
          <w:sz w:val="24"/>
          <w:highlight w:val="none"/>
        </w:rPr>
        <w:t>项目概况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3、4#冷站二级泵从投入使用至今已20年了，电机经多次更换轴承后，端盖轴承室存在不同程度的磨损（见下图），轴承外圈和端盖配合超差。经测量，4#冷站1-5#二级泵电机外侧端盖轴承室正偏差0.29mm，内侧端盖轴承室正偏差0.22mm，严重超差（内侧轴承外径240mm，外侧轴承外径200mm，公差为-0.016和+0.030），目前采用涂胶和交替打“麻点”的方法临时应急修复，以临时满足生产需求，但是应急修复的电机运行噪音增大，使用寿命急剧下降，增加维护和运行成本。</w:t>
      </w:r>
    </w:p>
    <w:p>
      <w:pPr>
        <w:jc w:val="center"/>
        <w:rPr>
          <w:rFonts w:ascii="华文仿宋" w:hAnsi="华文仿宋" w:eastAsia="华文仿宋"/>
          <w:sz w:val="28"/>
          <w:szCs w:val="28"/>
        </w:rPr>
      </w:pPr>
      <w:r>
        <w:rPr>
          <w:rFonts w:ascii="华文仿宋" w:hAnsi="华文仿宋" w:eastAsia="华文仿宋"/>
          <w:sz w:val="28"/>
          <w:szCs w:val="28"/>
        </w:rPr>
        <w:drawing>
          <wp:inline distT="0" distB="0" distL="0" distR="0">
            <wp:extent cx="5768340" cy="3959860"/>
            <wp:effectExtent l="0" t="0" r="381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768592" cy="3960000"/>
                    </a:xfrm>
                    <a:prstGeom prst="rect">
                      <a:avLst/>
                    </a:prstGeom>
                    <a:noFill/>
                  </pic:spPr>
                </pic:pic>
              </a:graphicData>
            </a:graphic>
          </wp:inline>
        </w:drawing>
      </w:r>
    </w:p>
    <w:p>
      <w:pPr>
        <w:jc w:val="center"/>
        <w:rPr>
          <w:rFonts w:ascii="华文仿宋" w:hAnsi="华文仿宋" w:eastAsia="华文仿宋"/>
          <w:sz w:val="28"/>
          <w:szCs w:val="28"/>
        </w:rPr>
      </w:pPr>
      <w:r>
        <w:rPr>
          <w:rFonts w:ascii="华文仿宋" w:hAnsi="华文仿宋" w:eastAsia="华文仿宋"/>
          <w:sz w:val="28"/>
          <w:szCs w:val="28"/>
        </w:rPr>
        <w:drawing>
          <wp:inline distT="0" distB="0" distL="0" distR="0">
            <wp:extent cx="5222240" cy="3419475"/>
            <wp:effectExtent l="0" t="0" r="1651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22750" cy="3420000"/>
                    </a:xfrm>
                    <a:prstGeom prst="rect">
                      <a:avLst/>
                    </a:prstGeom>
                    <a:noFill/>
                  </pic:spPr>
                </pic:pic>
              </a:graphicData>
            </a:graphic>
          </wp:inline>
        </w:drawing>
      </w:r>
    </w:p>
    <w:p>
      <w:pPr>
        <w:jc w:val="center"/>
        <w:rPr>
          <w:rFonts w:ascii="华文仿宋" w:hAnsi="华文仿宋" w:eastAsia="华文仿宋"/>
          <w:sz w:val="28"/>
          <w:szCs w:val="28"/>
        </w:rPr>
      </w:pPr>
      <w:r>
        <w:rPr>
          <w:rFonts w:ascii="华文仿宋" w:hAnsi="华文仿宋" w:eastAsia="华文仿宋"/>
          <w:sz w:val="28"/>
          <w:szCs w:val="28"/>
        </w:rPr>
        <w:drawing>
          <wp:inline distT="0" distB="0" distL="0" distR="0">
            <wp:extent cx="5401310" cy="5239385"/>
            <wp:effectExtent l="0" t="0" r="8890" b="184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401310" cy="5239385"/>
                    </a:xfrm>
                    <a:prstGeom prst="rect">
                      <a:avLst/>
                    </a:prstGeom>
                    <a:noFill/>
                  </pic:spPr>
                </pic:pic>
              </a:graphicData>
            </a:graphic>
          </wp:inline>
        </w:drawing>
      </w:r>
    </w:p>
    <w:p>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为满足日益增长的用冷需求，有必要趁此次冬季检修停冷时间较长机会，对冷站二级泵电机前后端盖进行拆检修复轴承室，以改善电机性能和延长使用寿命。</w:t>
      </w:r>
    </w:p>
    <w:p>
      <w:pPr>
        <w:ind w:firstLine="480" w:firstLineChars="2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说明：本竞选文件中，甲方指采购人，乙方指中标人。</w:t>
      </w:r>
    </w:p>
    <w:p>
      <w:pPr>
        <w:numPr>
          <w:ilvl w:val="0"/>
          <w:numId w:val="1"/>
        </w:numPr>
        <w:spacing w:before="120" w:beforeLines="50" w:after="120" w:afterLines="50" w:line="360" w:lineRule="auto"/>
        <w:ind w:left="0" w:firstLine="482" w:firstLineChars="200"/>
        <w:rPr>
          <w:b/>
          <w:bCs/>
          <w:sz w:val="24"/>
          <w:szCs w:val="24"/>
          <w:highlight w:val="none"/>
        </w:rPr>
      </w:pPr>
      <w:r>
        <w:rPr>
          <w:rFonts w:hint="eastAsia"/>
          <w:b/>
          <w:bCs/>
          <w:sz w:val="24"/>
          <w:szCs w:val="24"/>
          <w:highlight w:val="none"/>
        </w:rPr>
        <w:t>合格投标人资格要求</w:t>
      </w:r>
    </w:p>
    <w:p>
      <w:pPr>
        <w:pStyle w:val="35"/>
        <w:numPr>
          <w:ilvl w:val="0"/>
          <w:numId w:val="3"/>
        </w:numPr>
        <w:spacing w:before="156" w:beforeLines="50" w:after="156" w:afterLines="50" w:line="360" w:lineRule="auto"/>
        <w:ind w:left="0" w:firstLine="480"/>
        <w:rPr>
          <w:rFonts w:ascii="宋体" w:hAnsi="宋体" w:eastAsia="宋体"/>
          <w:sz w:val="24"/>
          <w:szCs w:val="24"/>
        </w:rPr>
      </w:pPr>
      <w:r>
        <w:rPr>
          <w:rFonts w:hint="eastAsia" w:ascii="宋体" w:hAnsi="宋体" w:eastAsia="宋体"/>
          <w:sz w:val="24"/>
          <w:szCs w:val="24"/>
        </w:rPr>
        <w:t>必须是具有独立承担民事责任能力、在中华人民共和国境内注册的法人，按国家法律经营；</w:t>
      </w:r>
    </w:p>
    <w:p>
      <w:pPr>
        <w:pStyle w:val="35"/>
        <w:numPr>
          <w:ilvl w:val="0"/>
          <w:numId w:val="3"/>
        </w:numPr>
        <w:spacing w:before="156" w:beforeLines="50" w:after="156" w:afterLines="50" w:line="360" w:lineRule="auto"/>
        <w:ind w:left="0" w:firstLine="480"/>
        <w:rPr>
          <w:rFonts w:hint="eastAsia" w:ascii="宋体" w:hAnsi="宋体" w:eastAsia="宋体"/>
          <w:sz w:val="24"/>
          <w:szCs w:val="24"/>
        </w:rPr>
      </w:pPr>
      <w:r>
        <w:rPr>
          <w:rFonts w:hint="eastAsia" w:ascii="宋体" w:hAnsi="宋体" w:eastAsia="宋体"/>
          <w:sz w:val="24"/>
          <w:szCs w:val="24"/>
        </w:rPr>
        <w:t>投标人未被列入“信用中国”网站(www.creditchina.gov.cn)记录失信被执行人或重大税收违法案件当事人名单,投标人须提供《信用记录承诺函》附“信用中国”网站(www.creditchina.gov.cn)的信用记录查询结果截图并打印页面加盖公章;</w:t>
      </w:r>
    </w:p>
    <w:p>
      <w:pPr>
        <w:pStyle w:val="35"/>
        <w:numPr>
          <w:ilvl w:val="0"/>
          <w:numId w:val="3"/>
        </w:numPr>
        <w:spacing w:before="156" w:beforeLines="50" w:after="156" w:afterLines="50" w:line="360" w:lineRule="auto"/>
        <w:ind w:left="0" w:firstLine="480"/>
        <w:rPr>
          <w:rFonts w:ascii="宋体" w:hAnsi="宋体" w:eastAsia="宋体"/>
          <w:sz w:val="24"/>
          <w:szCs w:val="24"/>
        </w:rPr>
      </w:pPr>
      <w:r>
        <w:rPr>
          <w:rFonts w:hint="eastAsia" w:ascii="宋体" w:hAnsi="宋体" w:eastAsia="宋体"/>
          <w:sz w:val="24"/>
          <w:szCs w:val="24"/>
        </w:rPr>
        <w:t>投标人没有处于被责令停业或破产状态，且资产未被重组、接管和冻结，声明在投标活动中3 年内没有重大违法活动和涉嫌违规行为。(格式自拟)</w:t>
      </w:r>
    </w:p>
    <w:p>
      <w:pPr>
        <w:pStyle w:val="35"/>
        <w:numPr>
          <w:ilvl w:val="0"/>
          <w:numId w:val="3"/>
        </w:numPr>
        <w:spacing w:before="156" w:beforeLines="50" w:after="156" w:afterLines="50" w:line="360" w:lineRule="auto"/>
        <w:ind w:left="0" w:firstLine="480"/>
        <w:rPr>
          <w:rFonts w:ascii="宋体" w:hAnsi="宋体" w:eastAsia="宋体"/>
          <w:sz w:val="24"/>
          <w:szCs w:val="24"/>
        </w:rPr>
      </w:pPr>
      <w:r>
        <w:rPr>
          <w:rFonts w:hint="eastAsia" w:ascii="宋体" w:hAnsi="宋体" w:eastAsia="宋体"/>
          <w:sz w:val="24"/>
          <w:szCs w:val="24"/>
        </w:rPr>
        <w:t>具备有效的工商营业执照、企业法人组织机构代码证书、税务登记证书（或三证合一）；</w:t>
      </w:r>
    </w:p>
    <w:p>
      <w:pPr>
        <w:pStyle w:val="35"/>
        <w:numPr>
          <w:ilvl w:val="0"/>
          <w:numId w:val="3"/>
        </w:numPr>
        <w:spacing w:before="156" w:beforeLines="50" w:after="156" w:afterLines="50" w:line="360" w:lineRule="auto"/>
        <w:ind w:left="0" w:firstLine="480"/>
        <w:rPr>
          <w:rFonts w:ascii="宋体" w:hAnsi="宋体" w:eastAsia="宋体"/>
          <w:sz w:val="24"/>
          <w:szCs w:val="24"/>
        </w:rPr>
      </w:pPr>
      <w:r>
        <w:rPr>
          <w:rFonts w:hint="eastAsia" w:ascii="宋体" w:hAnsi="宋体" w:eastAsia="宋体"/>
          <w:sz w:val="24"/>
          <w:szCs w:val="24"/>
        </w:rPr>
        <w:t>投标人近3年内(20</w:t>
      </w:r>
      <w:r>
        <w:rPr>
          <w:rFonts w:hint="eastAsia" w:ascii="宋体" w:hAnsi="宋体" w:eastAsia="宋体"/>
          <w:sz w:val="24"/>
          <w:szCs w:val="24"/>
          <w:lang w:val="en-US" w:eastAsia="zh-CN"/>
        </w:rPr>
        <w:t>20</w:t>
      </w:r>
      <w:r>
        <w:rPr>
          <w:rFonts w:hint="eastAsia" w:ascii="宋体" w:hAnsi="宋体" w:eastAsia="宋体"/>
          <w:sz w:val="24"/>
          <w:szCs w:val="24"/>
        </w:rPr>
        <w:t>年1月1日至今)完成过质量合格的</w:t>
      </w:r>
      <w:r>
        <w:rPr>
          <w:rFonts w:hint="eastAsia" w:ascii="宋体" w:hAnsi="宋体" w:eastAsia="宋体"/>
          <w:sz w:val="24"/>
          <w:szCs w:val="24"/>
          <w:lang w:val="en-US" w:eastAsia="zh-CN"/>
        </w:rPr>
        <w:t>315KW及以上</w:t>
      </w:r>
      <w:r>
        <w:rPr>
          <w:rFonts w:hint="eastAsia" w:ascii="宋体" w:hAnsi="宋体" w:eastAsia="宋体"/>
          <w:sz w:val="24"/>
          <w:szCs w:val="24"/>
        </w:rPr>
        <w:t>电机</w:t>
      </w:r>
      <w:r>
        <w:rPr>
          <w:rFonts w:hint="eastAsia" w:ascii="宋体" w:hAnsi="宋体"/>
          <w:sz w:val="24"/>
          <w:szCs w:val="24"/>
          <w:lang w:val="en-US" w:eastAsia="zh-CN"/>
        </w:rPr>
        <w:t>维修</w:t>
      </w:r>
      <w:r>
        <w:rPr>
          <w:rFonts w:hint="eastAsia" w:ascii="宋体" w:hAnsi="宋体" w:eastAsia="宋体"/>
          <w:sz w:val="24"/>
          <w:szCs w:val="24"/>
        </w:rPr>
        <w:t>项目业绩（需提供合同</w:t>
      </w:r>
      <w:r>
        <w:rPr>
          <w:rFonts w:hint="eastAsia" w:ascii="宋体" w:hAnsi="宋体" w:eastAsia="宋体"/>
          <w:sz w:val="24"/>
          <w:szCs w:val="24"/>
          <w:lang w:val="en-US" w:eastAsia="zh-CN"/>
        </w:rPr>
        <w:t>及验收证明等</w:t>
      </w:r>
      <w:r>
        <w:rPr>
          <w:rFonts w:hint="eastAsia" w:ascii="宋体" w:hAnsi="宋体" w:eastAsia="宋体"/>
          <w:sz w:val="24"/>
          <w:szCs w:val="24"/>
        </w:rPr>
        <w:t>相关证明材料复印件；</w:t>
      </w:r>
      <w:r>
        <w:rPr>
          <w:rFonts w:hint="eastAsia" w:ascii="宋体" w:hAnsi="宋体" w:eastAsia="宋体"/>
          <w:sz w:val="24"/>
          <w:szCs w:val="24"/>
          <w:lang w:eastAsia="zh-CN"/>
        </w:rPr>
        <w:t>）</w:t>
      </w:r>
    </w:p>
    <w:p>
      <w:pPr>
        <w:pStyle w:val="35"/>
        <w:numPr>
          <w:ilvl w:val="0"/>
          <w:numId w:val="3"/>
        </w:numPr>
        <w:spacing w:before="156" w:beforeLines="50" w:after="156" w:afterLines="50" w:line="360" w:lineRule="auto"/>
        <w:ind w:left="0" w:firstLine="480"/>
        <w:rPr>
          <w:rFonts w:ascii="宋体" w:hAnsi="宋体" w:eastAsia="宋体"/>
          <w:sz w:val="24"/>
          <w:szCs w:val="24"/>
        </w:rPr>
      </w:pPr>
      <w:r>
        <w:rPr>
          <w:rFonts w:hint="eastAsia" w:ascii="宋体" w:hAnsi="宋体" w:eastAsia="宋体"/>
          <w:sz w:val="24"/>
          <w:szCs w:val="24"/>
        </w:rPr>
        <w:t>不接受联合体报价。</w:t>
      </w:r>
    </w:p>
    <w:p>
      <w:pPr>
        <w:numPr>
          <w:ilvl w:val="0"/>
          <w:numId w:val="1"/>
        </w:numPr>
        <w:spacing w:before="120" w:beforeLines="50" w:after="120" w:afterLines="50" w:line="360" w:lineRule="auto"/>
        <w:ind w:left="0" w:firstLine="482" w:firstLineChars="200"/>
        <w:rPr>
          <w:b/>
          <w:bCs/>
          <w:sz w:val="24"/>
          <w:szCs w:val="24"/>
          <w:highlight w:val="none"/>
        </w:rPr>
      </w:pPr>
      <w:r>
        <w:rPr>
          <w:rFonts w:hint="eastAsia"/>
          <w:b/>
          <w:bCs/>
          <w:sz w:val="24"/>
          <w:szCs w:val="24"/>
          <w:highlight w:val="none"/>
        </w:rPr>
        <w:t>项目</w:t>
      </w:r>
      <w:r>
        <w:rPr>
          <w:rFonts w:hint="eastAsia"/>
          <w:b/>
          <w:bCs/>
          <w:sz w:val="24"/>
          <w:szCs w:val="24"/>
          <w:highlight w:val="none"/>
          <w:lang w:val="en-US" w:eastAsia="zh-CN"/>
        </w:rPr>
        <w:t>工作范围</w:t>
      </w:r>
      <w:r>
        <w:rPr>
          <w:rFonts w:hint="eastAsia"/>
          <w:b/>
          <w:bCs/>
          <w:sz w:val="24"/>
          <w:szCs w:val="24"/>
          <w:highlight w:val="none"/>
        </w:rPr>
        <w:t>及要求</w:t>
      </w:r>
    </w:p>
    <w:tbl>
      <w:tblPr>
        <w:tblStyle w:val="23"/>
        <w:tblW w:w="9380" w:type="dxa"/>
        <w:tblInd w:w="0" w:type="dxa"/>
        <w:tblLayout w:type="fixed"/>
        <w:tblCellMar>
          <w:top w:w="0" w:type="dxa"/>
          <w:left w:w="108" w:type="dxa"/>
          <w:bottom w:w="0" w:type="dxa"/>
          <w:right w:w="108" w:type="dxa"/>
        </w:tblCellMar>
      </w:tblPr>
      <w:tblGrid>
        <w:gridCol w:w="620"/>
        <w:gridCol w:w="620"/>
        <w:gridCol w:w="1307"/>
        <w:gridCol w:w="1516"/>
        <w:gridCol w:w="680"/>
        <w:gridCol w:w="800"/>
        <w:gridCol w:w="800"/>
        <w:gridCol w:w="740"/>
        <w:gridCol w:w="1134"/>
        <w:gridCol w:w="1163"/>
      </w:tblGrid>
      <w:tr>
        <w:tblPrEx>
          <w:tblLayout w:type="fixed"/>
          <w:tblCellMar>
            <w:top w:w="0" w:type="dxa"/>
            <w:left w:w="108" w:type="dxa"/>
            <w:bottom w:w="0" w:type="dxa"/>
            <w:right w:w="108" w:type="dxa"/>
          </w:tblCellMar>
        </w:tblPrEx>
        <w:trPr>
          <w:trHeight w:val="600" w:hRule="atLeast"/>
        </w:trPr>
        <w:tc>
          <w:tcPr>
            <w:tcW w:w="6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序号</w:t>
            </w:r>
          </w:p>
        </w:tc>
        <w:tc>
          <w:tcPr>
            <w:tcW w:w="62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站点</w:t>
            </w:r>
          </w:p>
        </w:tc>
        <w:tc>
          <w:tcPr>
            <w:tcW w:w="13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设备</w:t>
            </w:r>
          </w:p>
        </w:tc>
        <w:tc>
          <w:tcPr>
            <w:tcW w:w="151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电机型号</w:t>
            </w:r>
          </w:p>
        </w:tc>
        <w:tc>
          <w:tcPr>
            <w:tcW w:w="6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功率KW</w:t>
            </w:r>
          </w:p>
        </w:tc>
        <w:tc>
          <w:tcPr>
            <w:tcW w:w="8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转速r/min</w:t>
            </w:r>
          </w:p>
        </w:tc>
        <w:tc>
          <w:tcPr>
            <w:tcW w:w="8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额 定  电流 A</w:t>
            </w:r>
          </w:p>
        </w:tc>
        <w:tc>
          <w:tcPr>
            <w:tcW w:w="7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厂家</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轴承</w:t>
            </w:r>
          </w:p>
        </w:tc>
        <w:tc>
          <w:tcPr>
            <w:tcW w:w="116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备注</w:t>
            </w:r>
          </w:p>
        </w:tc>
      </w:tr>
      <w:tr>
        <w:tblPrEx>
          <w:tblLayout w:type="fixed"/>
          <w:tblCellMar>
            <w:top w:w="0" w:type="dxa"/>
            <w:left w:w="108" w:type="dxa"/>
            <w:bottom w:w="0" w:type="dxa"/>
            <w:right w:w="108" w:type="dxa"/>
          </w:tblCellMar>
        </w:tblPrEx>
        <w:trPr>
          <w:trHeight w:val="454" w:hRule="exac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1</w:t>
            </w:r>
          </w:p>
        </w:tc>
        <w:tc>
          <w:tcPr>
            <w:tcW w:w="6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2#站</w:t>
            </w:r>
          </w:p>
        </w:tc>
        <w:tc>
          <w:tcPr>
            <w:tcW w:w="130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szCs w:val="21"/>
              </w:rPr>
            </w:pPr>
            <w:r>
              <w:rPr>
                <w:rFonts w:hint="eastAsia" w:ascii="仿宋" w:hAnsi="仿宋" w:eastAsia="仿宋" w:cs="宋体"/>
                <w:kern w:val="0"/>
                <w:sz w:val="20"/>
                <w:szCs w:val="21"/>
              </w:rPr>
              <w:t>1-1#二级泵</w:t>
            </w:r>
          </w:p>
        </w:tc>
        <w:tc>
          <w:tcPr>
            <w:tcW w:w="151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M2CA355LA4B3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315</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1485</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545</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ABB</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6322/6319</w:t>
            </w:r>
          </w:p>
        </w:tc>
        <w:tc>
          <w:tcPr>
            <w:tcW w:w="116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　</w:t>
            </w:r>
          </w:p>
        </w:tc>
      </w:tr>
      <w:tr>
        <w:tblPrEx>
          <w:tblLayout w:type="fixed"/>
          <w:tblCellMar>
            <w:top w:w="0" w:type="dxa"/>
            <w:left w:w="108" w:type="dxa"/>
            <w:bottom w:w="0" w:type="dxa"/>
            <w:right w:w="108" w:type="dxa"/>
          </w:tblCellMar>
        </w:tblPrEx>
        <w:trPr>
          <w:trHeight w:val="454" w:hRule="exac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2</w:t>
            </w:r>
          </w:p>
        </w:tc>
        <w:tc>
          <w:tcPr>
            <w:tcW w:w="6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2#站</w:t>
            </w:r>
          </w:p>
        </w:tc>
        <w:tc>
          <w:tcPr>
            <w:tcW w:w="130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szCs w:val="21"/>
              </w:rPr>
            </w:pPr>
            <w:r>
              <w:rPr>
                <w:rFonts w:hint="eastAsia" w:ascii="仿宋" w:hAnsi="仿宋" w:eastAsia="仿宋" w:cs="宋体"/>
                <w:kern w:val="0"/>
                <w:sz w:val="20"/>
                <w:szCs w:val="21"/>
              </w:rPr>
              <w:t>1-2#二级泵</w:t>
            </w:r>
          </w:p>
        </w:tc>
        <w:tc>
          <w:tcPr>
            <w:tcW w:w="151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M2CA355LA4B3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315</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1485</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545</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ABB</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6322/6319</w:t>
            </w:r>
          </w:p>
        </w:tc>
        <w:tc>
          <w:tcPr>
            <w:tcW w:w="116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　</w:t>
            </w:r>
          </w:p>
        </w:tc>
      </w:tr>
      <w:tr>
        <w:tblPrEx>
          <w:tblLayout w:type="fixed"/>
          <w:tblCellMar>
            <w:top w:w="0" w:type="dxa"/>
            <w:left w:w="108" w:type="dxa"/>
            <w:bottom w:w="0" w:type="dxa"/>
            <w:right w:w="108" w:type="dxa"/>
          </w:tblCellMar>
        </w:tblPrEx>
        <w:trPr>
          <w:trHeight w:val="454" w:hRule="exac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3</w:t>
            </w:r>
          </w:p>
        </w:tc>
        <w:tc>
          <w:tcPr>
            <w:tcW w:w="6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2#站</w:t>
            </w:r>
          </w:p>
        </w:tc>
        <w:tc>
          <w:tcPr>
            <w:tcW w:w="130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szCs w:val="21"/>
              </w:rPr>
            </w:pPr>
            <w:r>
              <w:rPr>
                <w:rFonts w:hint="eastAsia" w:ascii="仿宋" w:hAnsi="仿宋" w:eastAsia="仿宋" w:cs="宋体"/>
                <w:kern w:val="0"/>
                <w:sz w:val="20"/>
                <w:szCs w:val="21"/>
              </w:rPr>
              <w:t>1-3#二级泵</w:t>
            </w:r>
          </w:p>
        </w:tc>
        <w:tc>
          <w:tcPr>
            <w:tcW w:w="151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355ML4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315</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1485</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560</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WEG</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6322/6319</w:t>
            </w:r>
          </w:p>
        </w:tc>
        <w:tc>
          <w:tcPr>
            <w:tcW w:w="116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　</w:t>
            </w:r>
          </w:p>
        </w:tc>
      </w:tr>
      <w:tr>
        <w:tblPrEx>
          <w:tblLayout w:type="fixed"/>
          <w:tblCellMar>
            <w:top w:w="0" w:type="dxa"/>
            <w:left w:w="108" w:type="dxa"/>
            <w:bottom w:w="0" w:type="dxa"/>
            <w:right w:w="108" w:type="dxa"/>
          </w:tblCellMar>
        </w:tblPrEx>
        <w:trPr>
          <w:trHeight w:val="454" w:hRule="exac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4</w:t>
            </w:r>
          </w:p>
        </w:tc>
        <w:tc>
          <w:tcPr>
            <w:tcW w:w="6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2#站</w:t>
            </w:r>
          </w:p>
        </w:tc>
        <w:tc>
          <w:tcPr>
            <w:tcW w:w="130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szCs w:val="21"/>
              </w:rPr>
            </w:pPr>
            <w:r>
              <w:rPr>
                <w:rFonts w:hint="eastAsia" w:ascii="仿宋" w:hAnsi="仿宋" w:eastAsia="仿宋" w:cs="宋体"/>
                <w:kern w:val="0"/>
                <w:sz w:val="20"/>
                <w:szCs w:val="21"/>
              </w:rPr>
              <w:t>1-4#二级泵</w:t>
            </w:r>
          </w:p>
        </w:tc>
        <w:tc>
          <w:tcPr>
            <w:tcW w:w="151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355ML4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315</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1485</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560</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WEG</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6322/6319</w:t>
            </w:r>
          </w:p>
        </w:tc>
        <w:tc>
          <w:tcPr>
            <w:tcW w:w="116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　</w:t>
            </w:r>
          </w:p>
        </w:tc>
      </w:tr>
      <w:tr>
        <w:tblPrEx>
          <w:tblLayout w:type="fixed"/>
          <w:tblCellMar>
            <w:top w:w="0" w:type="dxa"/>
            <w:left w:w="108" w:type="dxa"/>
            <w:bottom w:w="0" w:type="dxa"/>
            <w:right w:w="108" w:type="dxa"/>
          </w:tblCellMar>
        </w:tblPrEx>
        <w:trPr>
          <w:trHeight w:val="454" w:hRule="exac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5</w:t>
            </w:r>
          </w:p>
        </w:tc>
        <w:tc>
          <w:tcPr>
            <w:tcW w:w="6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2#站</w:t>
            </w:r>
          </w:p>
        </w:tc>
        <w:tc>
          <w:tcPr>
            <w:tcW w:w="130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szCs w:val="21"/>
              </w:rPr>
            </w:pPr>
            <w:r>
              <w:rPr>
                <w:rFonts w:hint="eastAsia" w:ascii="仿宋" w:hAnsi="仿宋" w:eastAsia="仿宋" w:cs="宋体"/>
                <w:kern w:val="0"/>
                <w:sz w:val="20"/>
                <w:szCs w:val="21"/>
              </w:rPr>
              <w:t>2-1#二级泵</w:t>
            </w:r>
          </w:p>
        </w:tc>
        <w:tc>
          <w:tcPr>
            <w:tcW w:w="151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M2QA315S4A</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110</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1480</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192</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ABB</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6319/6316</w:t>
            </w:r>
          </w:p>
        </w:tc>
        <w:tc>
          <w:tcPr>
            <w:tcW w:w="116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　</w:t>
            </w:r>
          </w:p>
        </w:tc>
      </w:tr>
      <w:tr>
        <w:tblPrEx>
          <w:tblLayout w:type="fixed"/>
          <w:tblCellMar>
            <w:top w:w="0" w:type="dxa"/>
            <w:left w:w="108" w:type="dxa"/>
            <w:bottom w:w="0" w:type="dxa"/>
            <w:right w:w="108" w:type="dxa"/>
          </w:tblCellMar>
        </w:tblPrEx>
        <w:trPr>
          <w:trHeight w:val="454" w:hRule="exac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6</w:t>
            </w:r>
          </w:p>
        </w:tc>
        <w:tc>
          <w:tcPr>
            <w:tcW w:w="6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2#站</w:t>
            </w:r>
          </w:p>
        </w:tc>
        <w:tc>
          <w:tcPr>
            <w:tcW w:w="130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szCs w:val="21"/>
              </w:rPr>
            </w:pPr>
            <w:r>
              <w:rPr>
                <w:rFonts w:hint="eastAsia" w:ascii="仿宋" w:hAnsi="仿宋" w:eastAsia="仿宋" w:cs="宋体"/>
                <w:kern w:val="0"/>
                <w:sz w:val="20"/>
                <w:szCs w:val="21"/>
              </w:rPr>
              <w:t>2-2#二级泵</w:t>
            </w:r>
          </w:p>
        </w:tc>
        <w:tc>
          <w:tcPr>
            <w:tcW w:w="151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M2QA315S4A</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110</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1480</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192</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ABB</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6319/6316</w:t>
            </w:r>
          </w:p>
        </w:tc>
        <w:tc>
          <w:tcPr>
            <w:tcW w:w="116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　</w:t>
            </w:r>
          </w:p>
        </w:tc>
      </w:tr>
      <w:tr>
        <w:tblPrEx>
          <w:tblLayout w:type="fixed"/>
          <w:tblCellMar>
            <w:top w:w="0" w:type="dxa"/>
            <w:left w:w="108" w:type="dxa"/>
            <w:bottom w:w="0" w:type="dxa"/>
            <w:right w:w="108" w:type="dxa"/>
          </w:tblCellMar>
        </w:tblPrEx>
        <w:trPr>
          <w:trHeight w:val="454" w:hRule="exac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7</w:t>
            </w:r>
          </w:p>
        </w:tc>
        <w:tc>
          <w:tcPr>
            <w:tcW w:w="6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2#站</w:t>
            </w:r>
          </w:p>
        </w:tc>
        <w:tc>
          <w:tcPr>
            <w:tcW w:w="130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szCs w:val="21"/>
              </w:rPr>
            </w:pPr>
            <w:r>
              <w:rPr>
                <w:rFonts w:hint="eastAsia" w:ascii="仿宋" w:hAnsi="仿宋" w:eastAsia="仿宋" w:cs="宋体"/>
                <w:kern w:val="0"/>
                <w:sz w:val="20"/>
                <w:szCs w:val="21"/>
              </w:rPr>
              <w:t>3-2#二级泵</w:t>
            </w:r>
          </w:p>
        </w:tc>
        <w:tc>
          <w:tcPr>
            <w:tcW w:w="151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M2CA355LB4B3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355</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1489</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605</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ABB</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6322/6319</w:t>
            </w:r>
          </w:p>
        </w:tc>
        <w:tc>
          <w:tcPr>
            <w:tcW w:w="116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　</w:t>
            </w:r>
          </w:p>
        </w:tc>
      </w:tr>
      <w:tr>
        <w:tblPrEx>
          <w:tblLayout w:type="fixed"/>
          <w:tblCellMar>
            <w:top w:w="0" w:type="dxa"/>
            <w:left w:w="108" w:type="dxa"/>
            <w:bottom w:w="0" w:type="dxa"/>
            <w:right w:w="108" w:type="dxa"/>
          </w:tblCellMar>
        </w:tblPrEx>
        <w:trPr>
          <w:trHeight w:val="454" w:hRule="exac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8</w:t>
            </w:r>
          </w:p>
        </w:tc>
        <w:tc>
          <w:tcPr>
            <w:tcW w:w="6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2#站</w:t>
            </w:r>
          </w:p>
        </w:tc>
        <w:tc>
          <w:tcPr>
            <w:tcW w:w="130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szCs w:val="21"/>
              </w:rPr>
            </w:pPr>
            <w:r>
              <w:rPr>
                <w:rFonts w:hint="eastAsia" w:ascii="仿宋" w:hAnsi="仿宋" w:eastAsia="仿宋" w:cs="宋体"/>
                <w:kern w:val="0"/>
                <w:sz w:val="20"/>
                <w:szCs w:val="21"/>
              </w:rPr>
              <w:t>3-3#二级泵</w:t>
            </w:r>
          </w:p>
        </w:tc>
        <w:tc>
          <w:tcPr>
            <w:tcW w:w="151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M2CA355LB4B3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355</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1489</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605</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ABB</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6322/6319</w:t>
            </w:r>
          </w:p>
        </w:tc>
        <w:tc>
          <w:tcPr>
            <w:tcW w:w="116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　</w:t>
            </w:r>
          </w:p>
        </w:tc>
      </w:tr>
      <w:tr>
        <w:tblPrEx>
          <w:tblLayout w:type="fixed"/>
          <w:tblCellMar>
            <w:top w:w="0" w:type="dxa"/>
            <w:left w:w="108" w:type="dxa"/>
            <w:bottom w:w="0" w:type="dxa"/>
            <w:right w:w="108" w:type="dxa"/>
          </w:tblCellMar>
        </w:tblPrEx>
        <w:trPr>
          <w:trHeight w:val="454" w:hRule="exac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9</w:t>
            </w:r>
          </w:p>
        </w:tc>
        <w:tc>
          <w:tcPr>
            <w:tcW w:w="6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2#站</w:t>
            </w:r>
          </w:p>
        </w:tc>
        <w:tc>
          <w:tcPr>
            <w:tcW w:w="130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szCs w:val="21"/>
              </w:rPr>
            </w:pPr>
            <w:r>
              <w:rPr>
                <w:rFonts w:hint="eastAsia" w:ascii="仿宋" w:hAnsi="仿宋" w:eastAsia="仿宋" w:cs="宋体"/>
                <w:kern w:val="0"/>
                <w:sz w:val="20"/>
                <w:szCs w:val="21"/>
              </w:rPr>
              <w:t>3-5#二级泵</w:t>
            </w:r>
          </w:p>
        </w:tc>
        <w:tc>
          <w:tcPr>
            <w:tcW w:w="151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BF6355L407</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355</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1490</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625</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WEG</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6222/6219</w:t>
            </w:r>
          </w:p>
        </w:tc>
        <w:tc>
          <w:tcPr>
            <w:tcW w:w="116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　</w:t>
            </w:r>
          </w:p>
        </w:tc>
      </w:tr>
      <w:tr>
        <w:tblPrEx>
          <w:tblLayout w:type="fixed"/>
          <w:tblCellMar>
            <w:top w:w="0" w:type="dxa"/>
            <w:left w:w="108" w:type="dxa"/>
            <w:bottom w:w="0" w:type="dxa"/>
            <w:right w:w="108" w:type="dxa"/>
          </w:tblCellMar>
        </w:tblPrEx>
        <w:trPr>
          <w:trHeight w:val="454" w:hRule="exac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10</w:t>
            </w:r>
          </w:p>
        </w:tc>
        <w:tc>
          <w:tcPr>
            <w:tcW w:w="6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3#站</w:t>
            </w:r>
          </w:p>
        </w:tc>
        <w:tc>
          <w:tcPr>
            <w:tcW w:w="130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szCs w:val="21"/>
              </w:rPr>
            </w:pPr>
            <w:r>
              <w:rPr>
                <w:rFonts w:hint="eastAsia" w:ascii="仿宋" w:hAnsi="仿宋" w:eastAsia="仿宋" w:cs="宋体"/>
                <w:kern w:val="0"/>
                <w:sz w:val="20"/>
                <w:szCs w:val="21"/>
              </w:rPr>
              <w:t>3-1#二级泵</w:t>
            </w:r>
          </w:p>
        </w:tc>
        <w:tc>
          <w:tcPr>
            <w:tcW w:w="151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M2CA355LKD4B3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400</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1489</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680</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ABB</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6322/6319</w:t>
            </w:r>
          </w:p>
        </w:tc>
        <w:tc>
          <w:tcPr>
            <w:tcW w:w="116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　</w:t>
            </w:r>
          </w:p>
        </w:tc>
      </w:tr>
      <w:tr>
        <w:tblPrEx>
          <w:tblLayout w:type="fixed"/>
          <w:tblCellMar>
            <w:top w:w="0" w:type="dxa"/>
            <w:left w:w="108" w:type="dxa"/>
            <w:bottom w:w="0" w:type="dxa"/>
            <w:right w:w="108" w:type="dxa"/>
          </w:tblCellMar>
        </w:tblPrEx>
        <w:trPr>
          <w:trHeight w:val="454" w:hRule="exac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11</w:t>
            </w:r>
          </w:p>
        </w:tc>
        <w:tc>
          <w:tcPr>
            <w:tcW w:w="6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3#站</w:t>
            </w:r>
          </w:p>
        </w:tc>
        <w:tc>
          <w:tcPr>
            <w:tcW w:w="130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szCs w:val="21"/>
              </w:rPr>
            </w:pPr>
            <w:r>
              <w:rPr>
                <w:rFonts w:hint="eastAsia" w:ascii="仿宋" w:hAnsi="仿宋" w:eastAsia="仿宋" w:cs="宋体"/>
                <w:kern w:val="0"/>
                <w:sz w:val="20"/>
                <w:szCs w:val="21"/>
              </w:rPr>
              <w:t>3-2#二级泵</w:t>
            </w:r>
          </w:p>
        </w:tc>
        <w:tc>
          <w:tcPr>
            <w:tcW w:w="151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M2CA355LKD4B3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400</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1489</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680</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ABB</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6322/6319</w:t>
            </w:r>
          </w:p>
        </w:tc>
        <w:tc>
          <w:tcPr>
            <w:tcW w:w="116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　</w:t>
            </w:r>
          </w:p>
        </w:tc>
      </w:tr>
      <w:tr>
        <w:tblPrEx>
          <w:tblLayout w:type="fixed"/>
          <w:tblCellMar>
            <w:top w:w="0" w:type="dxa"/>
            <w:left w:w="108" w:type="dxa"/>
            <w:bottom w:w="0" w:type="dxa"/>
            <w:right w:w="108" w:type="dxa"/>
          </w:tblCellMar>
        </w:tblPrEx>
        <w:trPr>
          <w:trHeight w:val="454" w:hRule="exac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12</w:t>
            </w:r>
          </w:p>
        </w:tc>
        <w:tc>
          <w:tcPr>
            <w:tcW w:w="6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3#站</w:t>
            </w:r>
          </w:p>
        </w:tc>
        <w:tc>
          <w:tcPr>
            <w:tcW w:w="130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szCs w:val="21"/>
              </w:rPr>
            </w:pPr>
            <w:r>
              <w:rPr>
                <w:rFonts w:hint="eastAsia" w:ascii="仿宋" w:hAnsi="仿宋" w:eastAsia="仿宋" w:cs="宋体"/>
                <w:kern w:val="0"/>
                <w:sz w:val="20"/>
                <w:szCs w:val="21"/>
              </w:rPr>
              <w:t>3-3#二级泵</w:t>
            </w:r>
          </w:p>
        </w:tc>
        <w:tc>
          <w:tcPr>
            <w:tcW w:w="151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M2CA355LKD4B3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400</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1489</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680</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ABB</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6322/6319</w:t>
            </w:r>
          </w:p>
        </w:tc>
        <w:tc>
          <w:tcPr>
            <w:tcW w:w="116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　</w:t>
            </w:r>
          </w:p>
        </w:tc>
      </w:tr>
      <w:tr>
        <w:tblPrEx>
          <w:tblLayout w:type="fixed"/>
          <w:tblCellMar>
            <w:top w:w="0" w:type="dxa"/>
            <w:left w:w="108" w:type="dxa"/>
            <w:bottom w:w="0" w:type="dxa"/>
            <w:right w:w="108" w:type="dxa"/>
          </w:tblCellMar>
        </w:tblPrEx>
        <w:trPr>
          <w:trHeight w:val="454" w:hRule="exac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13</w:t>
            </w:r>
          </w:p>
        </w:tc>
        <w:tc>
          <w:tcPr>
            <w:tcW w:w="6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3#站</w:t>
            </w:r>
          </w:p>
        </w:tc>
        <w:tc>
          <w:tcPr>
            <w:tcW w:w="130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szCs w:val="21"/>
              </w:rPr>
            </w:pPr>
            <w:r>
              <w:rPr>
                <w:rFonts w:hint="eastAsia" w:ascii="仿宋" w:hAnsi="仿宋" w:eastAsia="仿宋" w:cs="宋体"/>
                <w:kern w:val="0"/>
                <w:sz w:val="20"/>
                <w:szCs w:val="21"/>
              </w:rPr>
              <w:t>3-4#二级泵</w:t>
            </w:r>
          </w:p>
        </w:tc>
        <w:tc>
          <w:tcPr>
            <w:tcW w:w="151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BF6355J406RL2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400</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1488</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687</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WEG</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6222/6219</w:t>
            </w:r>
          </w:p>
        </w:tc>
        <w:tc>
          <w:tcPr>
            <w:tcW w:w="116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　</w:t>
            </w:r>
          </w:p>
        </w:tc>
      </w:tr>
      <w:tr>
        <w:tblPrEx>
          <w:tblLayout w:type="fixed"/>
          <w:tblCellMar>
            <w:top w:w="0" w:type="dxa"/>
            <w:left w:w="108" w:type="dxa"/>
            <w:bottom w:w="0" w:type="dxa"/>
            <w:right w:w="108" w:type="dxa"/>
          </w:tblCellMar>
        </w:tblPrEx>
        <w:trPr>
          <w:trHeight w:val="454" w:hRule="exac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14</w:t>
            </w:r>
          </w:p>
        </w:tc>
        <w:tc>
          <w:tcPr>
            <w:tcW w:w="6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3#站</w:t>
            </w:r>
          </w:p>
        </w:tc>
        <w:tc>
          <w:tcPr>
            <w:tcW w:w="130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szCs w:val="21"/>
              </w:rPr>
            </w:pPr>
            <w:r>
              <w:rPr>
                <w:rFonts w:hint="eastAsia" w:ascii="仿宋" w:hAnsi="仿宋" w:eastAsia="仿宋" w:cs="宋体"/>
                <w:kern w:val="0"/>
                <w:sz w:val="20"/>
                <w:szCs w:val="21"/>
              </w:rPr>
              <w:t>3-5#二级泵</w:t>
            </w:r>
          </w:p>
        </w:tc>
        <w:tc>
          <w:tcPr>
            <w:tcW w:w="151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BF6355J406RL2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400</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1488</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687</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WEG</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6222/6219</w:t>
            </w:r>
          </w:p>
        </w:tc>
        <w:tc>
          <w:tcPr>
            <w:tcW w:w="116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　</w:t>
            </w:r>
          </w:p>
        </w:tc>
      </w:tr>
      <w:tr>
        <w:tblPrEx>
          <w:tblLayout w:type="fixed"/>
          <w:tblCellMar>
            <w:top w:w="0" w:type="dxa"/>
            <w:left w:w="108" w:type="dxa"/>
            <w:bottom w:w="0" w:type="dxa"/>
            <w:right w:w="108" w:type="dxa"/>
          </w:tblCellMar>
        </w:tblPrEx>
        <w:trPr>
          <w:trHeight w:val="454" w:hRule="exac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15</w:t>
            </w:r>
          </w:p>
        </w:tc>
        <w:tc>
          <w:tcPr>
            <w:tcW w:w="6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4#站</w:t>
            </w:r>
          </w:p>
        </w:tc>
        <w:tc>
          <w:tcPr>
            <w:tcW w:w="130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szCs w:val="21"/>
              </w:rPr>
            </w:pPr>
            <w:r>
              <w:rPr>
                <w:rFonts w:hint="eastAsia" w:ascii="仿宋" w:hAnsi="仿宋" w:eastAsia="仿宋" w:cs="宋体"/>
                <w:kern w:val="0"/>
                <w:sz w:val="20"/>
                <w:szCs w:val="21"/>
              </w:rPr>
              <w:t>1-2#二级泵</w:t>
            </w:r>
          </w:p>
        </w:tc>
        <w:tc>
          <w:tcPr>
            <w:tcW w:w="151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BF6355J406</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400</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1488</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687</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WEG</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6222/6219</w:t>
            </w:r>
          </w:p>
        </w:tc>
        <w:tc>
          <w:tcPr>
            <w:tcW w:w="116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　</w:t>
            </w:r>
          </w:p>
        </w:tc>
      </w:tr>
      <w:tr>
        <w:tblPrEx>
          <w:tblLayout w:type="fixed"/>
          <w:tblCellMar>
            <w:top w:w="0" w:type="dxa"/>
            <w:left w:w="108" w:type="dxa"/>
            <w:bottom w:w="0" w:type="dxa"/>
            <w:right w:w="108" w:type="dxa"/>
          </w:tblCellMar>
        </w:tblPrEx>
        <w:trPr>
          <w:trHeight w:val="454" w:hRule="exac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16</w:t>
            </w:r>
          </w:p>
        </w:tc>
        <w:tc>
          <w:tcPr>
            <w:tcW w:w="6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4#站</w:t>
            </w:r>
          </w:p>
        </w:tc>
        <w:tc>
          <w:tcPr>
            <w:tcW w:w="130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szCs w:val="21"/>
              </w:rPr>
            </w:pPr>
            <w:r>
              <w:rPr>
                <w:rFonts w:hint="eastAsia" w:ascii="仿宋" w:hAnsi="仿宋" w:eastAsia="仿宋" w:cs="宋体"/>
                <w:kern w:val="0"/>
                <w:sz w:val="20"/>
                <w:szCs w:val="21"/>
              </w:rPr>
              <w:t>1-3#二级泵</w:t>
            </w:r>
          </w:p>
        </w:tc>
        <w:tc>
          <w:tcPr>
            <w:tcW w:w="151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BF6355J406</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400</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1488</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687</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WEG</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6222/6219</w:t>
            </w:r>
          </w:p>
        </w:tc>
        <w:tc>
          <w:tcPr>
            <w:tcW w:w="116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　</w:t>
            </w:r>
          </w:p>
        </w:tc>
      </w:tr>
      <w:tr>
        <w:tblPrEx>
          <w:tblLayout w:type="fixed"/>
          <w:tblCellMar>
            <w:top w:w="0" w:type="dxa"/>
            <w:left w:w="108" w:type="dxa"/>
            <w:bottom w:w="0" w:type="dxa"/>
            <w:right w:w="108" w:type="dxa"/>
          </w:tblCellMar>
        </w:tblPrEx>
        <w:trPr>
          <w:trHeight w:val="454" w:hRule="exac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17</w:t>
            </w:r>
          </w:p>
        </w:tc>
        <w:tc>
          <w:tcPr>
            <w:tcW w:w="6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4#站</w:t>
            </w:r>
          </w:p>
        </w:tc>
        <w:tc>
          <w:tcPr>
            <w:tcW w:w="130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szCs w:val="21"/>
              </w:rPr>
            </w:pPr>
            <w:r>
              <w:rPr>
                <w:rFonts w:hint="eastAsia" w:ascii="仿宋" w:hAnsi="仿宋" w:eastAsia="仿宋" w:cs="宋体"/>
                <w:kern w:val="0"/>
                <w:sz w:val="20"/>
                <w:szCs w:val="21"/>
              </w:rPr>
              <w:t>1-4#二级泵</w:t>
            </w:r>
          </w:p>
        </w:tc>
        <w:tc>
          <w:tcPr>
            <w:tcW w:w="151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M2CA355LKD4B3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400</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1489</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687</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ABB</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6322/6319</w:t>
            </w:r>
          </w:p>
        </w:tc>
        <w:tc>
          <w:tcPr>
            <w:tcW w:w="116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1"/>
              </w:rPr>
            </w:pPr>
            <w:r>
              <w:rPr>
                <w:rFonts w:hint="eastAsia" w:ascii="仿宋" w:hAnsi="仿宋" w:eastAsia="仿宋" w:cs="宋体"/>
                <w:kern w:val="0"/>
                <w:sz w:val="20"/>
                <w:szCs w:val="21"/>
              </w:rPr>
              <w:t>　</w:t>
            </w:r>
          </w:p>
        </w:tc>
      </w:tr>
      <w:tr>
        <w:tblPrEx>
          <w:tblLayout w:type="fixed"/>
          <w:tblCellMar>
            <w:top w:w="0" w:type="dxa"/>
            <w:left w:w="108" w:type="dxa"/>
            <w:bottom w:w="0" w:type="dxa"/>
            <w:right w:w="108" w:type="dxa"/>
          </w:tblCellMar>
        </w:tblPrEx>
        <w:trPr>
          <w:trHeight w:val="454" w:hRule="exac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18</w:t>
            </w:r>
          </w:p>
        </w:tc>
        <w:tc>
          <w:tcPr>
            <w:tcW w:w="6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4#站</w:t>
            </w:r>
          </w:p>
        </w:tc>
        <w:tc>
          <w:tcPr>
            <w:tcW w:w="130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szCs w:val="20"/>
              </w:rPr>
            </w:pPr>
            <w:r>
              <w:rPr>
                <w:rFonts w:hint="eastAsia" w:ascii="仿宋" w:hAnsi="仿宋" w:eastAsia="仿宋" w:cs="宋体"/>
                <w:kern w:val="0"/>
                <w:sz w:val="20"/>
                <w:szCs w:val="20"/>
              </w:rPr>
              <w:t>1-5#二级泵</w:t>
            </w:r>
          </w:p>
        </w:tc>
        <w:tc>
          <w:tcPr>
            <w:tcW w:w="151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M2CA355LKD4B4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400</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1489</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687</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ABB</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6322/6319</w:t>
            </w:r>
          </w:p>
        </w:tc>
        <w:tc>
          <w:tcPr>
            <w:tcW w:w="116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r>
      <w:tr>
        <w:tblPrEx>
          <w:tblLayout w:type="fixed"/>
          <w:tblCellMar>
            <w:top w:w="0" w:type="dxa"/>
            <w:left w:w="108" w:type="dxa"/>
            <w:bottom w:w="0" w:type="dxa"/>
            <w:right w:w="108" w:type="dxa"/>
          </w:tblCellMar>
        </w:tblPrEx>
        <w:trPr>
          <w:trHeight w:val="454" w:hRule="exac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19</w:t>
            </w:r>
          </w:p>
        </w:tc>
        <w:tc>
          <w:tcPr>
            <w:tcW w:w="6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4#站</w:t>
            </w:r>
          </w:p>
        </w:tc>
        <w:tc>
          <w:tcPr>
            <w:tcW w:w="130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szCs w:val="20"/>
              </w:rPr>
            </w:pPr>
            <w:r>
              <w:rPr>
                <w:rFonts w:hint="eastAsia" w:ascii="仿宋" w:hAnsi="仿宋" w:eastAsia="仿宋" w:cs="宋体"/>
                <w:kern w:val="0"/>
                <w:sz w:val="20"/>
                <w:szCs w:val="20"/>
              </w:rPr>
              <w:t>3-1#二级泵</w:t>
            </w:r>
          </w:p>
        </w:tc>
        <w:tc>
          <w:tcPr>
            <w:tcW w:w="151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355ML406</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250</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1485</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446</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WEG</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6322/6319</w:t>
            </w:r>
          </w:p>
        </w:tc>
        <w:tc>
          <w:tcPr>
            <w:tcW w:w="116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r>
      <w:tr>
        <w:tblPrEx>
          <w:tblLayout w:type="fixed"/>
          <w:tblCellMar>
            <w:top w:w="0" w:type="dxa"/>
            <w:left w:w="108" w:type="dxa"/>
            <w:bottom w:w="0" w:type="dxa"/>
            <w:right w:w="108" w:type="dxa"/>
          </w:tblCellMar>
        </w:tblPrEx>
        <w:trPr>
          <w:trHeight w:val="454" w:hRule="exac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20</w:t>
            </w:r>
          </w:p>
        </w:tc>
        <w:tc>
          <w:tcPr>
            <w:tcW w:w="6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4#站</w:t>
            </w:r>
          </w:p>
        </w:tc>
        <w:tc>
          <w:tcPr>
            <w:tcW w:w="130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szCs w:val="20"/>
              </w:rPr>
            </w:pPr>
            <w:r>
              <w:rPr>
                <w:rFonts w:hint="eastAsia" w:ascii="仿宋" w:hAnsi="仿宋" w:eastAsia="仿宋" w:cs="宋体"/>
                <w:kern w:val="0"/>
                <w:sz w:val="20"/>
                <w:szCs w:val="20"/>
              </w:rPr>
              <w:t>3-2#二级泵</w:t>
            </w:r>
          </w:p>
        </w:tc>
        <w:tc>
          <w:tcPr>
            <w:tcW w:w="151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355ML406</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250</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1485</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446</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WEG</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6322/6319</w:t>
            </w:r>
          </w:p>
        </w:tc>
        <w:tc>
          <w:tcPr>
            <w:tcW w:w="116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r>
      <w:tr>
        <w:tblPrEx>
          <w:tblLayout w:type="fixed"/>
          <w:tblCellMar>
            <w:top w:w="0" w:type="dxa"/>
            <w:left w:w="108" w:type="dxa"/>
            <w:bottom w:w="0" w:type="dxa"/>
            <w:right w:w="108" w:type="dxa"/>
          </w:tblCellMar>
        </w:tblPrEx>
        <w:trPr>
          <w:trHeight w:val="454" w:hRule="exac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21</w:t>
            </w:r>
          </w:p>
        </w:tc>
        <w:tc>
          <w:tcPr>
            <w:tcW w:w="6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4#站</w:t>
            </w:r>
          </w:p>
        </w:tc>
        <w:tc>
          <w:tcPr>
            <w:tcW w:w="130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szCs w:val="20"/>
              </w:rPr>
            </w:pPr>
            <w:r>
              <w:rPr>
                <w:rFonts w:hint="eastAsia" w:ascii="仿宋" w:hAnsi="仿宋" w:eastAsia="仿宋" w:cs="宋体"/>
                <w:kern w:val="0"/>
                <w:sz w:val="20"/>
                <w:szCs w:val="20"/>
              </w:rPr>
              <w:t>3-3#二级泵</w:t>
            </w:r>
          </w:p>
        </w:tc>
        <w:tc>
          <w:tcPr>
            <w:tcW w:w="151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M2CA355MA4B3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250</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1485</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446</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ABB</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6322/6319</w:t>
            </w:r>
          </w:p>
        </w:tc>
        <w:tc>
          <w:tcPr>
            <w:tcW w:w="116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r>
      <w:tr>
        <w:tblPrEx>
          <w:tblLayout w:type="fixed"/>
          <w:tblCellMar>
            <w:top w:w="0" w:type="dxa"/>
            <w:left w:w="108" w:type="dxa"/>
            <w:bottom w:w="0" w:type="dxa"/>
            <w:right w:w="108" w:type="dxa"/>
          </w:tblCellMar>
        </w:tblPrEx>
        <w:trPr>
          <w:trHeight w:val="454" w:hRule="exac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22</w:t>
            </w:r>
          </w:p>
        </w:tc>
        <w:tc>
          <w:tcPr>
            <w:tcW w:w="6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4#站</w:t>
            </w:r>
          </w:p>
        </w:tc>
        <w:tc>
          <w:tcPr>
            <w:tcW w:w="130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szCs w:val="20"/>
              </w:rPr>
            </w:pPr>
            <w:r>
              <w:rPr>
                <w:rFonts w:hint="eastAsia" w:ascii="仿宋" w:hAnsi="仿宋" w:eastAsia="仿宋" w:cs="宋体"/>
                <w:kern w:val="0"/>
                <w:sz w:val="20"/>
                <w:szCs w:val="20"/>
              </w:rPr>
              <w:t>3-4#二级泵</w:t>
            </w:r>
          </w:p>
        </w:tc>
        <w:tc>
          <w:tcPr>
            <w:tcW w:w="151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M2CA315LA4B3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200</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1486</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351</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ABB</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6319/6316</w:t>
            </w:r>
          </w:p>
        </w:tc>
        <w:tc>
          <w:tcPr>
            <w:tcW w:w="116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r>
      <w:tr>
        <w:tblPrEx>
          <w:tblLayout w:type="fixed"/>
          <w:tblCellMar>
            <w:top w:w="0" w:type="dxa"/>
            <w:left w:w="108" w:type="dxa"/>
            <w:bottom w:w="0" w:type="dxa"/>
            <w:right w:w="108" w:type="dxa"/>
          </w:tblCellMar>
        </w:tblPrEx>
        <w:trPr>
          <w:trHeight w:val="454" w:hRule="exac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23</w:t>
            </w:r>
          </w:p>
        </w:tc>
        <w:tc>
          <w:tcPr>
            <w:tcW w:w="62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4#站</w:t>
            </w:r>
          </w:p>
        </w:tc>
        <w:tc>
          <w:tcPr>
            <w:tcW w:w="130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宋体"/>
                <w:kern w:val="0"/>
                <w:sz w:val="20"/>
                <w:szCs w:val="20"/>
              </w:rPr>
            </w:pPr>
            <w:r>
              <w:rPr>
                <w:rFonts w:hint="eastAsia" w:ascii="仿宋" w:hAnsi="仿宋" w:eastAsia="仿宋" w:cs="宋体"/>
                <w:kern w:val="0"/>
                <w:sz w:val="20"/>
                <w:szCs w:val="20"/>
              </w:rPr>
              <w:t>3-5#二级泵</w:t>
            </w:r>
          </w:p>
        </w:tc>
        <w:tc>
          <w:tcPr>
            <w:tcW w:w="151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M2CA315LA4B3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200</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1486</w:t>
            </w:r>
          </w:p>
        </w:tc>
        <w:tc>
          <w:tcPr>
            <w:tcW w:w="80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351</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ABB</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6319/6316</w:t>
            </w:r>
          </w:p>
        </w:tc>
        <w:tc>
          <w:tcPr>
            <w:tcW w:w="1163"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r>
    </w:tbl>
    <w:p>
      <w:pPr>
        <w:numPr>
          <w:ilvl w:val="0"/>
          <w:numId w:val="4"/>
        </w:numPr>
        <w:tabs>
          <w:tab w:val="left" w:pos="420"/>
          <w:tab w:val="left" w:pos="567"/>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由甲方负责</w:t>
      </w:r>
      <w:r>
        <w:rPr>
          <w:rFonts w:hint="eastAsia" w:asciiTheme="minorEastAsia" w:hAnsiTheme="minorEastAsia" w:eastAsiaTheme="minorEastAsia" w:cstheme="minorEastAsia"/>
          <w:sz w:val="24"/>
          <w:szCs w:val="24"/>
        </w:rPr>
        <w:t>电机解体，拆卸电机前后端盖，并做好标记</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乙方负责将</w:t>
      </w:r>
      <w:r>
        <w:rPr>
          <w:rFonts w:hint="eastAsia" w:asciiTheme="minorEastAsia" w:hAnsiTheme="minorEastAsia" w:eastAsiaTheme="minorEastAsia" w:cstheme="minorEastAsia"/>
          <w:sz w:val="24"/>
          <w:szCs w:val="24"/>
        </w:rPr>
        <w:t>端盖</w:t>
      </w:r>
      <w:r>
        <w:rPr>
          <w:rFonts w:hint="eastAsia" w:asciiTheme="minorEastAsia" w:hAnsiTheme="minorEastAsia" w:eastAsiaTheme="minorEastAsia" w:cstheme="minorEastAsia"/>
          <w:sz w:val="24"/>
          <w:szCs w:val="24"/>
          <w:lang w:val="en-US" w:eastAsia="zh-CN"/>
        </w:rPr>
        <w:t>从主机层</w:t>
      </w:r>
      <w:r>
        <w:rPr>
          <w:rFonts w:hint="eastAsia" w:asciiTheme="minorEastAsia" w:hAnsiTheme="minorEastAsia" w:eastAsiaTheme="minorEastAsia" w:cstheme="minorEastAsia"/>
          <w:sz w:val="24"/>
          <w:szCs w:val="24"/>
        </w:rPr>
        <w:t>运送至乙方电机修理厂，复核前后端盖轴承室尺寸，并作好记录，尺寸偏差较大的端盖轴承室孔座进行刷镀或激光熔覆修复，复核尺寸和前后端盖同心度</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按项目要求维修后再由乙方运送至甲方主机层</w:t>
      </w:r>
      <w:r>
        <w:rPr>
          <w:rFonts w:hint="eastAsia" w:asciiTheme="minorEastAsia" w:hAnsiTheme="minorEastAsia" w:eastAsiaTheme="minorEastAsia" w:cstheme="minorEastAsia"/>
          <w:sz w:val="24"/>
          <w:szCs w:val="24"/>
        </w:rPr>
        <w:t>。</w:t>
      </w:r>
    </w:p>
    <w:p>
      <w:pPr>
        <w:numPr>
          <w:ilvl w:val="0"/>
          <w:numId w:val="4"/>
        </w:numPr>
        <w:tabs>
          <w:tab w:val="left" w:pos="420"/>
          <w:tab w:val="left" w:pos="567"/>
        </w:tabs>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投标人应具有能修复本项目所需的设备和场地，甲方有权核实中标人真实情况，如经甲方核实中标人不具备承担本项目所需设备和场地，有权废除其中标资格。</w:t>
      </w:r>
    </w:p>
    <w:p>
      <w:pPr>
        <w:keepNext w:val="0"/>
        <w:keepLines w:val="0"/>
        <w:pageBreakBefore w:val="0"/>
        <w:numPr>
          <w:ilvl w:val="0"/>
          <w:numId w:val="1"/>
        </w:numPr>
        <w:kinsoku/>
        <w:wordWrap/>
        <w:overflowPunct/>
        <w:topLinePunct w:val="0"/>
        <w:bidi w:val="0"/>
        <w:spacing w:before="157" w:beforeLines="50" w:after="157" w:afterLines="50" w:line="360" w:lineRule="auto"/>
        <w:ind w:left="0" w:firstLine="482" w:firstLineChars="200"/>
        <w:textAlignment w:val="auto"/>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工程量及材料说明</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以下工程量仅作参考，本项目由投标人包工包料，投标人</w:t>
      </w:r>
      <w:r>
        <w:rPr>
          <w:rFonts w:hint="eastAsia" w:asciiTheme="minorEastAsia" w:hAnsiTheme="minorEastAsia" w:eastAsiaTheme="minorEastAsia" w:cstheme="minorEastAsia"/>
          <w:sz w:val="24"/>
          <w:szCs w:val="24"/>
          <w:highlight w:val="none"/>
          <w:lang w:val="en-US" w:eastAsia="zh-CN"/>
        </w:rPr>
        <w:t>应</w:t>
      </w:r>
      <w:r>
        <w:rPr>
          <w:rFonts w:hint="eastAsia" w:asciiTheme="minorEastAsia" w:hAnsiTheme="minorEastAsia" w:eastAsiaTheme="minorEastAsia" w:cstheme="minorEastAsia"/>
          <w:sz w:val="24"/>
          <w:szCs w:val="24"/>
          <w:highlight w:val="none"/>
        </w:rPr>
        <w:t>勘踏现场后，应根据下表及结合现场实际情况综合考虑再进行报价。</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一</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主要工作内容描述</w:t>
      </w:r>
    </w:p>
    <w:p>
      <w:pPr>
        <w:keepNext w:val="0"/>
        <w:keepLines w:val="0"/>
        <w:pageBreakBefore w:val="0"/>
        <w:kinsoku/>
        <w:wordWrap/>
        <w:overflowPunct/>
        <w:topLinePunct w:val="0"/>
        <w:bidi w:val="0"/>
        <w:spacing w:before="157" w:beforeLines="50" w:after="157" w:afterLines="50" w:line="360" w:lineRule="auto"/>
        <w:ind w:firstLine="482" w:firstLineChars="200"/>
        <w:jc w:val="center"/>
        <w:textAlignment w:val="auto"/>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主要工程量清单</w:t>
      </w:r>
    </w:p>
    <w:tbl>
      <w:tblPr>
        <w:tblStyle w:val="23"/>
        <w:tblW w:w="9214" w:type="dxa"/>
        <w:tblInd w:w="-5" w:type="dxa"/>
        <w:tblLayout w:type="fixed"/>
        <w:tblCellMar>
          <w:top w:w="0" w:type="dxa"/>
          <w:left w:w="108" w:type="dxa"/>
          <w:bottom w:w="0" w:type="dxa"/>
          <w:right w:w="108" w:type="dxa"/>
        </w:tblCellMar>
      </w:tblPr>
      <w:tblGrid>
        <w:gridCol w:w="620"/>
        <w:gridCol w:w="1580"/>
        <w:gridCol w:w="680"/>
        <w:gridCol w:w="716"/>
        <w:gridCol w:w="657"/>
        <w:gridCol w:w="1147"/>
        <w:gridCol w:w="680"/>
        <w:gridCol w:w="680"/>
        <w:gridCol w:w="753"/>
        <w:gridCol w:w="709"/>
        <w:gridCol w:w="992"/>
      </w:tblGrid>
      <w:tr>
        <w:tblPrEx>
          <w:tblLayout w:type="fixed"/>
          <w:tblCellMar>
            <w:top w:w="0" w:type="dxa"/>
            <w:left w:w="108" w:type="dxa"/>
            <w:bottom w:w="0" w:type="dxa"/>
            <w:right w:w="108" w:type="dxa"/>
          </w:tblCellMar>
        </w:tblPrEx>
        <w:trPr>
          <w:trHeight w:val="600" w:hRule="atLeast"/>
        </w:trPr>
        <w:tc>
          <w:tcPr>
            <w:tcW w:w="6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序号</w:t>
            </w:r>
          </w:p>
        </w:tc>
        <w:tc>
          <w:tcPr>
            <w:tcW w:w="15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电机型号</w:t>
            </w:r>
          </w:p>
        </w:tc>
        <w:tc>
          <w:tcPr>
            <w:tcW w:w="6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功率KW</w:t>
            </w:r>
          </w:p>
        </w:tc>
        <w:tc>
          <w:tcPr>
            <w:tcW w:w="71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转速r/min</w:t>
            </w:r>
          </w:p>
        </w:tc>
        <w:tc>
          <w:tcPr>
            <w:tcW w:w="6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厂家</w:t>
            </w:r>
          </w:p>
        </w:tc>
        <w:tc>
          <w:tcPr>
            <w:tcW w:w="114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工作内容</w:t>
            </w:r>
          </w:p>
        </w:tc>
        <w:tc>
          <w:tcPr>
            <w:tcW w:w="6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单位</w:t>
            </w:r>
          </w:p>
        </w:tc>
        <w:tc>
          <w:tcPr>
            <w:tcW w:w="6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数量</w:t>
            </w:r>
          </w:p>
        </w:tc>
        <w:tc>
          <w:tcPr>
            <w:tcW w:w="7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单价</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总价</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0"/>
                <w:szCs w:val="20"/>
              </w:rPr>
            </w:pPr>
            <w:r>
              <w:rPr>
                <w:rFonts w:hint="eastAsia" w:ascii="仿宋" w:hAnsi="仿宋" w:eastAsia="仿宋" w:cs="宋体"/>
                <w:color w:val="000000"/>
                <w:kern w:val="0"/>
                <w:sz w:val="20"/>
                <w:szCs w:val="20"/>
              </w:rPr>
              <w:t>备注</w:t>
            </w:r>
          </w:p>
        </w:tc>
      </w:tr>
      <w:tr>
        <w:tblPrEx>
          <w:tblLayout w:type="fixed"/>
          <w:tblCellMar>
            <w:top w:w="0" w:type="dxa"/>
            <w:left w:w="108" w:type="dxa"/>
            <w:bottom w:w="0" w:type="dxa"/>
            <w:right w:w="108" w:type="dxa"/>
          </w:tblCellMar>
        </w:tblPrEx>
        <w:trPr>
          <w:trHeight w:val="480"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w:t>
            </w:r>
          </w:p>
        </w:tc>
        <w:tc>
          <w:tcPr>
            <w:tcW w:w="15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M2CA355LA4B3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315</w:t>
            </w:r>
          </w:p>
        </w:tc>
        <w:tc>
          <w:tcPr>
            <w:tcW w:w="71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1485</w:t>
            </w:r>
          </w:p>
        </w:tc>
        <w:tc>
          <w:tcPr>
            <w:tcW w:w="65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ABB</w:t>
            </w:r>
          </w:p>
        </w:tc>
        <w:tc>
          <w:tcPr>
            <w:tcW w:w="114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端盖轴承室检查，超差0.15mm内刷镀，反之激光熔覆</w:t>
            </w:r>
          </w:p>
        </w:tc>
        <w:tc>
          <w:tcPr>
            <w:tcW w:w="68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处</w:t>
            </w:r>
          </w:p>
        </w:tc>
        <w:tc>
          <w:tcPr>
            <w:tcW w:w="68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4</w:t>
            </w:r>
          </w:p>
        </w:tc>
        <w:tc>
          <w:tcPr>
            <w:tcW w:w="75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r>
      <w:tr>
        <w:tblPrEx>
          <w:tblLayout w:type="fixed"/>
          <w:tblCellMar>
            <w:top w:w="0" w:type="dxa"/>
            <w:left w:w="108" w:type="dxa"/>
            <w:bottom w:w="0" w:type="dxa"/>
            <w:right w:w="108" w:type="dxa"/>
          </w:tblCellMar>
        </w:tblPrEx>
        <w:trPr>
          <w:trHeight w:val="480"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2</w:t>
            </w:r>
          </w:p>
        </w:tc>
        <w:tc>
          <w:tcPr>
            <w:tcW w:w="15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355ML4</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315</w:t>
            </w:r>
          </w:p>
        </w:tc>
        <w:tc>
          <w:tcPr>
            <w:tcW w:w="71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1485</w:t>
            </w:r>
          </w:p>
        </w:tc>
        <w:tc>
          <w:tcPr>
            <w:tcW w:w="65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WEG</w:t>
            </w:r>
          </w:p>
        </w:tc>
        <w:tc>
          <w:tcPr>
            <w:tcW w:w="1147"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 w:val="20"/>
                <w:szCs w:val="20"/>
              </w:rPr>
            </w:pPr>
          </w:p>
        </w:tc>
        <w:tc>
          <w:tcPr>
            <w:tcW w:w="68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处</w:t>
            </w:r>
          </w:p>
        </w:tc>
        <w:tc>
          <w:tcPr>
            <w:tcW w:w="68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4</w:t>
            </w:r>
          </w:p>
        </w:tc>
        <w:tc>
          <w:tcPr>
            <w:tcW w:w="75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r>
      <w:tr>
        <w:tblPrEx>
          <w:tblLayout w:type="fixed"/>
          <w:tblCellMar>
            <w:top w:w="0" w:type="dxa"/>
            <w:left w:w="108" w:type="dxa"/>
            <w:bottom w:w="0" w:type="dxa"/>
            <w:right w:w="108" w:type="dxa"/>
          </w:tblCellMar>
        </w:tblPrEx>
        <w:trPr>
          <w:trHeight w:val="480"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3</w:t>
            </w:r>
          </w:p>
        </w:tc>
        <w:tc>
          <w:tcPr>
            <w:tcW w:w="15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M2QA315S4A</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110</w:t>
            </w:r>
          </w:p>
        </w:tc>
        <w:tc>
          <w:tcPr>
            <w:tcW w:w="71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1480</w:t>
            </w:r>
          </w:p>
        </w:tc>
        <w:tc>
          <w:tcPr>
            <w:tcW w:w="65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ABB</w:t>
            </w:r>
          </w:p>
        </w:tc>
        <w:tc>
          <w:tcPr>
            <w:tcW w:w="1147"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 w:val="20"/>
                <w:szCs w:val="20"/>
              </w:rPr>
            </w:pPr>
          </w:p>
        </w:tc>
        <w:tc>
          <w:tcPr>
            <w:tcW w:w="68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处</w:t>
            </w:r>
          </w:p>
        </w:tc>
        <w:tc>
          <w:tcPr>
            <w:tcW w:w="68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4</w:t>
            </w:r>
          </w:p>
        </w:tc>
        <w:tc>
          <w:tcPr>
            <w:tcW w:w="75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r>
      <w:tr>
        <w:tblPrEx>
          <w:tblLayout w:type="fixed"/>
          <w:tblCellMar>
            <w:top w:w="0" w:type="dxa"/>
            <w:left w:w="108" w:type="dxa"/>
            <w:bottom w:w="0" w:type="dxa"/>
            <w:right w:w="108" w:type="dxa"/>
          </w:tblCellMar>
        </w:tblPrEx>
        <w:trPr>
          <w:trHeight w:val="480"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4</w:t>
            </w:r>
          </w:p>
        </w:tc>
        <w:tc>
          <w:tcPr>
            <w:tcW w:w="15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M2CA355LB4B3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355</w:t>
            </w:r>
          </w:p>
        </w:tc>
        <w:tc>
          <w:tcPr>
            <w:tcW w:w="71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1489</w:t>
            </w:r>
          </w:p>
        </w:tc>
        <w:tc>
          <w:tcPr>
            <w:tcW w:w="65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ABB</w:t>
            </w:r>
          </w:p>
        </w:tc>
        <w:tc>
          <w:tcPr>
            <w:tcW w:w="1147"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 w:val="20"/>
                <w:szCs w:val="20"/>
              </w:rPr>
            </w:pPr>
          </w:p>
        </w:tc>
        <w:tc>
          <w:tcPr>
            <w:tcW w:w="68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处</w:t>
            </w:r>
          </w:p>
        </w:tc>
        <w:tc>
          <w:tcPr>
            <w:tcW w:w="68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6</w:t>
            </w:r>
          </w:p>
        </w:tc>
        <w:tc>
          <w:tcPr>
            <w:tcW w:w="75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r>
      <w:tr>
        <w:tblPrEx>
          <w:tblLayout w:type="fixed"/>
          <w:tblCellMar>
            <w:top w:w="0" w:type="dxa"/>
            <w:left w:w="108" w:type="dxa"/>
            <w:bottom w:w="0" w:type="dxa"/>
            <w:right w:w="108" w:type="dxa"/>
          </w:tblCellMar>
        </w:tblPrEx>
        <w:trPr>
          <w:trHeight w:val="480"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5</w:t>
            </w:r>
          </w:p>
        </w:tc>
        <w:tc>
          <w:tcPr>
            <w:tcW w:w="15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M2CA355LKD4B3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400</w:t>
            </w:r>
          </w:p>
        </w:tc>
        <w:tc>
          <w:tcPr>
            <w:tcW w:w="71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1489</w:t>
            </w:r>
          </w:p>
        </w:tc>
        <w:tc>
          <w:tcPr>
            <w:tcW w:w="65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ABB</w:t>
            </w:r>
          </w:p>
        </w:tc>
        <w:tc>
          <w:tcPr>
            <w:tcW w:w="1147"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 w:val="20"/>
                <w:szCs w:val="20"/>
              </w:rPr>
            </w:pPr>
          </w:p>
        </w:tc>
        <w:tc>
          <w:tcPr>
            <w:tcW w:w="68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处</w:t>
            </w:r>
          </w:p>
        </w:tc>
        <w:tc>
          <w:tcPr>
            <w:tcW w:w="68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10</w:t>
            </w:r>
          </w:p>
        </w:tc>
        <w:tc>
          <w:tcPr>
            <w:tcW w:w="75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r>
      <w:tr>
        <w:tblPrEx>
          <w:tblLayout w:type="fixed"/>
          <w:tblCellMar>
            <w:top w:w="0" w:type="dxa"/>
            <w:left w:w="108" w:type="dxa"/>
            <w:bottom w:w="0" w:type="dxa"/>
            <w:right w:w="108" w:type="dxa"/>
          </w:tblCellMar>
        </w:tblPrEx>
        <w:trPr>
          <w:trHeight w:val="480"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6</w:t>
            </w:r>
          </w:p>
        </w:tc>
        <w:tc>
          <w:tcPr>
            <w:tcW w:w="15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BF6355J406RL2</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400</w:t>
            </w:r>
          </w:p>
        </w:tc>
        <w:tc>
          <w:tcPr>
            <w:tcW w:w="71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1488</w:t>
            </w:r>
          </w:p>
        </w:tc>
        <w:tc>
          <w:tcPr>
            <w:tcW w:w="65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WEG</w:t>
            </w:r>
          </w:p>
        </w:tc>
        <w:tc>
          <w:tcPr>
            <w:tcW w:w="1147"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 w:val="20"/>
                <w:szCs w:val="20"/>
              </w:rPr>
            </w:pPr>
          </w:p>
        </w:tc>
        <w:tc>
          <w:tcPr>
            <w:tcW w:w="68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处</w:t>
            </w:r>
          </w:p>
        </w:tc>
        <w:tc>
          <w:tcPr>
            <w:tcW w:w="68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4</w:t>
            </w:r>
          </w:p>
        </w:tc>
        <w:tc>
          <w:tcPr>
            <w:tcW w:w="75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r>
      <w:tr>
        <w:tblPrEx>
          <w:tblLayout w:type="fixed"/>
          <w:tblCellMar>
            <w:top w:w="0" w:type="dxa"/>
            <w:left w:w="108" w:type="dxa"/>
            <w:bottom w:w="0" w:type="dxa"/>
            <w:right w:w="108" w:type="dxa"/>
          </w:tblCellMar>
        </w:tblPrEx>
        <w:trPr>
          <w:trHeight w:val="480"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7</w:t>
            </w:r>
          </w:p>
        </w:tc>
        <w:tc>
          <w:tcPr>
            <w:tcW w:w="15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BF6355J406</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400</w:t>
            </w:r>
          </w:p>
        </w:tc>
        <w:tc>
          <w:tcPr>
            <w:tcW w:w="71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1488</w:t>
            </w:r>
          </w:p>
        </w:tc>
        <w:tc>
          <w:tcPr>
            <w:tcW w:w="65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WEG</w:t>
            </w:r>
          </w:p>
        </w:tc>
        <w:tc>
          <w:tcPr>
            <w:tcW w:w="1147"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 w:val="20"/>
                <w:szCs w:val="20"/>
              </w:rPr>
            </w:pPr>
          </w:p>
        </w:tc>
        <w:tc>
          <w:tcPr>
            <w:tcW w:w="68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处</w:t>
            </w:r>
          </w:p>
        </w:tc>
        <w:tc>
          <w:tcPr>
            <w:tcW w:w="68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4</w:t>
            </w:r>
          </w:p>
        </w:tc>
        <w:tc>
          <w:tcPr>
            <w:tcW w:w="75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r>
      <w:tr>
        <w:tblPrEx>
          <w:tblLayout w:type="fixed"/>
          <w:tblCellMar>
            <w:top w:w="0" w:type="dxa"/>
            <w:left w:w="108" w:type="dxa"/>
            <w:bottom w:w="0" w:type="dxa"/>
            <w:right w:w="108" w:type="dxa"/>
          </w:tblCellMar>
        </w:tblPrEx>
        <w:trPr>
          <w:trHeight w:val="480"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8</w:t>
            </w:r>
          </w:p>
        </w:tc>
        <w:tc>
          <w:tcPr>
            <w:tcW w:w="15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355ML406</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250</w:t>
            </w:r>
          </w:p>
        </w:tc>
        <w:tc>
          <w:tcPr>
            <w:tcW w:w="71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1485</w:t>
            </w:r>
          </w:p>
        </w:tc>
        <w:tc>
          <w:tcPr>
            <w:tcW w:w="65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WEG</w:t>
            </w:r>
          </w:p>
        </w:tc>
        <w:tc>
          <w:tcPr>
            <w:tcW w:w="1147"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 w:val="20"/>
                <w:szCs w:val="20"/>
              </w:rPr>
            </w:pPr>
          </w:p>
        </w:tc>
        <w:tc>
          <w:tcPr>
            <w:tcW w:w="68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处</w:t>
            </w:r>
          </w:p>
        </w:tc>
        <w:tc>
          <w:tcPr>
            <w:tcW w:w="68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6</w:t>
            </w:r>
          </w:p>
        </w:tc>
        <w:tc>
          <w:tcPr>
            <w:tcW w:w="75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r>
      <w:tr>
        <w:tblPrEx>
          <w:tblLayout w:type="fixed"/>
          <w:tblCellMar>
            <w:top w:w="0" w:type="dxa"/>
            <w:left w:w="108" w:type="dxa"/>
            <w:bottom w:w="0" w:type="dxa"/>
            <w:right w:w="108" w:type="dxa"/>
          </w:tblCellMar>
        </w:tblPrEx>
        <w:trPr>
          <w:trHeight w:val="480"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9</w:t>
            </w:r>
          </w:p>
        </w:tc>
        <w:tc>
          <w:tcPr>
            <w:tcW w:w="15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M2CA315LA4B3</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200</w:t>
            </w:r>
          </w:p>
        </w:tc>
        <w:tc>
          <w:tcPr>
            <w:tcW w:w="716"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1486</w:t>
            </w:r>
          </w:p>
        </w:tc>
        <w:tc>
          <w:tcPr>
            <w:tcW w:w="65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ABB</w:t>
            </w:r>
          </w:p>
        </w:tc>
        <w:tc>
          <w:tcPr>
            <w:tcW w:w="1147"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kern w:val="0"/>
                <w:sz w:val="20"/>
                <w:szCs w:val="20"/>
              </w:rPr>
            </w:pPr>
          </w:p>
        </w:tc>
        <w:tc>
          <w:tcPr>
            <w:tcW w:w="68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处</w:t>
            </w:r>
          </w:p>
        </w:tc>
        <w:tc>
          <w:tcPr>
            <w:tcW w:w="68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4</w:t>
            </w:r>
          </w:p>
        </w:tc>
        <w:tc>
          <w:tcPr>
            <w:tcW w:w="75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r>
      <w:tr>
        <w:tblPrEx>
          <w:tblLayout w:type="fixed"/>
          <w:tblCellMar>
            <w:top w:w="0" w:type="dxa"/>
            <w:left w:w="108" w:type="dxa"/>
            <w:bottom w:w="0" w:type="dxa"/>
            <w:right w:w="108" w:type="dxa"/>
          </w:tblCellMar>
        </w:tblPrEx>
        <w:trPr>
          <w:trHeight w:val="480"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10</w:t>
            </w:r>
          </w:p>
        </w:tc>
        <w:tc>
          <w:tcPr>
            <w:tcW w:w="4780" w:type="dxa"/>
            <w:gridSpan w:val="5"/>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合计</w:t>
            </w:r>
          </w:p>
        </w:tc>
        <w:tc>
          <w:tcPr>
            <w:tcW w:w="68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处</w:t>
            </w:r>
          </w:p>
        </w:tc>
        <w:tc>
          <w:tcPr>
            <w:tcW w:w="68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46</w:t>
            </w:r>
          </w:p>
        </w:tc>
        <w:tc>
          <w:tcPr>
            <w:tcW w:w="75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r>
      <w:tr>
        <w:tblPrEx>
          <w:tblLayout w:type="fixed"/>
          <w:tblCellMar>
            <w:top w:w="0" w:type="dxa"/>
            <w:left w:w="108" w:type="dxa"/>
            <w:bottom w:w="0" w:type="dxa"/>
            <w:right w:w="108" w:type="dxa"/>
          </w:tblCellMar>
        </w:tblPrEx>
        <w:trPr>
          <w:trHeight w:val="480"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11</w:t>
            </w:r>
          </w:p>
        </w:tc>
        <w:tc>
          <w:tcPr>
            <w:tcW w:w="4780" w:type="dxa"/>
            <w:gridSpan w:val="5"/>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运输（分批）</w:t>
            </w:r>
          </w:p>
        </w:tc>
        <w:tc>
          <w:tcPr>
            <w:tcW w:w="680"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趟</w:t>
            </w:r>
          </w:p>
        </w:tc>
        <w:tc>
          <w:tcPr>
            <w:tcW w:w="68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6</w:t>
            </w:r>
          </w:p>
        </w:tc>
        <w:tc>
          <w:tcPr>
            <w:tcW w:w="753"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r>
      <w:tr>
        <w:tblPrEx>
          <w:tblLayout w:type="fixed"/>
          <w:tblCellMar>
            <w:top w:w="0" w:type="dxa"/>
            <w:left w:w="108" w:type="dxa"/>
            <w:bottom w:w="0" w:type="dxa"/>
            <w:right w:w="108" w:type="dxa"/>
          </w:tblCellMar>
        </w:tblPrEx>
        <w:trPr>
          <w:trHeight w:val="480"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12</w:t>
            </w:r>
          </w:p>
        </w:tc>
        <w:tc>
          <w:tcPr>
            <w:tcW w:w="6140" w:type="dxa"/>
            <w:gridSpan w:val="7"/>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eastAsia" w:ascii="仿宋" w:hAnsi="仿宋" w:eastAsia="仿宋" w:cs="宋体"/>
                <w:kern w:val="0"/>
                <w:sz w:val="20"/>
                <w:szCs w:val="20"/>
                <w:lang w:val="en-US" w:eastAsia="zh-CN"/>
              </w:rPr>
            </w:pPr>
            <w:r>
              <w:rPr>
                <w:rFonts w:hint="eastAsia" w:ascii="仿宋" w:hAnsi="仿宋" w:eastAsia="仿宋" w:cs="宋体"/>
                <w:kern w:val="0"/>
                <w:sz w:val="20"/>
                <w:szCs w:val="20"/>
                <w:lang w:val="en-US" w:eastAsia="zh-CN"/>
              </w:rPr>
              <w:t>增值税专票税点</w:t>
            </w:r>
          </w:p>
        </w:tc>
        <w:tc>
          <w:tcPr>
            <w:tcW w:w="1462"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宋体"/>
                <w:kern w:val="0"/>
                <w:sz w:val="20"/>
                <w:szCs w:val="20"/>
              </w:rPr>
            </w:pP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kern w:val="0"/>
                <w:sz w:val="20"/>
                <w:szCs w:val="20"/>
              </w:rPr>
            </w:pPr>
          </w:p>
        </w:tc>
      </w:tr>
      <w:tr>
        <w:tblPrEx>
          <w:tblLayout w:type="fixed"/>
          <w:tblCellMar>
            <w:top w:w="0" w:type="dxa"/>
            <w:left w:w="108" w:type="dxa"/>
            <w:bottom w:w="0" w:type="dxa"/>
            <w:right w:w="108" w:type="dxa"/>
          </w:tblCellMar>
        </w:tblPrEx>
        <w:trPr>
          <w:trHeight w:val="480"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12</w:t>
            </w:r>
          </w:p>
        </w:tc>
        <w:tc>
          <w:tcPr>
            <w:tcW w:w="6140" w:type="dxa"/>
            <w:gridSpan w:val="7"/>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总计</w:t>
            </w:r>
          </w:p>
        </w:tc>
        <w:tc>
          <w:tcPr>
            <w:tcW w:w="1462"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kern w:val="0"/>
                <w:sz w:val="20"/>
                <w:szCs w:val="20"/>
              </w:rPr>
            </w:pPr>
            <w:r>
              <w:rPr>
                <w:rFonts w:hint="eastAsia" w:ascii="仿宋" w:hAnsi="仿宋" w:eastAsia="仿宋" w:cs="宋体"/>
                <w:kern w:val="0"/>
                <w:sz w:val="20"/>
                <w:szCs w:val="20"/>
              </w:rPr>
              <w:t>　</w:t>
            </w:r>
          </w:p>
        </w:tc>
      </w:tr>
    </w:tbl>
    <w:p>
      <w:pPr>
        <w:keepNext w:val="0"/>
        <w:keepLines w:val="0"/>
        <w:pageBreakBefore w:val="0"/>
        <w:kinsoku/>
        <w:wordWrap/>
        <w:overflowPunct/>
        <w:topLinePunct w:val="0"/>
        <w:bidi w:val="0"/>
        <w:spacing w:before="157" w:beforeLines="50" w:after="157" w:afterLines="50" w:line="360" w:lineRule="auto"/>
        <w:ind w:firstLine="480" w:firstLineChars="200"/>
        <w:jc w:val="left"/>
        <w:textAlignment w:val="auto"/>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val="0"/>
          <w:bCs/>
          <w:sz w:val="24"/>
          <w:szCs w:val="24"/>
          <w:highlight w:val="none"/>
        </w:rPr>
        <w:t>实际维修工程量根据端盖尺寸测量数据来确定，范围不超过上表所列项目，根据实际发生的维修工程量结算</w:t>
      </w:r>
      <w:r>
        <w:rPr>
          <w:rFonts w:hint="eastAsia" w:asciiTheme="minorEastAsia" w:hAnsiTheme="minorEastAsia" w:eastAsiaTheme="minorEastAsia" w:cstheme="minorEastAsia"/>
          <w:b/>
          <w:sz w:val="24"/>
          <w:szCs w:val="24"/>
          <w:highlight w:val="none"/>
        </w:rPr>
        <w:t>。</w:t>
      </w:r>
    </w:p>
    <w:p>
      <w:pPr>
        <w:keepNext w:val="0"/>
        <w:keepLines w:val="0"/>
        <w:pageBreakBefore w:val="0"/>
        <w:kinsoku/>
        <w:wordWrap/>
        <w:overflowPunct/>
        <w:topLinePunct w:val="0"/>
        <w:bidi w:val="0"/>
        <w:spacing w:before="157" w:beforeLines="50" w:after="157" w:afterLines="50" w:line="360" w:lineRule="auto"/>
        <w:ind w:firstLine="480" w:firstLineChars="200"/>
        <w:textAlignment w:val="auto"/>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sz w:val="24"/>
          <w:szCs w:val="24"/>
          <w:highlight w:val="none"/>
        </w:rPr>
        <w:t>备注：</w:t>
      </w:r>
      <w:r>
        <w:rPr>
          <w:rFonts w:hint="eastAsia" w:asciiTheme="minorEastAsia" w:hAnsiTheme="minorEastAsia" w:eastAsiaTheme="minorEastAsia" w:cstheme="minorEastAsia"/>
          <w:sz w:val="24"/>
          <w:szCs w:val="24"/>
        </w:rPr>
        <w:t>本项目材料、机械、器具等均由乙方提供</w:t>
      </w:r>
      <w:r>
        <w:rPr>
          <w:rFonts w:hint="eastAsia" w:asciiTheme="minorEastAsia" w:hAnsiTheme="minorEastAsia" w:eastAsiaTheme="minorEastAsia" w:cstheme="minorEastAsia"/>
          <w:bCs/>
          <w:kern w:val="0"/>
          <w:sz w:val="24"/>
          <w:szCs w:val="24"/>
          <w:highlight w:val="none"/>
        </w:rPr>
        <w:t>。</w:t>
      </w:r>
    </w:p>
    <w:p>
      <w:pPr>
        <w:numPr>
          <w:ilvl w:val="0"/>
          <w:numId w:val="1"/>
        </w:numPr>
        <w:spacing w:before="120" w:beforeLines="50" w:after="120" w:afterLines="50" w:line="360" w:lineRule="auto"/>
        <w:ind w:left="0" w:firstLine="482" w:firstLineChars="200"/>
        <w:rPr>
          <w:rFonts w:hint="eastAsia" w:asciiTheme="minorEastAsia" w:hAnsiTheme="minorEastAsia" w:eastAsiaTheme="minorEastAsia" w:cstheme="minorEastAsia"/>
          <w:b/>
          <w:sz w:val="24"/>
          <w:szCs w:val="24"/>
          <w:highlight w:val="none"/>
          <w:lang w:val="en-US" w:eastAsia="zh-CN"/>
        </w:rPr>
      </w:pPr>
      <w:r>
        <w:rPr>
          <w:rFonts w:hint="eastAsia" w:asciiTheme="minorEastAsia" w:hAnsiTheme="minorEastAsia" w:eastAsiaTheme="minorEastAsia" w:cstheme="minorEastAsia"/>
          <w:b/>
          <w:sz w:val="24"/>
          <w:szCs w:val="24"/>
          <w:highlight w:val="none"/>
          <w:lang w:val="en-US" w:eastAsia="zh-CN"/>
        </w:rPr>
        <w:t xml:space="preserve"> 施工要求及注意事项</w:t>
      </w:r>
    </w:p>
    <w:p>
      <w:pPr>
        <w:numPr>
          <w:ilvl w:val="0"/>
          <w:numId w:val="5"/>
        </w:numPr>
        <w:spacing w:before="120" w:beforeLines="50" w:after="120" w:afterLines="50" w:line="360" w:lineRule="auto"/>
        <w:ind w:leftChars="200"/>
        <w:rPr>
          <w:rFonts w:hint="eastAsia" w:asciiTheme="minorEastAsia" w:hAnsiTheme="minorEastAsia" w:eastAsiaTheme="minorEastAsia" w:cstheme="minorEastAsia"/>
          <w:b w:val="0"/>
          <w:bCs/>
          <w:sz w:val="24"/>
          <w:szCs w:val="24"/>
          <w:highlight w:val="none"/>
          <w:lang w:val="en-US" w:eastAsia="zh-CN"/>
        </w:rPr>
      </w:pPr>
      <w:r>
        <w:rPr>
          <w:rFonts w:hint="eastAsia" w:asciiTheme="minorEastAsia" w:hAnsiTheme="minorEastAsia" w:eastAsiaTheme="minorEastAsia" w:cstheme="minorEastAsia"/>
          <w:b w:val="0"/>
          <w:bCs/>
          <w:sz w:val="24"/>
          <w:szCs w:val="24"/>
          <w:highlight w:val="none"/>
          <w:lang w:val="en-US" w:eastAsia="zh-CN"/>
        </w:rPr>
        <w:t>施工方法及要求</w:t>
      </w:r>
    </w:p>
    <w:p>
      <w:pPr>
        <w:numPr>
          <w:ilvl w:val="0"/>
          <w:numId w:val="6"/>
        </w:numPr>
        <w:tabs>
          <w:tab w:val="left" w:pos="567"/>
        </w:tabs>
        <w:spacing w:line="360" w:lineRule="auto"/>
        <w:ind w:left="425" w:leftChars="0" w:hanging="425"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电机解体，拆卸前后端盖，并作好标记，此项工作由甲方负责。</w:t>
      </w:r>
    </w:p>
    <w:p>
      <w:pPr>
        <w:numPr>
          <w:ilvl w:val="0"/>
          <w:numId w:val="6"/>
        </w:numPr>
        <w:tabs>
          <w:tab w:val="left" w:pos="567"/>
        </w:tabs>
        <w:spacing w:line="360" w:lineRule="auto"/>
        <w:ind w:left="425" w:leftChars="0" w:hanging="425"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端盖装车（甲方配合），运输至电机修理厂。</w:t>
      </w:r>
    </w:p>
    <w:p>
      <w:pPr>
        <w:numPr>
          <w:ilvl w:val="0"/>
          <w:numId w:val="6"/>
        </w:numPr>
        <w:tabs>
          <w:tab w:val="left" w:pos="567"/>
        </w:tabs>
        <w:spacing w:line="360" w:lineRule="auto"/>
        <w:ind w:left="425" w:leftChars="0" w:hanging="425"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复核前后端盖尺寸，测量轴承室偏差，检查是否超差。</w:t>
      </w:r>
    </w:p>
    <w:p>
      <w:pPr>
        <w:numPr>
          <w:ilvl w:val="0"/>
          <w:numId w:val="6"/>
        </w:numPr>
        <w:tabs>
          <w:tab w:val="left" w:pos="567"/>
        </w:tabs>
        <w:spacing w:line="360" w:lineRule="auto"/>
        <w:ind w:left="425" w:leftChars="0" w:hanging="425"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超差的端盖轴承室进行刷镀或激光熔覆，上车床加工至配合偏差尺寸，前后端盖上机床检查同心度，修复中注意防止产生裂纹。</w:t>
      </w:r>
    </w:p>
    <w:p>
      <w:pPr>
        <w:numPr>
          <w:ilvl w:val="0"/>
          <w:numId w:val="6"/>
        </w:numPr>
        <w:tabs>
          <w:tab w:val="left" w:pos="567"/>
        </w:tabs>
        <w:spacing w:line="360" w:lineRule="auto"/>
        <w:ind w:left="425" w:leftChars="0" w:hanging="425"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端盖运回甲方，由甲方负责组装电机和运行测试。</w:t>
      </w:r>
    </w:p>
    <w:p>
      <w:pPr>
        <w:pStyle w:val="35"/>
        <w:numPr>
          <w:ilvl w:val="0"/>
          <w:numId w:val="0"/>
        </w:numPr>
        <w:tabs>
          <w:tab w:val="left" w:pos="1134"/>
        </w:tabs>
        <w:spacing w:line="360" w:lineRule="auto"/>
        <w:ind w:firstLine="240"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工艺要求</w:t>
      </w:r>
    </w:p>
    <w:p>
      <w:pPr>
        <w:numPr>
          <w:ilvl w:val="0"/>
          <w:numId w:val="7"/>
        </w:numPr>
        <w:tabs>
          <w:tab w:val="left" w:pos="567"/>
        </w:tabs>
        <w:spacing w:line="360" w:lineRule="auto"/>
        <w:ind w:left="425" w:leftChars="0" w:hanging="425"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端盖运输注意做好保护，防止端盖运输过程中产生裂纹和磕碰。</w:t>
      </w:r>
    </w:p>
    <w:p>
      <w:pPr>
        <w:numPr>
          <w:ilvl w:val="0"/>
          <w:numId w:val="7"/>
        </w:numPr>
        <w:tabs>
          <w:tab w:val="left" w:pos="567"/>
        </w:tabs>
        <w:spacing w:line="360" w:lineRule="auto"/>
        <w:ind w:left="425" w:leftChars="0" w:hanging="425"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端盖修复过程中，全程拍照备查。</w:t>
      </w:r>
    </w:p>
    <w:p>
      <w:pPr>
        <w:numPr>
          <w:ilvl w:val="0"/>
          <w:numId w:val="7"/>
        </w:numPr>
        <w:tabs>
          <w:tab w:val="left" w:pos="567"/>
        </w:tabs>
        <w:spacing w:line="360" w:lineRule="auto"/>
        <w:ind w:left="425" w:leftChars="0" w:hanging="425"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端盖进厂后，对轴承室尺寸进行复核，外观进行拍照，并做好相关检查记录。</w:t>
      </w:r>
    </w:p>
    <w:p>
      <w:pPr>
        <w:numPr>
          <w:ilvl w:val="0"/>
          <w:numId w:val="7"/>
        </w:numPr>
        <w:tabs>
          <w:tab w:val="left" w:pos="567"/>
        </w:tabs>
        <w:spacing w:line="360" w:lineRule="auto"/>
        <w:ind w:left="425" w:leftChars="0" w:hanging="425"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端盖轴承室超差的，进行修复，因端盖材质为铸铁，修复中防止产生热裂纹，控制好尺寸偏差。</w:t>
      </w:r>
    </w:p>
    <w:p>
      <w:pPr>
        <w:numPr>
          <w:ilvl w:val="0"/>
          <w:numId w:val="0"/>
        </w:numPr>
        <w:tabs>
          <w:tab w:val="left" w:pos="567"/>
        </w:tabs>
        <w:spacing w:line="360" w:lineRule="auto"/>
        <w:ind w:left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5953760" cy="971550"/>
            <wp:effectExtent l="0" t="0" r="889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953760" cy="971550"/>
                    </a:xfrm>
                    <a:prstGeom prst="rect">
                      <a:avLst/>
                    </a:prstGeom>
                    <a:noFill/>
                  </pic:spPr>
                </pic:pic>
              </a:graphicData>
            </a:graphic>
          </wp:inline>
        </w:drawing>
      </w:r>
    </w:p>
    <w:p>
      <w:pPr>
        <w:numPr>
          <w:ilvl w:val="0"/>
          <w:numId w:val="7"/>
        </w:numPr>
        <w:tabs>
          <w:tab w:val="left" w:pos="567"/>
        </w:tabs>
        <w:spacing w:line="360" w:lineRule="auto"/>
        <w:ind w:left="425" w:leftChars="0" w:hanging="425"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端盖加工修复过程中磕碰部位，刷漆与原颜色一致。</w:t>
      </w:r>
    </w:p>
    <w:p>
      <w:pPr>
        <w:numPr>
          <w:ilvl w:val="0"/>
          <w:numId w:val="0"/>
        </w:numPr>
        <w:spacing w:before="120" w:beforeLines="50" w:after="120" w:afterLines="50" w:line="360" w:lineRule="auto"/>
        <w:ind w:firstLine="240" w:firstLineChars="100"/>
        <w:rPr>
          <w:rFonts w:hint="default" w:asciiTheme="minorEastAsia" w:hAnsiTheme="minorEastAsia" w:eastAsiaTheme="minorEastAsia" w:cstheme="minorEastAsia"/>
          <w:b w:val="0"/>
          <w:bCs/>
          <w:sz w:val="24"/>
          <w:szCs w:val="24"/>
          <w:highlight w:val="none"/>
          <w:lang w:val="en-US" w:eastAsia="zh-CN"/>
        </w:rPr>
      </w:pPr>
      <w:r>
        <w:rPr>
          <w:rFonts w:hint="eastAsia" w:asciiTheme="minorEastAsia" w:hAnsiTheme="minorEastAsia" w:eastAsiaTheme="minorEastAsia" w:cstheme="minorEastAsia"/>
          <w:b w:val="0"/>
          <w:bCs/>
          <w:sz w:val="24"/>
          <w:szCs w:val="24"/>
          <w:highlight w:val="none"/>
          <w:lang w:val="en-US" w:eastAsia="zh-CN"/>
        </w:rPr>
        <w:t>（三）注意事项</w:t>
      </w:r>
    </w:p>
    <w:p>
      <w:pPr>
        <w:numPr>
          <w:ilvl w:val="0"/>
          <w:numId w:val="8"/>
        </w:numPr>
        <w:spacing w:line="360" w:lineRule="auto"/>
        <w:ind w:left="425" w:leftChars="0" w:hanging="425"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安全第一，执行采购方的安全管理规章制度，办票作业，</w:t>
      </w:r>
      <w:r>
        <w:rPr>
          <w:rFonts w:hint="eastAsia" w:asciiTheme="minorEastAsia" w:hAnsiTheme="minorEastAsia" w:eastAsiaTheme="minorEastAsia" w:cstheme="minorEastAsia"/>
          <w:sz w:val="24"/>
          <w:szCs w:val="24"/>
          <w:highlight w:val="none"/>
        </w:rPr>
        <w:t>严格按施工方案进行施工，如改变施工方案须经我司批准后方可实施，雷雨大风天气禁止户外作业</w:t>
      </w:r>
      <w:r>
        <w:rPr>
          <w:rFonts w:hint="eastAsia" w:asciiTheme="minorEastAsia" w:hAnsiTheme="minorEastAsia" w:eastAsiaTheme="minorEastAsia" w:cstheme="minorEastAsia"/>
          <w:sz w:val="24"/>
          <w:szCs w:val="24"/>
          <w:highlight w:val="none"/>
          <w:lang w:val="en-US" w:eastAsia="zh-CN"/>
        </w:rPr>
        <w:t>。</w:t>
      </w:r>
    </w:p>
    <w:p>
      <w:pPr>
        <w:numPr>
          <w:ilvl w:val="0"/>
          <w:numId w:val="8"/>
        </w:numPr>
        <w:spacing w:line="360" w:lineRule="auto"/>
        <w:ind w:left="425" w:leftChars="0" w:hanging="425"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施工方应充分察勘现场，对影响施工质量的潜在风险进行评估。</w:t>
      </w:r>
    </w:p>
    <w:p>
      <w:pPr>
        <w:numPr>
          <w:ilvl w:val="0"/>
          <w:numId w:val="8"/>
        </w:numPr>
        <w:spacing w:line="360" w:lineRule="auto"/>
        <w:ind w:left="425" w:leftChars="0" w:hanging="425"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包建筑垃圾外运，完工后场地清理。</w:t>
      </w:r>
    </w:p>
    <w:p>
      <w:pPr>
        <w:numPr>
          <w:ilvl w:val="0"/>
          <w:numId w:val="8"/>
        </w:numPr>
        <w:spacing w:line="360" w:lineRule="auto"/>
        <w:ind w:left="425" w:leftChars="0" w:hanging="425"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指定专人为项目安全责任人，全面负责本项目安全生产管理工作，逐级落实安全生产责任制</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项目经理或安全员到场管理，且人证合一。</w:t>
      </w:r>
    </w:p>
    <w:p>
      <w:pPr>
        <w:numPr>
          <w:ilvl w:val="0"/>
          <w:numId w:val="8"/>
        </w:numPr>
        <w:spacing w:line="360" w:lineRule="auto"/>
        <w:ind w:left="425" w:leftChars="0" w:hanging="425" w:firstLine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施工单位要为工程项目安全管理配备充足的资源，包括作业人员的劳保用品、施工用的工器具等，如配电箱、焊接设备、安全带及起重机具等</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并采取措施确保所有劳保用品、安全用具处于良好状态。</w:t>
      </w:r>
    </w:p>
    <w:p>
      <w:pPr>
        <w:numPr>
          <w:ilvl w:val="0"/>
          <w:numId w:val="8"/>
        </w:numPr>
        <w:spacing w:line="360" w:lineRule="auto"/>
        <w:ind w:left="425" w:leftChars="0" w:hanging="425" w:firstLineChars="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在保证安全质量的前提下，采取可靠的登高作业防护措施。</w:t>
      </w:r>
    </w:p>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项目工期、验收标准及质保期限</w:t>
      </w:r>
    </w:p>
    <w:p>
      <w:pPr>
        <w:numPr>
          <w:ilvl w:val="0"/>
          <w:numId w:val="9"/>
        </w:numPr>
        <w:spacing w:before="120" w:beforeLines="50" w:after="120" w:afterLines="50" w:line="360" w:lineRule="auto"/>
        <w:ind w:left="0" w:firstLine="480" w:firstLineChars="200"/>
        <w:rPr>
          <w:sz w:val="24"/>
          <w:highlight w:val="none"/>
        </w:rPr>
      </w:pPr>
      <w:r>
        <w:rPr>
          <w:rFonts w:hint="eastAsia"/>
          <w:sz w:val="24"/>
          <w:highlight w:val="none"/>
        </w:rPr>
        <w:t>施工工期</w:t>
      </w:r>
    </w:p>
    <w:p>
      <w:pPr>
        <w:spacing w:before="120" w:beforeLines="50" w:after="120" w:afterLines="50" w:line="360" w:lineRule="auto"/>
        <w:ind w:left="425" w:right="425" w:firstLine="480" w:firstLineChars="200"/>
        <w:rPr>
          <w:rFonts w:ascii="宋体" w:hAnsi="宋体" w:cs="宋体"/>
          <w:bCs/>
          <w:kern w:val="0"/>
          <w:sz w:val="24"/>
          <w:highlight w:val="none"/>
        </w:rPr>
      </w:pPr>
      <w:r>
        <w:rPr>
          <w:rFonts w:hint="eastAsia" w:asciiTheme="minorEastAsia" w:hAnsiTheme="minorEastAsia" w:eastAsiaTheme="minorEastAsia" w:cstheme="minorEastAsia"/>
          <w:sz w:val="24"/>
          <w:szCs w:val="24"/>
          <w:highlight w:val="none"/>
        </w:rPr>
        <w:t>甲方分批拆卸电机端盖，拆卸一批，作好标记，通知乙方上门运输回修理厂维修，单次（趟）端盖修复工期约为10日历天（含节假日，连续计算），具体开工日期以甲方通知为准。</w:t>
      </w:r>
    </w:p>
    <w:p>
      <w:pPr>
        <w:numPr>
          <w:ilvl w:val="0"/>
          <w:numId w:val="9"/>
        </w:numPr>
        <w:spacing w:before="120" w:beforeLines="50" w:after="120" w:afterLines="50" w:line="360" w:lineRule="auto"/>
        <w:ind w:left="0" w:firstLine="480" w:firstLineChars="200"/>
        <w:rPr>
          <w:sz w:val="24"/>
          <w:highlight w:val="none"/>
        </w:rPr>
      </w:pPr>
      <w:r>
        <w:rPr>
          <w:rFonts w:hint="eastAsia"/>
          <w:sz w:val="24"/>
          <w:highlight w:val="none"/>
        </w:rPr>
        <w:t>工程验收标准及方式</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1、项目要达到的质量要求：</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1)前后端盖轴承室公差控制在H7；</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2)前后端盖轴承室同心度符合标准；</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lang w:val="en-US" w:eastAsia="zh-CN"/>
        </w:rPr>
        <w:t>2.工程验收的参考标准：GB/T 1032-2012《三相异步电动机试验方法》、GB/T 13957-2008 《大型三相异步电动机基本系列技术条件》、GB 10068-2008 《电机振动限值》、GB 10069.3-2008 《旋转电机空载A计权声功率极限值》、GB 755-2019 《旋转电机、定额和性能》</w:t>
      </w:r>
      <w:r>
        <w:rPr>
          <w:rFonts w:hint="eastAsia" w:asciiTheme="minorEastAsia" w:hAnsiTheme="minorEastAsia" w:eastAsiaTheme="minorEastAsia" w:cstheme="minorEastAsia"/>
          <w:bCs/>
          <w:kern w:val="0"/>
          <w:sz w:val="24"/>
          <w:szCs w:val="24"/>
          <w:highlight w:val="none"/>
        </w:rPr>
        <w:t>要求</w:t>
      </w:r>
      <w:r>
        <w:rPr>
          <w:rFonts w:hint="eastAsia" w:asciiTheme="minorEastAsia" w:hAnsiTheme="minorEastAsia" w:eastAsiaTheme="minorEastAsia" w:cstheme="minorEastAsia"/>
          <w:bCs/>
          <w:kern w:val="0"/>
          <w:sz w:val="24"/>
          <w:szCs w:val="24"/>
          <w:highlight w:val="none"/>
          <w:lang w:val="en-US" w:eastAsia="zh-CN"/>
        </w:rPr>
        <w:t>及按</w:t>
      </w:r>
      <w:r>
        <w:rPr>
          <w:rFonts w:hint="eastAsia" w:asciiTheme="minorEastAsia" w:hAnsiTheme="minorEastAsia" w:eastAsiaTheme="minorEastAsia" w:cstheme="minorEastAsia"/>
          <w:bCs/>
          <w:kern w:val="0"/>
          <w:sz w:val="24"/>
          <w:szCs w:val="24"/>
          <w:highlight w:val="none"/>
        </w:rPr>
        <w:t>国家和行业相关的其他质量验收标准要求执行。</w:t>
      </w:r>
    </w:p>
    <w:p>
      <w:pPr>
        <w:numPr>
          <w:ilvl w:val="0"/>
          <w:numId w:val="0"/>
        </w:numPr>
        <w:spacing w:before="120" w:beforeLines="50" w:after="120" w:afterLines="50" w:line="360" w:lineRule="auto"/>
        <w:ind w:leftChars="200"/>
        <w:rPr>
          <w:rFonts w:hint="eastAsia" w:asciiTheme="minorEastAsia" w:hAnsiTheme="minorEastAsia" w:eastAsiaTheme="minorEastAsia" w:cstheme="minorEastAsia"/>
          <w:b w:val="0"/>
          <w:bCs w:val="0"/>
          <w:sz w:val="24"/>
          <w:szCs w:val="24"/>
          <w:highlight w:val="none"/>
        </w:rPr>
      </w:pPr>
      <w:r>
        <w:rPr>
          <w:rFonts w:hint="eastAsia" w:asciiTheme="minorEastAsia" w:hAnsiTheme="minorEastAsia" w:eastAsiaTheme="minorEastAsia" w:cstheme="minorEastAsia"/>
          <w:b w:val="0"/>
          <w:bCs w:val="0"/>
          <w:sz w:val="24"/>
          <w:szCs w:val="24"/>
          <w:highlight w:val="none"/>
          <w:lang w:eastAsia="zh-CN"/>
        </w:rPr>
        <w:t>（</w:t>
      </w:r>
      <w:r>
        <w:rPr>
          <w:rFonts w:hint="eastAsia" w:asciiTheme="minorEastAsia" w:hAnsiTheme="minorEastAsia" w:eastAsiaTheme="minorEastAsia" w:cstheme="minorEastAsia"/>
          <w:b w:val="0"/>
          <w:bCs w:val="0"/>
          <w:sz w:val="24"/>
          <w:szCs w:val="24"/>
          <w:highlight w:val="none"/>
          <w:lang w:val="en-US" w:eastAsia="zh-CN"/>
        </w:rPr>
        <w:t>三</w:t>
      </w:r>
      <w:r>
        <w:rPr>
          <w:rFonts w:hint="eastAsia" w:asciiTheme="minorEastAsia" w:hAnsiTheme="minorEastAsia" w:eastAsiaTheme="minorEastAsia" w:cstheme="minorEastAsia"/>
          <w:b w:val="0"/>
          <w:bCs w:val="0"/>
          <w:sz w:val="24"/>
          <w:szCs w:val="24"/>
          <w:highlight w:val="none"/>
          <w:lang w:eastAsia="zh-CN"/>
        </w:rPr>
        <w:t>）</w:t>
      </w:r>
      <w:r>
        <w:rPr>
          <w:rFonts w:hint="eastAsia" w:asciiTheme="minorEastAsia" w:hAnsiTheme="minorEastAsia" w:eastAsiaTheme="minorEastAsia" w:cstheme="minorEastAsia"/>
          <w:b w:val="0"/>
          <w:bCs w:val="0"/>
          <w:sz w:val="24"/>
          <w:szCs w:val="24"/>
          <w:highlight w:val="none"/>
        </w:rPr>
        <w:t>工程验收的方式</w:t>
      </w:r>
    </w:p>
    <w:p>
      <w:pPr>
        <w:numPr>
          <w:ilvl w:val="0"/>
          <w:numId w:val="0"/>
        </w:numPr>
        <w:spacing w:before="120" w:beforeLines="50" w:after="120" w:afterLines="50" w:line="360" w:lineRule="auto"/>
        <w:ind w:firstLine="480" w:firstLineChars="200"/>
        <w:rPr>
          <w:rFonts w:hint="eastAsia" w:asciiTheme="minorEastAsia" w:hAnsiTheme="minorEastAsia" w:eastAsiaTheme="minorEastAsia" w:cstheme="minorEastAsia"/>
          <w:b w:val="0"/>
          <w:bCs w:val="0"/>
          <w:kern w:val="0"/>
          <w:sz w:val="24"/>
          <w:szCs w:val="24"/>
          <w:highlight w:val="none"/>
        </w:rPr>
      </w:pPr>
      <w:r>
        <w:rPr>
          <w:rFonts w:hint="eastAsia" w:asciiTheme="minorEastAsia" w:hAnsiTheme="minorEastAsia" w:eastAsiaTheme="minorEastAsia" w:cstheme="minorEastAsia"/>
          <w:b w:val="0"/>
          <w:bCs w:val="0"/>
          <w:kern w:val="0"/>
          <w:sz w:val="24"/>
          <w:szCs w:val="24"/>
          <w:highlight w:val="none"/>
        </w:rPr>
        <w:t>乙方修复一批端盖，提供具体修复数据，运回甲方，甲方复核端盖尺寸数据，并组织电机装配、安装和试运行。</w:t>
      </w:r>
    </w:p>
    <w:p>
      <w:pPr>
        <w:numPr>
          <w:ilvl w:val="0"/>
          <w:numId w:val="0"/>
        </w:numPr>
        <w:spacing w:line="360" w:lineRule="auto"/>
        <w:ind w:leftChars="200"/>
        <w:rPr>
          <w:rFonts w:hint="eastAsia" w:asciiTheme="minorEastAsia" w:hAnsiTheme="minorEastAsia" w:eastAsiaTheme="minorEastAsia" w:cstheme="minorEastAsia"/>
          <w:b w:val="0"/>
          <w:bCs w:val="0"/>
          <w:sz w:val="24"/>
          <w:szCs w:val="24"/>
          <w:lang w:bidi="ar"/>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质保期：</w:t>
      </w:r>
      <w:r>
        <w:rPr>
          <w:rFonts w:hint="eastAsia" w:asciiTheme="minorEastAsia" w:hAnsiTheme="minorEastAsia" w:eastAsiaTheme="minorEastAsia" w:cstheme="minorEastAsia"/>
          <w:b w:val="0"/>
          <w:bCs w:val="0"/>
          <w:sz w:val="24"/>
          <w:szCs w:val="24"/>
        </w:rPr>
        <w:t>本工程质保期要求为</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t>年，</w:t>
      </w:r>
      <w:r>
        <w:rPr>
          <w:rFonts w:hint="eastAsia" w:asciiTheme="minorEastAsia" w:hAnsiTheme="minorEastAsia" w:eastAsiaTheme="minorEastAsia" w:cstheme="minorEastAsia"/>
          <w:b w:val="0"/>
          <w:bCs w:val="0"/>
          <w:sz w:val="24"/>
          <w:szCs w:val="24"/>
          <w:lang w:bidi="ar"/>
        </w:rPr>
        <w:t>质保期从</w:t>
      </w:r>
      <w:r>
        <w:rPr>
          <w:rFonts w:hint="eastAsia" w:asciiTheme="minorEastAsia" w:hAnsiTheme="minorEastAsia" w:eastAsiaTheme="minorEastAsia" w:cstheme="minorEastAsia"/>
          <w:b w:val="0"/>
          <w:bCs w:val="0"/>
          <w:sz w:val="24"/>
          <w:szCs w:val="24"/>
          <w:lang w:val="en-US" w:eastAsia="zh-CN" w:bidi="ar"/>
        </w:rPr>
        <w:t>当批设备试运行</w:t>
      </w:r>
      <w:r>
        <w:rPr>
          <w:rFonts w:hint="eastAsia" w:asciiTheme="minorEastAsia" w:hAnsiTheme="minorEastAsia" w:eastAsiaTheme="minorEastAsia" w:cstheme="minorEastAsia"/>
          <w:b w:val="0"/>
          <w:bCs w:val="0"/>
          <w:sz w:val="24"/>
          <w:szCs w:val="24"/>
          <w:lang w:bidi="ar"/>
        </w:rPr>
        <w:t>验收合格之日起计算，质保期内出现任何质量问题均由施工单位</w:t>
      </w:r>
      <w:r>
        <w:rPr>
          <w:rFonts w:hint="eastAsia" w:asciiTheme="minorEastAsia" w:hAnsiTheme="minorEastAsia" w:eastAsiaTheme="minorEastAsia" w:cstheme="minorEastAsia"/>
          <w:b w:val="0"/>
          <w:bCs w:val="0"/>
          <w:sz w:val="24"/>
          <w:szCs w:val="24"/>
          <w:lang w:val="en-US" w:eastAsia="zh-CN" w:bidi="ar"/>
        </w:rPr>
        <w:t>免费</w:t>
      </w:r>
      <w:r>
        <w:rPr>
          <w:rFonts w:hint="eastAsia" w:asciiTheme="minorEastAsia" w:hAnsiTheme="minorEastAsia" w:eastAsiaTheme="minorEastAsia" w:cstheme="minorEastAsia"/>
          <w:b w:val="0"/>
          <w:bCs w:val="0"/>
          <w:sz w:val="24"/>
          <w:szCs w:val="24"/>
          <w:lang w:bidi="ar"/>
        </w:rPr>
        <w:t>负责维修。</w:t>
      </w:r>
    </w:p>
    <w:p>
      <w:pPr>
        <w:numPr>
          <w:ilvl w:val="0"/>
          <w:numId w:val="0"/>
        </w:numPr>
        <w:spacing w:line="360" w:lineRule="auto"/>
        <w:ind w:leftChars="200"/>
        <w:rPr>
          <w:rFonts w:hint="eastAsia" w:asciiTheme="minorEastAsia" w:hAnsiTheme="minorEastAsia" w:eastAsiaTheme="minorEastAsia" w:cstheme="minorEastAsia"/>
          <w:b w:val="0"/>
          <w:bCs w:val="0"/>
          <w:sz w:val="24"/>
          <w:szCs w:val="24"/>
          <w:lang w:val="en-US" w:eastAsia="zh-CN" w:bidi="ar"/>
        </w:rPr>
      </w:pPr>
      <w:r>
        <w:rPr>
          <w:rFonts w:hint="eastAsia" w:asciiTheme="minorEastAsia" w:hAnsiTheme="minorEastAsia" w:eastAsiaTheme="minorEastAsia" w:cstheme="minorEastAsia"/>
          <w:b w:val="0"/>
          <w:bCs w:val="0"/>
          <w:sz w:val="24"/>
          <w:szCs w:val="24"/>
          <w:lang w:eastAsia="zh-CN" w:bidi="ar"/>
        </w:rPr>
        <w:t>（</w:t>
      </w:r>
      <w:r>
        <w:rPr>
          <w:rFonts w:hint="eastAsia" w:asciiTheme="minorEastAsia" w:hAnsiTheme="minorEastAsia" w:eastAsiaTheme="minorEastAsia" w:cstheme="minorEastAsia"/>
          <w:b w:val="0"/>
          <w:bCs w:val="0"/>
          <w:sz w:val="24"/>
          <w:szCs w:val="24"/>
          <w:lang w:val="en-US" w:eastAsia="zh-CN" w:bidi="ar"/>
        </w:rPr>
        <w:t>五</w:t>
      </w:r>
      <w:r>
        <w:rPr>
          <w:rFonts w:hint="eastAsia" w:asciiTheme="minorEastAsia" w:hAnsiTheme="minorEastAsia" w:eastAsiaTheme="minorEastAsia" w:cstheme="minorEastAsia"/>
          <w:b w:val="0"/>
          <w:bCs w:val="0"/>
          <w:sz w:val="24"/>
          <w:szCs w:val="24"/>
          <w:lang w:eastAsia="zh-CN" w:bidi="ar"/>
        </w:rPr>
        <w:t>）</w:t>
      </w:r>
      <w:r>
        <w:rPr>
          <w:rFonts w:hint="eastAsia" w:asciiTheme="minorEastAsia" w:hAnsiTheme="minorEastAsia" w:eastAsiaTheme="minorEastAsia" w:cstheme="minorEastAsia"/>
          <w:b w:val="0"/>
          <w:bCs w:val="0"/>
          <w:sz w:val="24"/>
          <w:szCs w:val="24"/>
          <w:lang w:val="en-US" w:eastAsia="zh-CN" w:bidi="ar"/>
        </w:rPr>
        <w:t>其他说明：</w:t>
      </w:r>
    </w:p>
    <w:p>
      <w:pPr>
        <w:numPr>
          <w:ilvl w:val="0"/>
          <w:numId w:val="0"/>
        </w:numPr>
        <w:spacing w:line="360" w:lineRule="auto"/>
        <w:ind w:firstLine="480" w:firstLineChars="200"/>
        <w:rPr>
          <w:rFonts w:hint="eastAsia" w:asciiTheme="minorEastAsia" w:hAnsiTheme="minorEastAsia" w:eastAsiaTheme="minorEastAsia" w:cstheme="minorEastAsia"/>
          <w:b w:val="0"/>
          <w:bCs w:val="0"/>
          <w:sz w:val="24"/>
          <w:szCs w:val="24"/>
          <w:lang w:val="en-US" w:eastAsia="zh-CN" w:bidi="ar"/>
        </w:rPr>
      </w:pPr>
      <w:r>
        <w:rPr>
          <w:rFonts w:hint="eastAsia" w:asciiTheme="minorEastAsia" w:hAnsiTheme="minorEastAsia" w:eastAsiaTheme="minorEastAsia" w:cstheme="minorEastAsia"/>
          <w:b w:val="0"/>
          <w:bCs w:val="0"/>
          <w:sz w:val="24"/>
          <w:szCs w:val="24"/>
          <w:lang w:val="en-US" w:eastAsia="zh-CN" w:bidi="ar"/>
        </w:rPr>
        <w:t>1、乙方收到甲方通知后，应按合同约定的响应时间给与处理，或未能在合理时间内排除故障的，甲方将采取相应补救处理措施或聘请第三方对故障或险情进行排除，所造成的相关损失和费用由乙方负责，同时甲方有权立即终止双方合约。</w:t>
      </w:r>
    </w:p>
    <w:p>
      <w:pPr>
        <w:numPr>
          <w:ilvl w:val="0"/>
          <w:numId w:val="0"/>
        </w:numPr>
        <w:spacing w:line="360" w:lineRule="auto"/>
        <w:ind w:firstLine="480" w:firstLineChars="200"/>
        <w:rPr>
          <w:rFonts w:hint="eastAsia" w:asciiTheme="minorEastAsia" w:hAnsiTheme="minorEastAsia" w:eastAsiaTheme="minorEastAsia" w:cstheme="minorEastAsia"/>
          <w:b w:val="0"/>
          <w:bCs w:val="0"/>
          <w:sz w:val="24"/>
          <w:szCs w:val="24"/>
          <w:lang w:val="en-US" w:eastAsia="zh-CN" w:bidi="ar"/>
        </w:rPr>
      </w:pPr>
      <w:r>
        <w:rPr>
          <w:rFonts w:hint="eastAsia" w:asciiTheme="minorEastAsia" w:hAnsiTheme="minorEastAsia" w:eastAsiaTheme="minorEastAsia" w:cstheme="minorEastAsia"/>
          <w:b w:val="0"/>
          <w:bCs w:val="0"/>
          <w:sz w:val="24"/>
          <w:szCs w:val="24"/>
          <w:lang w:val="en-US" w:eastAsia="zh-CN" w:bidi="ar"/>
        </w:rPr>
        <w:t>2、</w:t>
      </w:r>
      <w:r>
        <w:rPr>
          <w:rFonts w:hint="eastAsia" w:asciiTheme="minorEastAsia" w:hAnsiTheme="minorEastAsia" w:eastAsiaTheme="minorEastAsia" w:cstheme="minorEastAsia"/>
          <w:sz w:val="24"/>
          <w:szCs w:val="24"/>
        </w:rPr>
        <w:t>由于</w:t>
      </w:r>
      <w:r>
        <w:rPr>
          <w:rFonts w:hint="eastAsia" w:asciiTheme="minorEastAsia" w:hAnsiTheme="minorEastAsia" w:eastAsiaTheme="minorEastAsia" w:cstheme="minorEastAsia"/>
          <w:sz w:val="24"/>
          <w:szCs w:val="24"/>
          <w:lang w:val="en-US" w:eastAsia="zh-CN"/>
        </w:rPr>
        <w:t>维修单位</w:t>
      </w:r>
      <w:r>
        <w:rPr>
          <w:rFonts w:hint="eastAsia" w:asciiTheme="minorEastAsia" w:hAnsiTheme="minorEastAsia" w:eastAsiaTheme="minorEastAsia" w:cstheme="minorEastAsia"/>
          <w:sz w:val="24"/>
          <w:szCs w:val="24"/>
        </w:rPr>
        <w:t>人员的原因导致</w:t>
      </w:r>
      <w:r>
        <w:rPr>
          <w:rFonts w:hint="eastAsia" w:asciiTheme="minorEastAsia" w:hAnsiTheme="minorEastAsia" w:eastAsiaTheme="minorEastAsia" w:cstheme="minorEastAsia"/>
          <w:sz w:val="24"/>
          <w:szCs w:val="24"/>
          <w:lang w:val="en-US" w:eastAsia="zh-CN"/>
        </w:rPr>
        <w:t>电动机</w:t>
      </w:r>
      <w:r>
        <w:rPr>
          <w:rFonts w:hint="eastAsia" w:asciiTheme="minorEastAsia" w:hAnsiTheme="minorEastAsia" w:eastAsiaTheme="minorEastAsia" w:cstheme="minorEastAsia"/>
          <w:sz w:val="24"/>
          <w:szCs w:val="24"/>
        </w:rPr>
        <w:t>或其他设备及零配件发生故障或损坏的，所需修复或更换的所有费用全部由乙方负责</w:t>
      </w:r>
      <w:r>
        <w:rPr>
          <w:rFonts w:hint="eastAsia" w:asciiTheme="minorEastAsia" w:hAnsiTheme="minorEastAsia" w:eastAsiaTheme="minorEastAsia" w:cstheme="minorEastAsia"/>
          <w:sz w:val="24"/>
          <w:szCs w:val="24"/>
          <w:lang w:eastAsia="zh-CN"/>
        </w:rPr>
        <w:t>。</w:t>
      </w:r>
    </w:p>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工程费用及支付方式</w:t>
      </w:r>
    </w:p>
    <w:p>
      <w:pPr>
        <w:numPr>
          <w:ilvl w:val="0"/>
          <w:numId w:val="10"/>
        </w:numPr>
        <w:spacing w:before="120" w:beforeLines="50" w:after="120" w:afterLines="50" w:line="360" w:lineRule="auto"/>
        <w:ind w:left="0" w:firstLine="480" w:firstLineChars="200"/>
        <w:rPr>
          <w:sz w:val="24"/>
          <w:highlight w:val="none"/>
        </w:rPr>
      </w:pPr>
      <w:r>
        <w:rPr>
          <w:rFonts w:hint="eastAsia"/>
          <w:sz w:val="24"/>
          <w:highlight w:val="none"/>
        </w:rPr>
        <w:t>本工程采用综合单价包干</w:t>
      </w:r>
      <w:r>
        <w:rPr>
          <w:sz w:val="24"/>
          <w:highlight w:val="none"/>
        </w:rPr>
        <w:t>，</w:t>
      </w:r>
      <w:r>
        <w:rPr>
          <w:rFonts w:hint="eastAsia"/>
          <w:sz w:val="24"/>
          <w:highlight w:val="none"/>
        </w:rPr>
        <w:t>包工、包料、包工期、包质量、包安全、包安全文明施工、包验收、包结算、包资料整理、包综合治理</w:t>
      </w:r>
      <w:r>
        <w:rPr>
          <w:rFonts w:hint="eastAsia"/>
          <w:b w:val="0"/>
          <w:bCs w:val="0"/>
          <w:sz w:val="24"/>
          <w:highlight w:val="none"/>
        </w:rPr>
        <w:t>、</w:t>
      </w:r>
      <w:r>
        <w:rPr>
          <w:rFonts w:hint="eastAsia"/>
          <w:b w:val="0"/>
          <w:bCs w:val="0"/>
          <w:sz w:val="24"/>
          <w:highlight w:val="none"/>
          <w:lang w:val="en-US" w:eastAsia="zh-CN"/>
        </w:rPr>
        <w:t>包现场卫生清洁、</w:t>
      </w:r>
      <w:r>
        <w:rPr>
          <w:rFonts w:hint="eastAsia"/>
          <w:sz w:val="24"/>
          <w:highlight w:val="none"/>
        </w:rPr>
        <w:t>包风险、包利润和管理费等完成本项目的全部费用</w:t>
      </w:r>
      <w:r>
        <w:rPr>
          <w:sz w:val="24"/>
          <w:highlight w:val="none"/>
        </w:rPr>
        <w:t>。</w:t>
      </w:r>
    </w:p>
    <w:p>
      <w:pPr>
        <w:numPr>
          <w:ilvl w:val="0"/>
          <w:numId w:val="10"/>
        </w:numPr>
        <w:spacing w:before="120" w:beforeLines="50" w:after="120" w:afterLines="50" w:line="360" w:lineRule="auto"/>
        <w:ind w:left="0" w:firstLine="480" w:firstLineChars="200"/>
        <w:rPr>
          <w:sz w:val="24"/>
          <w:highlight w:val="none"/>
        </w:rPr>
      </w:pPr>
      <w:r>
        <w:rPr>
          <w:rFonts w:hint="eastAsia"/>
          <w:sz w:val="24"/>
          <w:highlight w:val="none"/>
        </w:rPr>
        <w:t>本项目的投标总价应</w:t>
      </w:r>
      <w:r>
        <w:rPr>
          <w:sz w:val="24"/>
          <w:highlight w:val="none"/>
        </w:rPr>
        <w:t>包含</w:t>
      </w:r>
      <w:r>
        <w:rPr>
          <w:rFonts w:hint="eastAsia"/>
          <w:sz w:val="24"/>
          <w:highlight w:val="none"/>
        </w:rPr>
        <w:t>投标人按施工现场现状及施工范围根据采购人要求</w:t>
      </w:r>
      <w:r>
        <w:rPr>
          <w:sz w:val="24"/>
          <w:highlight w:val="none"/>
        </w:rPr>
        <w:t>完成项</w:t>
      </w:r>
      <w:r>
        <w:rPr>
          <w:rFonts w:hint="eastAsia"/>
          <w:sz w:val="24"/>
          <w:highlight w:val="none"/>
        </w:rPr>
        <w:t>目约定全部</w:t>
      </w:r>
      <w:r>
        <w:rPr>
          <w:sz w:val="24"/>
          <w:highlight w:val="none"/>
        </w:rPr>
        <w:t>工作所需的</w:t>
      </w:r>
      <w:r>
        <w:rPr>
          <w:rFonts w:hint="eastAsia"/>
          <w:sz w:val="24"/>
          <w:highlight w:val="none"/>
        </w:rPr>
        <w:t>税费及相关措施费及合同实施过程中应预见和不可预见的费用等等。工程量清单和竞选范围内的报价如有漏计或漏项的，视为投标人单方面作出的让利，费用不另行增加。</w:t>
      </w:r>
    </w:p>
    <w:p>
      <w:pPr>
        <w:numPr>
          <w:ilvl w:val="0"/>
          <w:numId w:val="10"/>
        </w:numPr>
        <w:spacing w:before="120" w:beforeLines="50" w:after="120" w:afterLines="50" w:line="360" w:lineRule="auto"/>
        <w:ind w:left="0" w:firstLine="480" w:firstLineChars="200"/>
        <w:rPr>
          <w:sz w:val="24"/>
          <w:highlight w:val="none"/>
        </w:rPr>
      </w:pPr>
      <w:r>
        <w:rPr>
          <w:rFonts w:hint="eastAsia"/>
          <w:sz w:val="24"/>
          <w:highlight w:val="none"/>
        </w:rPr>
        <w:t>付款方式</w:t>
      </w:r>
    </w:p>
    <w:p>
      <w:pPr>
        <w:numPr>
          <w:ilvl w:val="0"/>
          <w:numId w:val="11"/>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在本合同履行期内，若国家税费调整，合同含税金额按国家规定税率作出相应调整，供方每次申请付款应按照合同内容开具相应税率的合法有效的增值税专用发票。</w:t>
      </w:r>
    </w:p>
    <w:p>
      <w:pPr>
        <w:numPr>
          <w:ilvl w:val="0"/>
          <w:numId w:val="11"/>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合同付款按施工进度支付，具体为：</w:t>
      </w:r>
    </w:p>
    <w:p>
      <w:pPr>
        <w:numPr>
          <w:ilvl w:val="0"/>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1</w:t>
      </w:r>
      <w:r>
        <w:rPr>
          <w:rFonts w:hint="eastAsia" w:ascii="宋体" w:hAnsi="宋体" w:cs="Arial"/>
          <w:color w:val="000000"/>
          <w:sz w:val="24"/>
          <w:lang w:eastAsia="zh-CN"/>
        </w:rPr>
        <w:t>）</w:t>
      </w:r>
      <w:r>
        <w:rPr>
          <w:rFonts w:hint="eastAsia" w:ascii="宋体" w:hAnsi="宋体" w:cs="Arial"/>
          <w:color w:val="000000"/>
          <w:sz w:val="24"/>
          <w:lang w:val="en-US" w:eastAsia="zh-CN"/>
        </w:rPr>
        <w:t>项目按批结算，甲方收到乙方请款资料及经甲乙双方签字确认合格的验收记录表后15个工作日内支付至当批工程款价的95%</w:t>
      </w:r>
      <w:r>
        <w:rPr>
          <w:rFonts w:hint="eastAsia" w:ascii="宋体" w:hAnsi="宋体" w:cs="Arial"/>
          <w:color w:val="000000"/>
          <w:sz w:val="24"/>
        </w:rPr>
        <w:t>。</w:t>
      </w:r>
    </w:p>
    <w:p>
      <w:pPr>
        <w:numPr>
          <w:ilvl w:val="0"/>
          <w:numId w:val="0"/>
        </w:numPr>
        <w:spacing w:before="120" w:beforeLines="50" w:after="120" w:afterLines="50" w:line="360" w:lineRule="auto"/>
        <w:ind w:firstLine="480" w:firstLineChars="200"/>
        <w:rPr>
          <w:rFonts w:ascii="宋体" w:hAnsi="宋体" w:cs="Arial"/>
          <w:color w:val="000000"/>
          <w:sz w:val="24"/>
        </w:rPr>
      </w:pPr>
      <w:r>
        <w:rPr>
          <w:rFonts w:hint="eastAsia" w:ascii="宋体" w:hAnsi="宋体" w:cs="Arial"/>
          <w:color w:val="000000"/>
          <w:sz w:val="24"/>
          <w:lang w:eastAsia="zh-CN"/>
        </w:rPr>
        <w:t>（</w:t>
      </w:r>
      <w:r>
        <w:rPr>
          <w:rFonts w:hint="eastAsia" w:ascii="宋体" w:hAnsi="宋体" w:cs="Arial"/>
          <w:color w:val="000000"/>
          <w:sz w:val="24"/>
          <w:lang w:val="en-US" w:eastAsia="zh-CN"/>
        </w:rPr>
        <w:t>2</w:t>
      </w:r>
      <w:r>
        <w:rPr>
          <w:rFonts w:hint="eastAsia" w:ascii="宋体" w:hAnsi="宋体" w:cs="Arial"/>
          <w:color w:val="000000"/>
          <w:sz w:val="24"/>
          <w:lang w:eastAsia="zh-CN"/>
        </w:rPr>
        <w:t>）</w:t>
      </w:r>
      <w:r>
        <w:rPr>
          <w:rFonts w:hint="eastAsia" w:ascii="宋体" w:hAnsi="宋体" w:cs="Arial"/>
          <w:color w:val="000000"/>
          <w:sz w:val="24"/>
        </w:rPr>
        <w:t>质保期期满且乙方质保期义务按要求履行完毕后，甲方收到乙方请款资料后15个工作日内付清余款（不计利息）。</w:t>
      </w:r>
    </w:p>
    <w:p>
      <w:pPr>
        <w:numPr>
          <w:ilvl w:val="0"/>
          <w:numId w:val="11"/>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每次付款前，乙方应开具符合国家税务规定的等额合格的增值税专用发票给甲方。乙方晚于付款期限提供的，甲方付款期限相应顺延。</w:t>
      </w:r>
    </w:p>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投标文件</w:t>
      </w:r>
    </w:p>
    <w:p>
      <w:pPr>
        <w:spacing w:before="120" w:beforeLines="50" w:after="120" w:afterLines="50" w:line="360" w:lineRule="auto"/>
        <w:ind w:firstLine="480" w:firstLineChars="200"/>
        <w:rPr>
          <w:sz w:val="24"/>
          <w:highlight w:val="none"/>
        </w:rPr>
      </w:pPr>
      <w:r>
        <w:rPr>
          <w:rFonts w:hint="eastAsia"/>
          <w:sz w:val="24"/>
          <w:highlight w:val="none"/>
        </w:rPr>
        <w:t>根据采购人要求的投标文件格式，进行密封报价（盖章）。投标文件应包含以下内容：</w:t>
      </w:r>
    </w:p>
    <w:p>
      <w:pPr>
        <w:numPr>
          <w:ilvl w:val="0"/>
          <w:numId w:val="12"/>
        </w:numPr>
        <w:spacing w:before="120" w:beforeLines="50" w:after="120" w:afterLines="50" w:line="360" w:lineRule="auto"/>
        <w:ind w:left="0" w:firstLine="480" w:firstLineChars="200"/>
        <w:rPr>
          <w:sz w:val="24"/>
          <w:highlight w:val="none"/>
        </w:rPr>
      </w:pPr>
      <w:r>
        <w:rPr>
          <w:rFonts w:hint="eastAsia"/>
          <w:sz w:val="24"/>
          <w:highlight w:val="none"/>
        </w:rPr>
        <w:t>商务部分（提供复印件，并加盖公章）</w:t>
      </w:r>
    </w:p>
    <w:p>
      <w:pPr>
        <w:numPr>
          <w:ilvl w:val="0"/>
          <w:numId w:val="13"/>
        </w:numPr>
        <w:spacing w:before="120" w:beforeLines="50" w:after="120" w:afterLines="50" w:line="360" w:lineRule="auto"/>
        <w:ind w:left="0" w:firstLine="480" w:firstLineChars="200"/>
        <w:rPr>
          <w:rFonts w:ascii="宋体" w:hAnsi="宋体" w:cs="Arial"/>
          <w:color w:val="000000"/>
          <w:sz w:val="24"/>
          <w:highlight w:val="none"/>
        </w:rPr>
      </w:pPr>
      <w:bookmarkStart w:id="1" w:name="_Hlk33472787"/>
      <w:r>
        <w:rPr>
          <w:rFonts w:hint="eastAsia" w:ascii="宋体" w:hAnsi="宋体" w:cs="Arial"/>
          <w:color w:val="000000"/>
          <w:sz w:val="24"/>
          <w:highlight w:val="none"/>
        </w:rPr>
        <w:t>有效的企业工商营业执照、企业法人组织机构代码证书、税务登记证书（或三证合一）；</w:t>
      </w:r>
    </w:p>
    <w:p>
      <w:pPr>
        <w:numPr>
          <w:ilvl w:val="0"/>
          <w:numId w:val="13"/>
        </w:numPr>
        <w:spacing w:before="120" w:beforeLines="50" w:after="120" w:afterLines="50" w:line="360" w:lineRule="auto"/>
        <w:ind w:left="0" w:firstLine="480" w:firstLineChars="200"/>
        <w:rPr>
          <w:rFonts w:ascii="宋体" w:hAnsi="宋体" w:cs="Arial"/>
          <w:color w:val="000000"/>
          <w:sz w:val="24"/>
        </w:rPr>
      </w:pPr>
      <w:r>
        <w:rPr>
          <w:rFonts w:hint="eastAsia" w:asciiTheme="minorEastAsia" w:hAnsiTheme="minorEastAsia"/>
          <w:sz w:val="24"/>
          <w:szCs w:val="28"/>
        </w:rPr>
        <w:t>信用中国”网站（www.creditchina.gov.cn）的信用记录查询结果截图并打印页面加盖公章</w:t>
      </w:r>
      <w:r>
        <w:rPr>
          <w:rFonts w:hint="eastAsia" w:asciiTheme="minorEastAsia" w:hAnsiTheme="minorEastAsia"/>
          <w:sz w:val="24"/>
          <w:szCs w:val="28"/>
          <w:lang w:eastAsia="zh-CN"/>
        </w:rPr>
        <w:t>；</w:t>
      </w:r>
    </w:p>
    <w:p>
      <w:pPr>
        <w:numPr>
          <w:ilvl w:val="0"/>
          <w:numId w:val="13"/>
        </w:numPr>
        <w:spacing w:before="120" w:beforeLines="50" w:after="120" w:afterLines="50" w:line="360" w:lineRule="auto"/>
        <w:ind w:left="0" w:firstLine="480" w:firstLineChars="200"/>
        <w:rPr>
          <w:rFonts w:ascii="宋体" w:hAnsi="宋体" w:cs="Arial"/>
          <w:color w:val="000000"/>
          <w:sz w:val="24"/>
          <w:highlight w:val="none"/>
        </w:rPr>
      </w:pPr>
      <w:r>
        <w:rPr>
          <w:rFonts w:hint="eastAsia" w:asciiTheme="minorEastAsia" w:hAnsiTheme="minorEastAsia"/>
          <w:sz w:val="24"/>
          <w:szCs w:val="28"/>
        </w:rPr>
        <w:t>在投标活动中3年内没有重大违法活动和涉嫌违规行为声明。（格式自</w:t>
      </w:r>
      <w:r>
        <w:rPr>
          <w:rFonts w:hint="eastAsia" w:asciiTheme="minorEastAsia" w:hAnsiTheme="minorEastAsia"/>
          <w:sz w:val="24"/>
          <w:szCs w:val="28"/>
          <w:lang w:val="en-US" w:eastAsia="zh-CN"/>
        </w:rPr>
        <w:t>拟）</w:t>
      </w:r>
    </w:p>
    <w:p>
      <w:pPr>
        <w:numPr>
          <w:ilvl w:val="0"/>
          <w:numId w:val="13"/>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供应商调查表（格式见附件2）</w:t>
      </w:r>
    </w:p>
    <w:p>
      <w:pPr>
        <w:numPr>
          <w:ilvl w:val="0"/>
          <w:numId w:val="13"/>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法定代表人证明书、法定代表人授权委托书原件（格式见附件3和附件4）；</w:t>
      </w:r>
    </w:p>
    <w:p>
      <w:pPr>
        <w:numPr>
          <w:ilvl w:val="0"/>
          <w:numId w:val="13"/>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近3年内(20</w:t>
      </w:r>
      <w:r>
        <w:rPr>
          <w:rFonts w:hint="eastAsia" w:ascii="宋体" w:hAnsi="宋体" w:cs="Arial"/>
          <w:color w:val="000000"/>
          <w:sz w:val="24"/>
          <w:highlight w:val="none"/>
          <w:lang w:val="en-US" w:eastAsia="zh-CN"/>
        </w:rPr>
        <w:t>20</w:t>
      </w:r>
      <w:r>
        <w:rPr>
          <w:rFonts w:hint="eastAsia" w:ascii="宋体" w:hAnsi="宋体" w:cs="Arial"/>
          <w:color w:val="000000"/>
          <w:sz w:val="24"/>
          <w:highlight w:val="none"/>
        </w:rPr>
        <w:t>年1月1日至今) 完成过质量合格</w:t>
      </w:r>
      <w:r>
        <w:rPr>
          <w:rFonts w:hint="eastAsia" w:ascii="宋体" w:hAnsi="宋体" w:cs="Arial"/>
          <w:color w:val="000000"/>
          <w:sz w:val="24"/>
          <w:highlight w:val="none"/>
          <w:lang w:val="en-US" w:eastAsia="zh-CN"/>
        </w:rPr>
        <w:t>的</w:t>
      </w:r>
      <w:r>
        <w:rPr>
          <w:rFonts w:hint="eastAsia" w:ascii="宋体" w:hAnsi="宋体" w:eastAsia="宋体"/>
          <w:sz w:val="24"/>
          <w:szCs w:val="24"/>
          <w:lang w:val="en-US" w:eastAsia="zh-CN"/>
        </w:rPr>
        <w:t>315KW及以上</w:t>
      </w:r>
      <w:r>
        <w:rPr>
          <w:rFonts w:hint="eastAsia" w:ascii="宋体" w:hAnsi="宋体"/>
          <w:sz w:val="24"/>
          <w:szCs w:val="24"/>
          <w:lang w:val="en-US" w:eastAsia="zh-CN"/>
        </w:rPr>
        <w:t>电机维修</w:t>
      </w:r>
      <w:r>
        <w:rPr>
          <w:rFonts w:hint="eastAsia" w:ascii="宋体" w:hAnsi="宋体" w:cs="Arial"/>
          <w:color w:val="000000"/>
          <w:sz w:val="24"/>
          <w:highlight w:val="none"/>
        </w:rPr>
        <w:t>项目业绩（需提供合同及验收证明等相关证明材料复印件）；</w:t>
      </w:r>
    </w:p>
    <w:p>
      <w:pPr>
        <w:numPr>
          <w:ilvl w:val="0"/>
          <w:numId w:val="13"/>
        </w:numPr>
        <w:spacing w:before="120" w:beforeLines="50" w:after="120" w:afterLines="50" w:line="360" w:lineRule="auto"/>
        <w:ind w:left="0" w:firstLine="480" w:firstLineChars="200"/>
        <w:rPr>
          <w:sz w:val="28"/>
          <w:szCs w:val="28"/>
          <w:highlight w:val="none"/>
        </w:rPr>
      </w:pPr>
      <w:r>
        <w:rPr>
          <w:rFonts w:hint="eastAsia" w:ascii="宋体" w:hAnsi="宋体" w:cs="Arial"/>
          <w:color w:val="000000"/>
          <w:sz w:val="24"/>
          <w:highlight w:val="none"/>
        </w:rPr>
        <w:t>投标人认为有必要的其他材料复印件</w:t>
      </w:r>
      <w:bookmarkEnd w:id="1"/>
      <w:r>
        <w:rPr>
          <w:rFonts w:hint="eastAsia" w:ascii="宋体" w:hAnsi="宋体" w:cs="Arial"/>
          <w:color w:val="000000"/>
          <w:sz w:val="24"/>
          <w:highlight w:val="none"/>
        </w:rPr>
        <w:t>。</w:t>
      </w:r>
    </w:p>
    <w:p>
      <w:pPr>
        <w:numPr>
          <w:ilvl w:val="0"/>
          <w:numId w:val="12"/>
        </w:numPr>
        <w:spacing w:before="120" w:beforeLines="50" w:after="120" w:afterLines="50" w:line="360" w:lineRule="auto"/>
        <w:ind w:left="0" w:firstLine="480" w:firstLineChars="200"/>
        <w:rPr>
          <w:sz w:val="24"/>
          <w:highlight w:val="none"/>
        </w:rPr>
      </w:pPr>
      <w:r>
        <w:rPr>
          <w:rFonts w:hint="eastAsia"/>
          <w:sz w:val="24"/>
          <w:highlight w:val="none"/>
        </w:rPr>
        <w:t>技术部分（格式自定，加盖公章）</w:t>
      </w:r>
    </w:p>
    <w:p>
      <w:pPr>
        <w:spacing w:before="120" w:beforeLines="50" w:after="120" w:afterLines="50" w:line="360" w:lineRule="auto"/>
        <w:ind w:firstLine="480" w:firstLineChars="200"/>
        <w:rPr>
          <w:sz w:val="24"/>
          <w:highlight w:val="none"/>
        </w:rPr>
      </w:pPr>
      <w:r>
        <w:rPr>
          <w:rFonts w:hint="eastAsia"/>
          <w:sz w:val="24"/>
          <w:highlight w:val="none"/>
        </w:rPr>
        <w:t>施工方案：施工单位应充分了解现场条件，并针对本项目制定切实可行的施工方案，包括但不限于：</w:t>
      </w:r>
    </w:p>
    <w:p>
      <w:pPr>
        <w:numPr>
          <w:ilvl w:val="0"/>
          <w:numId w:val="14"/>
        </w:numPr>
        <w:spacing w:before="120" w:beforeLines="50" w:after="120" w:afterLines="50" w:line="360" w:lineRule="auto"/>
        <w:ind w:left="0" w:firstLine="480" w:firstLineChars="200"/>
        <w:rPr>
          <w:rFonts w:ascii="宋体" w:hAnsi="宋体" w:cs="Arial"/>
          <w:color w:val="000000"/>
          <w:sz w:val="24"/>
          <w:highlight w:val="none"/>
        </w:rPr>
      </w:pPr>
      <w:bookmarkStart w:id="2" w:name="_Hlk33472829"/>
      <w:r>
        <w:rPr>
          <w:rFonts w:hint="eastAsia" w:ascii="宋体" w:hAnsi="宋体" w:cs="Arial"/>
          <w:color w:val="000000"/>
          <w:sz w:val="24"/>
          <w:highlight w:val="none"/>
          <w:lang w:val="en-US" w:eastAsia="zh-CN"/>
        </w:rPr>
        <w:t>项目维修方案</w:t>
      </w:r>
      <w:r>
        <w:rPr>
          <w:rFonts w:hint="eastAsia" w:asciiTheme="minorEastAsia" w:hAnsiTheme="minorEastAsia" w:eastAsiaTheme="minorEastAsia" w:cstheme="minorEastAsia"/>
          <w:color w:val="000000"/>
          <w:sz w:val="24"/>
          <w:szCs w:val="24"/>
          <w:highlight w:val="none"/>
        </w:rPr>
        <w:t>；</w:t>
      </w:r>
    </w:p>
    <w:p>
      <w:pPr>
        <w:numPr>
          <w:ilvl w:val="0"/>
          <w:numId w:val="14"/>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lang w:val="en-US" w:eastAsia="zh-CN"/>
        </w:rPr>
        <w:t>公司简介及资质</w:t>
      </w:r>
      <w:r>
        <w:rPr>
          <w:rFonts w:hint="eastAsia" w:ascii="宋体" w:hAnsi="宋体" w:cs="Arial"/>
          <w:color w:val="000000"/>
          <w:sz w:val="24"/>
          <w:highlight w:val="none"/>
        </w:rPr>
        <w:t>；</w:t>
      </w:r>
    </w:p>
    <w:p>
      <w:pPr>
        <w:numPr>
          <w:ilvl w:val="0"/>
          <w:numId w:val="14"/>
        </w:numPr>
        <w:spacing w:before="120" w:beforeLines="50" w:after="120" w:afterLines="50" w:line="360" w:lineRule="auto"/>
        <w:ind w:left="0" w:firstLine="480" w:firstLineChars="200"/>
        <w:rPr>
          <w:rFonts w:hint="eastAsia" w:ascii="宋体" w:hAnsi="宋体" w:cs="Arial"/>
          <w:color w:val="000000"/>
          <w:sz w:val="24"/>
          <w:highlight w:val="none"/>
        </w:rPr>
      </w:pPr>
      <w:r>
        <w:rPr>
          <w:rFonts w:hint="eastAsia" w:ascii="宋体" w:hAnsi="宋体" w:cs="Arial"/>
          <w:color w:val="000000"/>
          <w:sz w:val="24"/>
          <w:highlight w:val="none"/>
        </w:rPr>
        <w:t>确保实施进度的技术和组织措施</w:t>
      </w:r>
      <w:r>
        <w:rPr>
          <w:rFonts w:hint="eastAsia" w:ascii="宋体" w:hAnsi="宋体" w:cs="Arial"/>
          <w:color w:val="000000"/>
          <w:sz w:val="24"/>
          <w:highlight w:val="none"/>
          <w:lang w:eastAsia="zh-CN"/>
        </w:rPr>
        <w:t>；</w:t>
      </w:r>
    </w:p>
    <w:p>
      <w:pPr>
        <w:numPr>
          <w:ilvl w:val="0"/>
          <w:numId w:val="14"/>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投标人认为其它需要说明的文字</w:t>
      </w:r>
      <w:bookmarkEnd w:id="2"/>
      <w:r>
        <w:rPr>
          <w:rFonts w:hint="eastAsia" w:ascii="宋体" w:hAnsi="宋体" w:cs="Arial"/>
          <w:color w:val="000000"/>
          <w:sz w:val="24"/>
          <w:highlight w:val="none"/>
        </w:rPr>
        <w:t>。</w:t>
      </w:r>
    </w:p>
    <w:p>
      <w:pPr>
        <w:numPr>
          <w:ilvl w:val="0"/>
          <w:numId w:val="12"/>
        </w:numPr>
        <w:spacing w:before="120" w:beforeLines="50" w:after="120" w:afterLines="50" w:line="360" w:lineRule="auto"/>
        <w:ind w:left="0" w:firstLine="480" w:firstLineChars="200"/>
        <w:rPr>
          <w:sz w:val="24"/>
          <w:highlight w:val="none"/>
        </w:rPr>
      </w:pPr>
      <w:r>
        <w:rPr>
          <w:rFonts w:hint="eastAsia"/>
          <w:sz w:val="24"/>
          <w:highlight w:val="none"/>
        </w:rPr>
        <w:t>价格文件（加盖公章）</w:t>
      </w:r>
    </w:p>
    <w:p>
      <w:pPr>
        <w:numPr>
          <w:ilvl w:val="0"/>
          <w:numId w:val="15"/>
        </w:numPr>
        <w:spacing w:before="120" w:beforeLines="50" w:after="120" w:afterLines="50" w:line="360" w:lineRule="auto"/>
        <w:ind w:left="0" w:firstLine="480" w:firstLineChars="200"/>
        <w:rPr>
          <w:rFonts w:ascii="宋体" w:hAnsi="宋体" w:cs="Arial"/>
          <w:color w:val="000000"/>
          <w:sz w:val="24"/>
          <w:highlight w:val="none"/>
        </w:rPr>
      </w:pPr>
      <w:bookmarkStart w:id="3" w:name="_Hlk33472852"/>
      <w:r>
        <w:rPr>
          <w:rFonts w:hint="eastAsia" w:ascii="宋体" w:hAnsi="宋体" w:cs="Arial"/>
          <w:color w:val="000000"/>
          <w:sz w:val="24"/>
          <w:highlight w:val="none"/>
        </w:rPr>
        <w:t>报价一览表（格式见附件1）</w:t>
      </w:r>
    </w:p>
    <w:p>
      <w:pPr>
        <w:numPr>
          <w:ilvl w:val="0"/>
          <w:numId w:val="15"/>
        </w:numPr>
        <w:spacing w:before="120" w:beforeLines="50" w:after="120" w:afterLines="50" w:line="360" w:lineRule="auto"/>
        <w:ind w:left="0" w:firstLine="480" w:firstLineChars="200"/>
        <w:rPr>
          <w:rFonts w:ascii="宋体" w:hAnsi="宋体" w:cs="Arial"/>
          <w:color w:val="000000"/>
          <w:sz w:val="24"/>
          <w:highlight w:val="none"/>
        </w:rPr>
      </w:pPr>
      <w:r>
        <w:rPr>
          <w:rFonts w:hint="eastAsia" w:ascii="宋体" w:hAnsi="宋体" w:cs="Arial"/>
          <w:color w:val="000000"/>
          <w:sz w:val="24"/>
          <w:highlight w:val="none"/>
        </w:rPr>
        <w:t>报价明细表：采用工程量清单计价，按本竞选文件所附工程量清单和乙供主要材料清单报价，并以此作为结算依据，包括但不限于工程量清单和乙供主要材料清单各项目单价及综合总报价，并注明未含税总价、税率和含税总价</w:t>
      </w:r>
      <w:bookmarkEnd w:id="3"/>
      <w:r>
        <w:rPr>
          <w:rFonts w:hint="eastAsia" w:ascii="宋体" w:hAnsi="宋体" w:cs="Arial"/>
          <w:color w:val="000000"/>
          <w:sz w:val="24"/>
          <w:highlight w:val="none"/>
        </w:rPr>
        <w:t>。</w:t>
      </w:r>
    </w:p>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评标方法</w:t>
      </w:r>
    </w:p>
    <w:p>
      <w:pPr>
        <w:spacing w:before="120" w:beforeLines="50" w:after="120" w:afterLines="50" w:line="360" w:lineRule="auto"/>
        <w:ind w:firstLine="480" w:firstLineChars="200"/>
        <w:rPr>
          <w:sz w:val="24"/>
          <w:highlight w:val="none"/>
        </w:rPr>
      </w:pPr>
      <w:bookmarkStart w:id="4" w:name="_Hlk33472865"/>
      <w:r>
        <w:rPr>
          <w:rFonts w:hint="eastAsia"/>
          <w:sz w:val="24"/>
          <w:highlight w:val="none"/>
        </w:rPr>
        <w:t>本项目采用综合评估法，对投标人进行价格和信用评审，其中价格评审部分占</w:t>
      </w:r>
      <w:r>
        <w:rPr>
          <w:sz w:val="24"/>
          <w:highlight w:val="none"/>
        </w:rPr>
        <w:t>90%</w:t>
      </w:r>
      <w:r>
        <w:rPr>
          <w:rFonts w:hint="eastAsia"/>
          <w:sz w:val="24"/>
          <w:highlight w:val="none"/>
        </w:rPr>
        <w:t>，供应商诚信部分占</w:t>
      </w:r>
      <w:r>
        <w:rPr>
          <w:sz w:val="24"/>
          <w:highlight w:val="none"/>
        </w:rPr>
        <w:t>10%</w:t>
      </w:r>
      <w:r>
        <w:rPr>
          <w:rFonts w:hint="eastAsia"/>
          <w:sz w:val="24"/>
          <w:highlight w:val="none"/>
        </w:rPr>
        <w:t>，投标人</w:t>
      </w:r>
      <w:r>
        <w:rPr>
          <w:rFonts w:hint="eastAsia" w:ascii="宋体" w:hAnsi="宋体"/>
          <w:sz w:val="24"/>
          <w:highlight w:val="none"/>
        </w:rPr>
        <w:t>评审</w:t>
      </w:r>
      <w:r>
        <w:rPr>
          <w:rFonts w:hint="eastAsia"/>
          <w:sz w:val="24"/>
          <w:highlight w:val="none"/>
        </w:rPr>
        <w:t>得分</w:t>
      </w:r>
      <w:r>
        <w:rPr>
          <w:sz w:val="24"/>
          <w:highlight w:val="none"/>
        </w:rPr>
        <w:t>=</w:t>
      </w:r>
      <w:r>
        <w:rPr>
          <w:rFonts w:hint="eastAsia"/>
          <w:sz w:val="24"/>
          <w:highlight w:val="none"/>
        </w:rPr>
        <w:t>价格得分</w:t>
      </w:r>
      <w:r>
        <w:rPr>
          <w:sz w:val="24"/>
          <w:highlight w:val="none"/>
        </w:rPr>
        <w:t>+</w:t>
      </w:r>
      <w:r>
        <w:rPr>
          <w:rFonts w:hint="eastAsia"/>
          <w:sz w:val="24"/>
          <w:highlight w:val="none"/>
        </w:rPr>
        <w:t>诚信分。以经评审的最低投标报价作为评标基准价，当投标价等于评标基准价时价格分得满分，投标价每高于评标基准价</w:t>
      </w:r>
      <w:r>
        <w:rPr>
          <w:sz w:val="24"/>
          <w:highlight w:val="none"/>
        </w:rPr>
        <w:t>1%</w:t>
      </w:r>
      <w:r>
        <w:rPr>
          <w:rFonts w:hint="eastAsia"/>
          <w:sz w:val="24"/>
          <w:highlight w:val="none"/>
        </w:rPr>
        <w:t>扣</w:t>
      </w:r>
      <w:r>
        <w:rPr>
          <w:sz w:val="24"/>
          <w:highlight w:val="none"/>
        </w:rPr>
        <w:t>1</w:t>
      </w:r>
      <w:r>
        <w:rPr>
          <w:rFonts w:hint="eastAsia"/>
          <w:sz w:val="24"/>
          <w:highlight w:val="none"/>
        </w:rPr>
        <w:t>分，扣至</w:t>
      </w:r>
      <w:r>
        <w:rPr>
          <w:sz w:val="24"/>
          <w:highlight w:val="none"/>
        </w:rPr>
        <w:t>0</w:t>
      </w:r>
      <w:r>
        <w:rPr>
          <w:rFonts w:hint="eastAsia"/>
          <w:sz w:val="24"/>
          <w:highlight w:val="none"/>
        </w:rPr>
        <w:t>分为止。供应商诚信分以评标当天采购人供应商管理系统查到的分值直接计取（供应商诚信分原始分为</w:t>
      </w:r>
      <w:r>
        <w:rPr>
          <w:sz w:val="24"/>
          <w:highlight w:val="none"/>
        </w:rPr>
        <w:t>0</w:t>
      </w:r>
      <w:r>
        <w:rPr>
          <w:rFonts w:hint="eastAsia"/>
          <w:sz w:val="24"/>
          <w:highlight w:val="none"/>
        </w:rPr>
        <w:t>分），投标人不在供应商管理系统内的，诚信分按</w:t>
      </w:r>
      <w:r>
        <w:rPr>
          <w:sz w:val="24"/>
          <w:highlight w:val="none"/>
        </w:rPr>
        <w:t>0</w:t>
      </w:r>
      <w:r>
        <w:rPr>
          <w:rFonts w:hint="eastAsia"/>
          <w:sz w:val="24"/>
          <w:highlight w:val="none"/>
        </w:rPr>
        <w:t>分计算。供应商诚信分在采购人官方网站上定期公布。同时通过投标人资格审查（见附件</w:t>
      </w:r>
      <w:r>
        <w:rPr>
          <w:sz w:val="24"/>
          <w:highlight w:val="none"/>
        </w:rPr>
        <w:t>5</w:t>
      </w:r>
      <w:r>
        <w:rPr>
          <w:rFonts w:hint="eastAsia"/>
          <w:sz w:val="24"/>
          <w:highlight w:val="none"/>
        </w:rPr>
        <w:t>）和投标文件有效性审查（见附件</w:t>
      </w:r>
      <w:r>
        <w:rPr>
          <w:sz w:val="24"/>
          <w:highlight w:val="none"/>
        </w:rPr>
        <w:t>6</w:t>
      </w:r>
      <w:r>
        <w:rPr>
          <w:rFonts w:hint="eastAsia"/>
          <w:sz w:val="24"/>
          <w:highlight w:val="none"/>
        </w:rPr>
        <w:t>）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bookmarkEnd w:id="4"/>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勘踏现场</w:t>
      </w:r>
    </w:p>
    <w:p>
      <w:pPr>
        <w:spacing w:before="120" w:beforeLines="50" w:after="120" w:afterLines="50" w:line="360" w:lineRule="auto"/>
        <w:ind w:firstLine="480" w:firstLineChars="200"/>
        <w:rPr>
          <w:sz w:val="24"/>
          <w:highlight w:val="none"/>
        </w:rPr>
      </w:pPr>
      <w:bookmarkStart w:id="5" w:name="_Hlk33472887"/>
      <w:r>
        <w:rPr>
          <w:rFonts w:hint="eastAsia"/>
          <w:sz w:val="24"/>
          <w:highlight w:val="none"/>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5"/>
      <w:r>
        <w:rPr>
          <w:rFonts w:hint="eastAsia"/>
          <w:sz w:val="24"/>
          <w:highlight w:val="none"/>
        </w:rPr>
        <w:t>。勘踏现场时间：</w:t>
      </w:r>
      <w:r>
        <w:rPr>
          <w:sz w:val="24"/>
          <w:highlight w:val="none"/>
        </w:rPr>
        <w:t>202</w:t>
      </w:r>
      <w:r>
        <w:rPr>
          <w:rFonts w:hint="eastAsia"/>
          <w:sz w:val="24"/>
          <w:highlight w:val="none"/>
          <w:lang w:val="en-US" w:eastAsia="zh-CN"/>
        </w:rPr>
        <w:t>3</w:t>
      </w:r>
      <w:r>
        <w:rPr>
          <w:rFonts w:hint="eastAsia"/>
          <w:color w:val="FF0000"/>
          <w:sz w:val="24"/>
          <w:highlight w:val="none"/>
        </w:rPr>
        <w:t>年</w:t>
      </w:r>
      <w:r>
        <w:rPr>
          <w:rFonts w:hint="eastAsia"/>
          <w:color w:val="FF0000"/>
          <w:sz w:val="24"/>
          <w:highlight w:val="none"/>
          <w:lang w:val="en-US" w:eastAsia="zh-CN"/>
        </w:rPr>
        <w:t>12</w:t>
      </w:r>
      <w:r>
        <w:rPr>
          <w:rFonts w:hint="eastAsia"/>
          <w:color w:val="FF0000"/>
          <w:sz w:val="24"/>
          <w:highlight w:val="none"/>
        </w:rPr>
        <w:t>月</w:t>
      </w:r>
      <w:r>
        <w:rPr>
          <w:rFonts w:hint="eastAsia"/>
          <w:color w:val="FF0000"/>
          <w:sz w:val="24"/>
          <w:highlight w:val="none"/>
          <w:lang w:val="en-US" w:eastAsia="zh-CN"/>
        </w:rPr>
        <w:t xml:space="preserve"> 5</w:t>
      </w:r>
      <w:bookmarkStart w:id="16" w:name="_GoBack"/>
      <w:bookmarkEnd w:id="16"/>
      <w:r>
        <w:rPr>
          <w:rFonts w:hint="eastAsia"/>
          <w:color w:val="FF0000"/>
          <w:sz w:val="24"/>
          <w:highlight w:val="none"/>
        </w:rPr>
        <w:t>日</w:t>
      </w:r>
      <w:r>
        <w:rPr>
          <w:sz w:val="24"/>
          <w:highlight w:val="none"/>
        </w:rPr>
        <w:t>10</w:t>
      </w:r>
      <w:r>
        <w:rPr>
          <w:rFonts w:hint="eastAsia"/>
          <w:sz w:val="24"/>
          <w:highlight w:val="none"/>
        </w:rPr>
        <w:t>时</w:t>
      </w:r>
      <w:r>
        <w:rPr>
          <w:sz w:val="24"/>
          <w:highlight w:val="none"/>
        </w:rPr>
        <w:t>00</w:t>
      </w:r>
      <w:r>
        <w:rPr>
          <w:rFonts w:hint="eastAsia"/>
          <w:sz w:val="24"/>
          <w:highlight w:val="none"/>
        </w:rPr>
        <w:t>分，集中地点：广州市番禺区大学城明志街1号信息枢纽楼一楼西门。勘踏现场联系人</w:t>
      </w:r>
      <w:r>
        <w:rPr>
          <w:rFonts w:hint="eastAsia"/>
          <w:sz w:val="24"/>
          <w:highlight w:val="none"/>
          <w:lang w:val="en-US" w:eastAsia="zh-CN"/>
        </w:rPr>
        <w:t>李工</w:t>
      </w:r>
      <w:r>
        <w:rPr>
          <w:rFonts w:hint="eastAsia"/>
          <w:sz w:val="24"/>
          <w:highlight w:val="none"/>
        </w:rPr>
        <w:t>，联系电话：</w:t>
      </w:r>
      <w:r>
        <w:rPr>
          <w:rFonts w:hint="eastAsia"/>
          <w:sz w:val="24"/>
          <w:highlight w:val="none"/>
          <w:lang w:val="en-US" w:eastAsia="zh-CN"/>
        </w:rPr>
        <w:t>020-39302023</w:t>
      </w:r>
      <w:r>
        <w:rPr>
          <w:rFonts w:hint="eastAsia"/>
          <w:sz w:val="24"/>
          <w:highlight w:val="none"/>
        </w:rPr>
        <w:t>。投标人未在规定时间勘踏现场的，采购人不再另行组织，由投标人自行前往勘踏。</w:t>
      </w:r>
    </w:p>
    <w:p>
      <w:pPr>
        <w:numPr>
          <w:ilvl w:val="0"/>
          <w:numId w:val="1"/>
        </w:numPr>
        <w:spacing w:before="120" w:beforeLines="50" w:after="120" w:afterLines="50" w:line="360" w:lineRule="auto"/>
        <w:ind w:left="0" w:firstLine="482" w:firstLineChars="200"/>
        <w:rPr>
          <w:rFonts w:ascii="宋体" w:hAnsi="宋体"/>
          <w:b/>
          <w:sz w:val="24"/>
          <w:highlight w:val="none"/>
        </w:rPr>
      </w:pPr>
      <w:bookmarkStart w:id="6" w:name="_Hlk33473031"/>
      <w:r>
        <w:rPr>
          <w:rFonts w:hint="eastAsia" w:ascii="宋体" w:hAnsi="宋体"/>
          <w:b/>
          <w:sz w:val="24"/>
          <w:highlight w:val="none"/>
        </w:rPr>
        <w:t>递交投标文件</w:t>
      </w:r>
    </w:p>
    <w:p>
      <w:pPr>
        <w:numPr>
          <w:ilvl w:val="0"/>
          <w:numId w:val="16"/>
        </w:numPr>
        <w:spacing w:before="120" w:beforeLines="50" w:after="120" w:afterLines="50" w:line="360" w:lineRule="auto"/>
        <w:ind w:left="0" w:firstLine="480" w:firstLineChars="200"/>
        <w:rPr>
          <w:sz w:val="24"/>
          <w:highlight w:val="none"/>
        </w:rPr>
      </w:pPr>
      <w:bookmarkStart w:id="7" w:name="_Hlk33472917"/>
      <w:bookmarkStart w:id="8" w:name="_Hlk33473061"/>
      <w:r>
        <w:rPr>
          <w:rFonts w:hint="eastAsia"/>
          <w:sz w:val="24"/>
          <w:highlight w:val="none"/>
        </w:rPr>
        <w:t>投标文件递交截止时间</w:t>
      </w:r>
      <w:r>
        <w:rPr>
          <w:rFonts w:hint="eastAsia"/>
          <w:color w:val="FF0000"/>
          <w:sz w:val="24"/>
          <w:highlight w:val="none"/>
        </w:rPr>
        <w:t>：</w:t>
      </w:r>
      <w:r>
        <w:rPr>
          <w:color w:val="FF0000"/>
          <w:sz w:val="24"/>
          <w:highlight w:val="none"/>
        </w:rPr>
        <w:t>202</w:t>
      </w:r>
      <w:r>
        <w:rPr>
          <w:rFonts w:hint="eastAsia"/>
          <w:color w:val="FF0000"/>
          <w:sz w:val="24"/>
          <w:highlight w:val="none"/>
          <w:lang w:val="en-US" w:eastAsia="zh-CN"/>
        </w:rPr>
        <w:t>3</w:t>
      </w:r>
      <w:r>
        <w:rPr>
          <w:color w:val="FF0000"/>
          <w:sz w:val="24"/>
          <w:highlight w:val="none"/>
        </w:rPr>
        <w:t xml:space="preserve"> </w:t>
      </w:r>
      <w:r>
        <w:rPr>
          <w:rFonts w:hint="eastAsia"/>
          <w:color w:val="FF0000"/>
          <w:sz w:val="24"/>
          <w:highlight w:val="none"/>
        </w:rPr>
        <w:t>年</w:t>
      </w:r>
      <w:r>
        <w:rPr>
          <w:rFonts w:hint="eastAsia"/>
          <w:color w:val="FF0000"/>
          <w:sz w:val="24"/>
          <w:highlight w:val="none"/>
          <w:lang w:val="en-US" w:eastAsia="zh-CN"/>
        </w:rPr>
        <w:t>12</w:t>
      </w:r>
      <w:r>
        <w:rPr>
          <w:rFonts w:hint="eastAsia"/>
          <w:color w:val="FF0000"/>
          <w:sz w:val="24"/>
          <w:highlight w:val="none"/>
        </w:rPr>
        <w:t>月</w:t>
      </w:r>
      <w:r>
        <w:rPr>
          <w:rFonts w:hint="eastAsia"/>
          <w:color w:val="FF0000"/>
          <w:sz w:val="24"/>
          <w:highlight w:val="none"/>
          <w:lang w:val="en-US" w:eastAsia="zh-CN"/>
        </w:rPr>
        <w:t>11</w:t>
      </w:r>
      <w:r>
        <w:rPr>
          <w:rFonts w:hint="eastAsia"/>
          <w:color w:val="FF0000"/>
          <w:sz w:val="24"/>
          <w:highlight w:val="none"/>
        </w:rPr>
        <w:t>日</w:t>
      </w:r>
      <w:r>
        <w:rPr>
          <w:rFonts w:hint="eastAsia"/>
          <w:sz w:val="24"/>
          <w:highlight w:val="none"/>
        </w:rPr>
        <w:t>北京时间15时</w:t>
      </w:r>
      <w:r>
        <w:rPr>
          <w:rFonts w:hint="eastAsia"/>
          <w:sz w:val="24"/>
          <w:highlight w:val="none"/>
          <w:lang w:val="en-US" w:eastAsia="zh-CN"/>
        </w:rPr>
        <w:t>30</w:t>
      </w:r>
      <w:r>
        <w:rPr>
          <w:rFonts w:hint="eastAsia"/>
          <w:sz w:val="24"/>
          <w:highlight w:val="none"/>
        </w:rPr>
        <w:t>分前。以密封的形式提供投标文件到：广州市番禺区大学城明志街1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ascii="宋体"/>
          <w:sz w:val="24"/>
          <w:highlight w:val="none"/>
          <w:lang w:eastAsia="zh-CN"/>
        </w:rPr>
        <w:t>冷站二级泵电机前后轴承端盖轴承室修复工程</w:t>
      </w:r>
      <w:r>
        <w:rPr>
          <w:rFonts w:hint="eastAsia"/>
          <w:sz w:val="24"/>
          <w:highlight w:val="none"/>
        </w:rPr>
        <w:t>”字样。投标人递交投标文件后，请联系采购人确认。</w:t>
      </w:r>
    </w:p>
    <w:p>
      <w:pPr>
        <w:numPr>
          <w:ilvl w:val="0"/>
          <w:numId w:val="16"/>
        </w:numPr>
        <w:spacing w:before="120" w:beforeLines="50" w:after="120" w:afterLines="50" w:line="360" w:lineRule="auto"/>
        <w:ind w:left="0" w:firstLine="480" w:firstLineChars="200"/>
        <w:rPr>
          <w:sz w:val="24"/>
          <w:highlight w:val="none"/>
        </w:rPr>
      </w:pPr>
      <w:r>
        <w:rPr>
          <w:sz w:val="24"/>
          <w:highlight w:val="none"/>
        </w:rPr>
        <w:t>投标文</w:t>
      </w:r>
      <w:r>
        <w:rPr>
          <w:rFonts w:hint="eastAsia"/>
          <w:sz w:val="24"/>
          <w:highlight w:val="none"/>
        </w:rPr>
        <w:t>件逾期递交、未送达指定地点的、或未按要求密封的，采购人有权不予受理</w:t>
      </w:r>
      <w:bookmarkEnd w:id="7"/>
      <w:r>
        <w:rPr>
          <w:sz w:val="24"/>
          <w:highlight w:val="none"/>
        </w:rPr>
        <w:t>。</w:t>
      </w:r>
    </w:p>
    <w:bookmarkEnd w:id="8"/>
    <w:p>
      <w:pPr>
        <w:numPr>
          <w:ilvl w:val="0"/>
          <w:numId w:val="1"/>
        </w:numPr>
        <w:spacing w:before="120" w:beforeLines="50" w:after="120" w:afterLines="50" w:line="360" w:lineRule="auto"/>
        <w:ind w:left="0" w:firstLine="482" w:firstLineChars="200"/>
        <w:rPr>
          <w:rFonts w:ascii="宋体" w:hAnsi="宋体"/>
          <w:b/>
          <w:sz w:val="24"/>
          <w:highlight w:val="none"/>
        </w:rPr>
      </w:pPr>
      <w:bookmarkStart w:id="9" w:name="_Hlk33473147"/>
      <w:bookmarkStart w:id="10" w:name="_Hlk33472987"/>
      <w:r>
        <w:rPr>
          <w:rFonts w:hint="eastAsia" w:ascii="宋体" w:hAnsi="宋体"/>
          <w:b/>
          <w:sz w:val="24"/>
          <w:highlight w:val="none"/>
        </w:rPr>
        <w:t>公开发布</w:t>
      </w:r>
    </w:p>
    <w:p>
      <w:pPr>
        <w:spacing w:before="120" w:beforeLines="50" w:after="120" w:afterLines="50" w:line="360" w:lineRule="auto"/>
        <w:ind w:firstLine="480" w:firstLineChars="200"/>
        <w:rPr>
          <w:sz w:val="24"/>
          <w:highlight w:val="none"/>
        </w:rPr>
      </w:pPr>
      <w:r>
        <w:rPr>
          <w:rFonts w:hint="eastAsia"/>
          <w:sz w:val="24"/>
          <w:highlight w:val="none"/>
        </w:rPr>
        <w:t>本竞选文件在</w:t>
      </w:r>
      <w:r>
        <w:rPr>
          <w:rFonts w:hint="eastAsia"/>
          <w:color w:val="auto"/>
          <w:sz w:val="24"/>
          <w:szCs w:val="24"/>
        </w:rPr>
        <w:t>广州国企阳光采购服务平台（http://ygcg.gzggzy.cn））</w:t>
      </w:r>
      <w:r>
        <w:rPr>
          <w:rFonts w:hint="eastAsia"/>
          <w:sz w:val="24"/>
          <w:highlight w:val="none"/>
        </w:rPr>
        <w:t>、</w:t>
      </w:r>
      <w:r>
        <w:rPr>
          <w:rFonts w:hint="eastAsia"/>
          <w:sz w:val="24"/>
          <w:highlight w:val="none"/>
          <w:lang w:eastAsia="zh-CN"/>
        </w:rPr>
        <w:t>广州</w:t>
      </w:r>
      <w:r>
        <w:rPr>
          <w:rFonts w:hint="eastAsia"/>
          <w:sz w:val="24"/>
          <w:highlight w:val="none"/>
          <w:lang w:val="en-US" w:eastAsia="zh-CN"/>
        </w:rPr>
        <w:t>城投综合能源投资经营管理</w:t>
      </w:r>
      <w:r>
        <w:rPr>
          <w:rFonts w:hint="eastAsia"/>
          <w:sz w:val="24"/>
          <w:highlight w:val="none"/>
          <w:lang w:eastAsia="zh-CN"/>
        </w:rPr>
        <w:t>有限公司</w:t>
      </w:r>
      <w:r>
        <w:rPr>
          <w:rFonts w:hint="eastAsia"/>
          <w:sz w:val="24"/>
          <w:highlight w:val="none"/>
        </w:rPr>
        <w:t>网站（网址：</w:t>
      </w:r>
      <w:r>
        <w:rPr>
          <w:sz w:val="24"/>
          <w:highlight w:val="none"/>
        </w:rPr>
        <w:t>https://www.gzuci.com/</w:t>
      </w:r>
      <w:r>
        <w:rPr>
          <w:rFonts w:hint="eastAsia"/>
          <w:sz w:val="24"/>
          <w:highlight w:val="none"/>
        </w:rPr>
        <w:t>）同时发布。本竞选文件在各媒体发布的文本如有不同之处，以在</w:t>
      </w:r>
      <w:r>
        <w:rPr>
          <w:rFonts w:hint="eastAsia"/>
          <w:sz w:val="24"/>
          <w:highlight w:val="none"/>
          <w:lang w:eastAsia="zh-CN"/>
        </w:rPr>
        <w:t>广州</w:t>
      </w:r>
      <w:r>
        <w:rPr>
          <w:rFonts w:hint="eastAsia"/>
          <w:sz w:val="24"/>
          <w:highlight w:val="none"/>
          <w:lang w:val="en-US" w:eastAsia="zh-CN"/>
        </w:rPr>
        <w:t>城投综合能源投资经营管理</w:t>
      </w:r>
      <w:r>
        <w:rPr>
          <w:rFonts w:hint="eastAsia"/>
          <w:sz w:val="24"/>
          <w:highlight w:val="none"/>
          <w:lang w:eastAsia="zh-CN"/>
        </w:rPr>
        <w:t>有限公司</w:t>
      </w:r>
      <w:r>
        <w:rPr>
          <w:rFonts w:hint="eastAsia"/>
          <w:sz w:val="24"/>
          <w:highlight w:val="none"/>
        </w:rPr>
        <w:t>网站发布的文本为准。</w:t>
      </w:r>
    </w:p>
    <w:bookmarkEnd w:id="9"/>
    <w:p>
      <w:pPr>
        <w:numPr>
          <w:ilvl w:val="0"/>
          <w:numId w:val="1"/>
        </w:numPr>
        <w:spacing w:before="120" w:beforeLines="50" w:after="120" w:afterLines="50" w:line="360" w:lineRule="auto"/>
        <w:ind w:left="0" w:firstLine="482" w:firstLineChars="200"/>
        <w:rPr>
          <w:rFonts w:ascii="宋体" w:hAnsi="宋体"/>
          <w:b/>
          <w:sz w:val="24"/>
          <w:highlight w:val="none"/>
        </w:rPr>
      </w:pPr>
      <w:r>
        <w:rPr>
          <w:rFonts w:hint="eastAsia" w:ascii="宋体" w:hAnsi="宋体"/>
          <w:b/>
          <w:sz w:val="24"/>
          <w:highlight w:val="none"/>
        </w:rPr>
        <w:t>采购人地址和联系方式</w:t>
      </w:r>
    </w:p>
    <w:p>
      <w:pPr>
        <w:spacing w:before="120" w:beforeLines="50" w:after="120" w:afterLines="50" w:line="360" w:lineRule="auto"/>
        <w:ind w:firstLine="480" w:firstLineChars="200"/>
        <w:rPr>
          <w:rFonts w:hint="eastAsia" w:ascii="宋体" w:hAnsi="宋体"/>
          <w:sz w:val="24"/>
          <w:highlight w:val="none"/>
          <w:lang w:eastAsia="zh-CN"/>
        </w:rPr>
      </w:pPr>
      <w:r>
        <w:rPr>
          <w:rFonts w:hint="eastAsia" w:ascii="宋体" w:hAnsi="宋体"/>
          <w:sz w:val="24"/>
          <w:highlight w:val="none"/>
        </w:rPr>
        <w:t>采购单位：</w:t>
      </w:r>
      <w:r>
        <w:rPr>
          <w:rFonts w:hint="eastAsia" w:ascii="宋体" w:hAnsi="宋体"/>
          <w:sz w:val="24"/>
          <w:highlight w:val="none"/>
          <w:lang w:eastAsia="zh-CN"/>
        </w:rPr>
        <w:t>广州城投综合能源投资经营管理有限公司</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联系地址：广州市番禺区大学城明志街</w:t>
      </w:r>
      <w:r>
        <w:rPr>
          <w:rFonts w:ascii="宋体" w:hAnsi="宋体"/>
          <w:sz w:val="24"/>
          <w:highlight w:val="none"/>
        </w:rPr>
        <w:t>1</w:t>
      </w:r>
      <w:r>
        <w:rPr>
          <w:rFonts w:hint="eastAsia" w:ascii="宋体" w:hAnsi="宋体"/>
          <w:sz w:val="24"/>
          <w:highlight w:val="none"/>
        </w:rPr>
        <w:t>号信息枢纽楼9楼</w:t>
      </w:r>
    </w:p>
    <w:p>
      <w:pPr>
        <w:spacing w:before="120" w:beforeLines="50" w:after="120" w:afterLines="50" w:line="360" w:lineRule="auto"/>
        <w:ind w:firstLine="480" w:firstLineChars="200"/>
        <w:rPr>
          <w:rFonts w:hint="default" w:ascii="宋体" w:hAnsi="宋体" w:eastAsia="宋体"/>
          <w:sz w:val="24"/>
          <w:highlight w:val="none"/>
          <w:lang w:val="en-US" w:eastAsia="zh-CN"/>
        </w:rPr>
      </w:pPr>
      <w:r>
        <w:rPr>
          <w:rFonts w:hint="eastAsia" w:ascii="宋体" w:hAnsi="宋体"/>
          <w:sz w:val="24"/>
          <w:highlight w:val="none"/>
        </w:rPr>
        <w:t>联系人：</w:t>
      </w:r>
      <w:r>
        <w:rPr>
          <w:rFonts w:hint="eastAsia" w:ascii="宋体" w:hAnsi="宋体"/>
          <w:sz w:val="24"/>
          <w:highlight w:val="none"/>
          <w:lang w:val="en-US" w:eastAsia="zh-CN"/>
        </w:rPr>
        <w:t>詹工</w:t>
      </w:r>
    </w:p>
    <w:p>
      <w:pPr>
        <w:spacing w:before="120" w:beforeLines="50" w:after="120" w:afterLines="50" w:line="360" w:lineRule="auto"/>
        <w:ind w:firstLine="480" w:firstLineChars="200"/>
        <w:rPr>
          <w:rFonts w:hint="eastAsia" w:ascii="宋体" w:hAnsi="宋体" w:eastAsia="宋体"/>
          <w:sz w:val="24"/>
          <w:highlight w:val="none"/>
          <w:lang w:val="en-US" w:eastAsia="zh-CN"/>
        </w:rPr>
      </w:pPr>
      <w:r>
        <w:rPr>
          <w:rFonts w:hint="eastAsia" w:ascii="宋体" w:hAnsi="宋体"/>
          <w:sz w:val="24"/>
          <w:highlight w:val="none"/>
        </w:rPr>
        <w:t>联系电话：0</w:t>
      </w:r>
      <w:r>
        <w:rPr>
          <w:rFonts w:ascii="宋体" w:hAnsi="宋体"/>
          <w:sz w:val="24"/>
          <w:highlight w:val="none"/>
        </w:rPr>
        <w:t>20</w:t>
      </w:r>
      <w:r>
        <w:rPr>
          <w:rFonts w:hint="eastAsia" w:ascii="宋体" w:hAnsi="宋体"/>
          <w:sz w:val="24"/>
          <w:highlight w:val="none"/>
        </w:rPr>
        <w:t>-</w:t>
      </w:r>
      <w:r>
        <w:rPr>
          <w:rFonts w:ascii="宋体" w:hAnsi="宋体"/>
          <w:sz w:val="24"/>
          <w:highlight w:val="none"/>
        </w:rPr>
        <w:t>3930207</w:t>
      </w:r>
      <w:r>
        <w:rPr>
          <w:rFonts w:hint="eastAsia" w:ascii="宋体" w:hAnsi="宋体"/>
          <w:sz w:val="24"/>
          <w:highlight w:val="none"/>
          <w:lang w:val="en-US" w:eastAsia="zh-CN"/>
        </w:rPr>
        <w:t>7</w:t>
      </w:r>
    </w:p>
    <w:p>
      <w:pPr>
        <w:spacing w:before="120" w:beforeLines="50" w:after="120" w:afterLines="50" w:line="360" w:lineRule="auto"/>
        <w:ind w:firstLine="480" w:firstLineChars="200"/>
        <w:rPr>
          <w:rFonts w:ascii="宋体" w:hAnsi="宋体"/>
          <w:sz w:val="24"/>
          <w:highlight w:val="none"/>
        </w:rPr>
      </w:pPr>
      <w:bookmarkStart w:id="11" w:name="_Hlk33473223"/>
      <w:r>
        <w:rPr>
          <w:rFonts w:hint="eastAsia" w:ascii="宋体" w:hAnsi="宋体"/>
          <w:sz w:val="24"/>
          <w:highlight w:val="none"/>
        </w:rPr>
        <w:t>附件1：报价一览表</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附件2：供应商调查表</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附件3：法定代表人身份证明书</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附件4：法定代表人授权委托证明书</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附件5：投标人资格审查表</w:t>
      </w:r>
    </w:p>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附件6：投标文件有效性审查表</w:t>
      </w:r>
    </w:p>
    <w:p>
      <w:pPr>
        <w:pStyle w:val="7"/>
        <w:spacing w:before="120" w:beforeLines="50" w:after="120" w:afterLines="50" w:line="360" w:lineRule="auto"/>
        <w:ind w:left="0" w:leftChars="0" w:right="560"/>
        <w:jc w:val="right"/>
        <w:rPr>
          <w:rFonts w:hint="eastAsia"/>
          <w:highlight w:val="none"/>
          <w:lang w:eastAsia="zh-CN"/>
        </w:rPr>
      </w:pPr>
      <w:r>
        <w:rPr>
          <w:rFonts w:hint="eastAsia"/>
          <w:highlight w:val="none"/>
        </w:rPr>
        <w:t>采购人：</w:t>
      </w:r>
      <w:r>
        <w:rPr>
          <w:rFonts w:hint="eastAsia"/>
          <w:highlight w:val="none"/>
          <w:lang w:eastAsia="zh-CN"/>
        </w:rPr>
        <w:t>广州城投综合能源投资经营管理有限公司</w:t>
      </w:r>
    </w:p>
    <w:p>
      <w:pPr>
        <w:pStyle w:val="7"/>
        <w:spacing w:before="120" w:beforeLines="50" w:after="120" w:afterLines="50" w:line="360" w:lineRule="auto"/>
        <w:ind w:left="0" w:leftChars="0" w:right="560"/>
        <w:jc w:val="right"/>
        <w:rPr>
          <w:highlight w:val="none"/>
        </w:rPr>
      </w:pPr>
      <w:r>
        <w:rPr>
          <w:rFonts w:hint="eastAsia"/>
          <w:highlight w:val="none"/>
        </w:rPr>
        <w:t>202</w:t>
      </w:r>
      <w:r>
        <w:rPr>
          <w:rFonts w:hint="eastAsia"/>
          <w:highlight w:val="none"/>
          <w:lang w:val="en-US" w:eastAsia="zh-CN"/>
        </w:rPr>
        <w:t>3</w:t>
      </w:r>
      <w:r>
        <w:rPr>
          <w:rFonts w:hint="eastAsia"/>
          <w:highlight w:val="none"/>
        </w:rPr>
        <w:t>年</w:t>
      </w:r>
      <w:r>
        <w:rPr>
          <w:rFonts w:hint="eastAsia"/>
          <w:highlight w:val="none"/>
          <w:lang w:val="en-US" w:eastAsia="zh-CN"/>
        </w:rPr>
        <w:t>12</w:t>
      </w:r>
      <w:r>
        <w:rPr>
          <w:rFonts w:hint="eastAsia"/>
          <w:highlight w:val="none"/>
        </w:rPr>
        <w:t>月</w:t>
      </w:r>
      <w:r>
        <w:rPr>
          <w:rFonts w:hint="eastAsia"/>
          <w:highlight w:val="none"/>
          <w:lang w:val="en-US" w:eastAsia="zh-CN"/>
        </w:rPr>
        <w:t>4</w:t>
      </w:r>
      <w:r>
        <w:rPr>
          <w:rFonts w:hint="eastAsia"/>
          <w:highlight w:val="none"/>
        </w:rPr>
        <w:t>日</w:t>
      </w:r>
      <w:bookmarkEnd w:id="6"/>
    </w:p>
    <w:bookmarkEnd w:id="10"/>
    <w:bookmarkEnd w:id="11"/>
    <w:p>
      <w:pPr>
        <w:spacing w:before="120" w:beforeLines="50" w:after="120" w:afterLines="50" w:line="360" w:lineRule="auto"/>
        <w:rPr>
          <w:rFonts w:hint="eastAsia" w:ascii="宋体" w:hAnsi="宋体" w:cs="Arial"/>
          <w:color w:val="000000"/>
          <w:sz w:val="30"/>
          <w:szCs w:val="30"/>
          <w:highlight w:val="none"/>
        </w:rPr>
      </w:pPr>
    </w:p>
    <w:p>
      <w:pPr>
        <w:spacing w:before="120" w:beforeLines="50" w:after="120" w:afterLines="50" w:line="360" w:lineRule="auto"/>
        <w:rPr>
          <w:rFonts w:hAnsi="宋体"/>
          <w:b/>
          <w:sz w:val="28"/>
          <w:szCs w:val="28"/>
          <w:highlight w:val="none"/>
        </w:rPr>
      </w:pPr>
      <w:r>
        <w:rPr>
          <w:rFonts w:hint="eastAsia" w:ascii="宋体" w:hAnsi="宋体" w:cs="Arial"/>
          <w:color w:val="000000"/>
          <w:sz w:val="30"/>
          <w:szCs w:val="30"/>
          <w:highlight w:val="none"/>
        </w:rPr>
        <w:br w:type="page"/>
      </w:r>
      <w:r>
        <w:rPr>
          <w:rFonts w:hint="eastAsia" w:ascii="宋体" w:hAnsi="宋体" w:cs="Arial"/>
          <w:color w:val="000000"/>
          <w:sz w:val="30"/>
          <w:szCs w:val="30"/>
          <w:highlight w:val="none"/>
        </w:rPr>
        <w:t>附件1</w:t>
      </w:r>
    </w:p>
    <w:p>
      <w:pPr>
        <w:pStyle w:val="10"/>
        <w:ind w:firstLine="0" w:firstLineChars="0"/>
        <w:jc w:val="center"/>
        <w:rPr>
          <w:rFonts w:hAnsi="宋体"/>
          <w:b/>
          <w:sz w:val="28"/>
          <w:szCs w:val="28"/>
          <w:highlight w:val="none"/>
        </w:rPr>
      </w:pPr>
      <w:r>
        <w:rPr>
          <w:rFonts w:hAnsi="宋体"/>
          <w:b/>
          <w:sz w:val="28"/>
          <w:szCs w:val="28"/>
          <w:highlight w:val="none"/>
        </w:rPr>
        <w:t>报价一览表</w:t>
      </w:r>
    </w:p>
    <w:p>
      <w:pPr>
        <w:pStyle w:val="10"/>
        <w:ind w:firstLine="0" w:firstLineChars="0"/>
        <w:jc w:val="center"/>
        <w:rPr>
          <w:rFonts w:hAnsi="宋体"/>
          <w:b/>
          <w:sz w:val="28"/>
          <w:szCs w:val="28"/>
          <w:highlight w:val="none"/>
        </w:rPr>
      </w:pPr>
    </w:p>
    <w:p>
      <w:pPr>
        <w:spacing w:line="360" w:lineRule="auto"/>
        <w:rPr>
          <w:rFonts w:hint="eastAsia" w:hAnsi="宋体" w:eastAsia="宋体"/>
          <w:sz w:val="24"/>
          <w:highlight w:val="none"/>
          <w:lang w:eastAsia="zh-CN"/>
        </w:rPr>
      </w:pPr>
      <w:r>
        <w:rPr>
          <w:rFonts w:hint="eastAsia" w:hAnsi="宋体"/>
          <w:sz w:val="24"/>
          <w:highlight w:val="none"/>
        </w:rPr>
        <w:t>项目名称：</w:t>
      </w:r>
      <w:r>
        <w:rPr>
          <w:rFonts w:hint="eastAsia" w:ascii="宋体"/>
          <w:sz w:val="24"/>
          <w:highlight w:val="none"/>
          <w:lang w:eastAsia="zh-CN"/>
        </w:rPr>
        <w:t>冷站二级泵电机前后轴承端盖轴承室修复工程</w:t>
      </w:r>
    </w:p>
    <w:tbl>
      <w:tblPr>
        <w:tblStyle w:val="23"/>
        <w:tblW w:w="87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44"/>
        <w:gridCol w:w="1663"/>
        <w:gridCol w:w="4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720" w:type="dxa"/>
            <w:vAlign w:val="center"/>
          </w:tcPr>
          <w:p>
            <w:pPr>
              <w:jc w:val="center"/>
              <w:rPr>
                <w:rFonts w:hAnsi="宋体"/>
                <w:bCs/>
                <w:sz w:val="24"/>
                <w:highlight w:val="none"/>
              </w:rPr>
            </w:pPr>
            <w:bookmarkStart w:id="12" w:name="_Hlk33473274"/>
            <w:r>
              <w:rPr>
                <w:rFonts w:hint="eastAsia" w:hAnsi="宋体"/>
                <w:bCs/>
                <w:sz w:val="24"/>
                <w:highlight w:val="none"/>
              </w:rPr>
              <w:t>序号</w:t>
            </w:r>
          </w:p>
        </w:tc>
        <w:tc>
          <w:tcPr>
            <w:tcW w:w="1844" w:type="dxa"/>
            <w:vAlign w:val="center"/>
          </w:tcPr>
          <w:p>
            <w:pPr>
              <w:jc w:val="center"/>
              <w:rPr>
                <w:rFonts w:hAnsi="宋体"/>
                <w:bCs/>
                <w:sz w:val="24"/>
                <w:highlight w:val="none"/>
              </w:rPr>
            </w:pPr>
            <w:r>
              <w:rPr>
                <w:rFonts w:hint="eastAsia" w:hAnsi="宋体"/>
                <w:bCs/>
                <w:sz w:val="24"/>
                <w:highlight w:val="none"/>
              </w:rPr>
              <w:t>项目名称</w:t>
            </w:r>
          </w:p>
        </w:tc>
        <w:tc>
          <w:tcPr>
            <w:tcW w:w="6166" w:type="dxa"/>
            <w:gridSpan w:val="2"/>
            <w:vAlign w:val="center"/>
          </w:tcPr>
          <w:p>
            <w:pPr>
              <w:rPr>
                <w:rFonts w:hAnsi="宋体"/>
                <w:bCs/>
                <w:sz w:val="24"/>
                <w:highlight w:val="none"/>
              </w:rPr>
            </w:pPr>
            <w:r>
              <w:rPr>
                <w:rFonts w:hint="eastAsia" w:hAnsi="宋体"/>
                <w:bCs/>
                <w:sz w:val="24"/>
                <w:highlight w:val="none"/>
              </w:rPr>
              <w:t>投标价（单位：人民币元）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1</w:t>
            </w:r>
          </w:p>
        </w:tc>
        <w:tc>
          <w:tcPr>
            <w:tcW w:w="1844" w:type="dxa"/>
            <w:vAlign w:val="center"/>
          </w:tcPr>
          <w:p>
            <w:pPr>
              <w:jc w:val="center"/>
              <w:rPr>
                <w:rFonts w:hAnsi="宋体"/>
                <w:sz w:val="24"/>
                <w:highlight w:val="none"/>
              </w:rPr>
            </w:pPr>
            <w:r>
              <w:rPr>
                <w:rFonts w:hint="eastAsia" w:hAnsi="宋体"/>
                <w:sz w:val="24"/>
                <w:highlight w:val="none"/>
              </w:rPr>
              <w:t>投标总价</w:t>
            </w:r>
          </w:p>
        </w:tc>
        <w:tc>
          <w:tcPr>
            <w:tcW w:w="6166" w:type="dxa"/>
            <w:gridSpan w:val="2"/>
            <w:vAlign w:val="center"/>
          </w:tcPr>
          <w:p>
            <w:pPr>
              <w:rPr>
                <w:rFonts w:hAnsi="宋体"/>
                <w:sz w:val="24"/>
                <w:highlight w:val="none"/>
              </w:rPr>
            </w:pPr>
            <w:r>
              <w:rPr>
                <w:rFonts w:hint="eastAsia" w:ascii="宋体" w:hAnsi="宋体"/>
                <w:sz w:val="24"/>
                <w:highlight w:val="none"/>
              </w:rPr>
              <w:t>大写</w:t>
            </w:r>
            <w:r>
              <w:rPr>
                <w:rFonts w:hint="eastAsia" w:hAnsi="宋体"/>
                <w:sz w:val="24"/>
                <w:highlight w:val="none"/>
              </w:rPr>
              <w:t>：</w:t>
            </w:r>
          </w:p>
          <w:p>
            <w:pPr>
              <w:rPr>
                <w:rFonts w:hAnsi="宋体"/>
                <w:sz w:val="24"/>
                <w:highlight w:val="none"/>
              </w:rPr>
            </w:pPr>
            <w:r>
              <w:rPr>
                <w:rFonts w:hint="eastAsia" w:hAnsi="宋体"/>
                <w:sz w:val="24"/>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其中</w:t>
            </w:r>
          </w:p>
        </w:tc>
        <w:tc>
          <w:tcPr>
            <w:tcW w:w="1844" w:type="dxa"/>
            <w:vAlign w:val="center"/>
          </w:tcPr>
          <w:p>
            <w:pPr>
              <w:jc w:val="center"/>
              <w:rPr>
                <w:rFonts w:hAnsi="宋体"/>
                <w:sz w:val="24"/>
                <w:highlight w:val="none"/>
              </w:rPr>
            </w:pPr>
            <w:r>
              <w:rPr>
                <w:rFonts w:hint="eastAsia" w:hAnsi="宋体"/>
                <w:sz w:val="24"/>
                <w:highlight w:val="none"/>
              </w:rPr>
              <w:t>不含税总价</w:t>
            </w:r>
          </w:p>
        </w:tc>
        <w:tc>
          <w:tcPr>
            <w:tcW w:w="6166" w:type="dxa"/>
            <w:gridSpan w:val="2"/>
            <w:vAlign w:val="center"/>
          </w:tcPr>
          <w:p>
            <w:pPr>
              <w:rPr>
                <w:rFonts w:hAnsi="宋体"/>
                <w:sz w:val="24"/>
                <w:highlight w:val="none"/>
              </w:rPr>
            </w:pPr>
            <w:r>
              <w:rPr>
                <w:rFonts w:hint="eastAsia" w:ascii="宋体" w:hAnsi="宋体"/>
                <w:sz w:val="24"/>
                <w:highlight w:val="none"/>
              </w:rPr>
              <w:t>大写</w:t>
            </w:r>
            <w:r>
              <w:rPr>
                <w:rFonts w:hint="eastAsia" w:hAnsi="宋体"/>
                <w:sz w:val="24"/>
                <w:highlight w:val="none"/>
              </w:rPr>
              <w:t>：</w:t>
            </w:r>
          </w:p>
          <w:p>
            <w:pPr>
              <w:rPr>
                <w:rFonts w:ascii="宋体" w:hAnsi="宋体"/>
                <w:sz w:val="24"/>
                <w:highlight w:val="none"/>
              </w:rPr>
            </w:pPr>
            <w:r>
              <w:rPr>
                <w:rFonts w:hint="eastAsia" w:hAnsi="宋体"/>
                <w:sz w:val="24"/>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2</w:t>
            </w:r>
          </w:p>
        </w:tc>
        <w:tc>
          <w:tcPr>
            <w:tcW w:w="1844" w:type="dxa"/>
            <w:vAlign w:val="center"/>
          </w:tcPr>
          <w:p>
            <w:pPr>
              <w:jc w:val="center"/>
              <w:rPr>
                <w:rFonts w:hAnsi="宋体"/>
                <w:sz w:val="24"/>
                <w:highlight w:val="none"/>
              </w:rPr>
            </w:pPr>
            <w:r>
              <w:rPr>
                <w:rFonts w:hint="eastAsia" w:hAnsi="宋体"/>
                <w:sz w:val="24"/>
                <w:highlight w:val="none"/>
              </w:rPr>
              <w:t>投标工期</w:t>
            </w:r>
          </w:p>
        </w:tc>
        <w:tc>
          <w:tcPr>
            <w:tcW w:w="6166" w:type="dxa"/>
            <w:gridSpan w:val="2"/>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3</w:t>
            </w:r>
          </w:p>
        </w:tc>
        <w:tc>
          <w:tcPr>
            <w:tcW w:w="1844" w:type="dxa"/>
            <w:vAlign w:val="center"/>
          </w:tcPr>
          <w:p>
            <w:pPr>
              <w:jc w:val="center"/>
              <w:rPr>
                <w:rFonts w:hAnsi="宋体"/>
                <w:sz w:val="24"/>
                <w:highlight w:val="none"/>
              </w:rPr>
            </w:pPr>
            <w:r>
              <w:rPr>
                <w:rFonts w:hint="eastAsia" w:hAnsi="宋体"/>
                <w:sz w:val="24"/>
                <w:highlight w:val="none"/>
              </w:rPr>
              <w:t>工程质量标准</w:t>
            </w:r>
          </w:p>
        </w:tc>
        <w:tc>
          <w:tcPr>
            <w:tcW w:w="6166" w:type="dxa"/>
            <w:gridSpan w:val="2"/>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20" w:type="dxa"/>
            <w:vAlign w:val="center"/>
          </w:tcPr>
          <w:p>
            <w:pPr>
              <w:jc w:val="center"/>
              <w:rPr>
                <w:rFonts w:hAnsi="宋体"/>
                <w:sz w:val="24"/>
                <w:highlight w:val="none"/>
              </w:rPr>
            </w:pPr>
            <w:r>
              <w:rPr>
                <w:rFonts w:hint="eastAsia" w:hAnsi="宋体"/>
                <w:sz w:val="24"/>
                <w:highlight w:val="none"/>
              </w:rPr>
              <w:t>4</w:t>
            </w:r>
          </w:p>
        </w:tc>
        <w:tc>
          <w:tcPr>
            <w:tcW w:w="1844" w:type="dxa"/>
            <w:vAlign w:val="center"/>
          </w:tcPr>
          <w:p>
            <w:pPr>
              <w:jc w:val="center"/>
              <w:rPr>
                <w:rFonts w:hAnsi="宋体"/>
                <w:sz w:val="24"/>
                <w:highlight w:val="none"/>
              </w:rPr>
            </w:pPr>
            <w:r>
              <w:rPr>
                <w:rFonts w:hint="eastAsia" w:hAnsi="宋体"/>
                <w:sz w:val="24"/>
                <w:highlight w:val="none"/>
              </w:rPr>
              <w:t>保修期限</w:t>
            </w:r>
          </w:p>
        </w:tc>
        <w:tc>
          <w:tcPr>
            <w:tcW w:w="6166" w:type="dxa"/>
            <w:gridSpan w:val="2"/>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restart"/>
            <w:vAlign w:val="center"/>
          </w:tcPr>
          <w:p>
            <w:pPr>
              <w:jc w:val="center"/>
              <w:rPr>
                <w:rFonts w:hAnsi="宋体"/>
                <w:sz w:val="24"/>
                <w:highlight w:val="none"/>
              </w:rPr>
            </w:pPr>
            <w:r>
              <w:rPr>
                <w:rFonts w:hint="eastAsia" w:hAnsi="宋体"/>
                <w:sz w:val="24"/>
                <w:highlight w:val="none"/>
              </w:rPr>
              <w:t>5</w:t>
            </w:r>
          </w:p>
        </w:tc>
        <w:tc>
          <w:tcPr>
            <w:tcW w:w="1844" w:type="dxa"/>
            <w:vMerge w:val="restart"/>
            <w:vAlign w:val="center"/>
          </w:tcPr>
          <w:p>
            <w:pPr>
              <w:jc w:val="center"/>
              <w:rPr>
                <w:rFonts w:hAnsi="宋体"/>
                <w:sz w:val="24"/>
                <w:highlight w:val="none"/>
              </w:rPr>
            </w:pPr>
            <w:r>
              <w:rPr>
                <w:rFonts w:hint="eastAsia" w:hAnsi="宋体"/>
                <w:sz w:val="24"/>
                <w:highlight w:val="none"/>
              </w:rPr>
              <w:t>拟委派的项目负责人</w:t>
            </w:r>
          </w:p>
        </w:tc>
        <w:tc>
          <w:tcPr>
            <w:tcW w:w="1663" w:type="dxa"/>
            <w:vAlign w:val="center"/>
          </w:tcPr>
          <w:p>
            <w:pPr>
              <w:rPr>
                <w:rFonts w:hAnsi="宋体"/>
                <w:sz w:val="24"/>
                <w:highlight w:val="none"/>
              </w:rPr>
            </w:pPr>
            <w:r>
              <w:rPr>
                <w:rFonts w:hint="eastAsia" w:hAnsi="宋体"/>
                <w:sz w:val="24"/>
                <w:highlight w:val="none"/>
              </w:rPr>
              <w:t>姓名</w:t>
            </w:r>
          </w:p>
        </w:tc>
        <w:tc>
          <w:tcPr>
            <w:tcW w:w="4503" w:type="dxa"/>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continue"/>
            <w:vAlign w:val="center"/>
          </w:tcPr>
          <w:p>
            <w:pPr>
              <w:rPr>
                <w:rFonts w:hAnsi="宋体"/>
                <w:sz w:val="24"/>
                <w:highlight w:val="none"/>
              </w:rPr>
            </w:pPr>
          </w:p>
        </w:tc>
        <w:tc>
          <w:tcPr>
            <w:tcW w:w="1844" w:type="dxa"/>
            <w:vMerge w:val="continue"/>
            <w:vAlign w:val="center"/>
          </w:tcPr>
          <w:p>
            <w:pPr>
              <w:rPr>
                <w:rFonts w:hAnsi="宋体"/>
                <w:sz w:val="24"/>
                <w:highlight w:val="none"/>
              </w:rPr>
            </w:pPr>
          </w:p>
        </w:tc>
        <w:tc>
          <w:tcPr>
            <w:tcW w:w="1663" w:type="dxa"/>
            <w:vAlign w:val="center"/>
          </w:tcPr>
          <w:p>
            <w:pPr>
              <w:rPr>
                <w:rFonts w:hAnsi="宋体"/>
                <w:sz w:val="24"/>
                <w:highlight w:val="none"/>
              </w:rPr>
            </w:pPr>
            <w:r>
              <w:rPr>
                <w:rFonts w:hint="eastAsia" w:hAnsi="宋体"/>
                <w:sz w:val="24"/>
                <w:highlight w:val="none"/>
              </w:rPr>
              <w:t>技术职称</w:t>
            </w:r>
          </w:p>
        </w:tc>
        <w:tc>
          <w:tcPr>
            <w:tcW w:w="4503" w:type="dxa"/>
            <w:vAlign w:val="center"/>
          </w:tcPr>
          <w:p>
            <w:pPr>
              <w:rPr>
                <w:rFonts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20" w:type="dxa"/>
            <w:vMerge w:val="continue"/>
            <w:vAlign w:val="center"/>
          </w:tcPr>
          <w:p>
            <w:pPr>
              <w:rPr>
                <w:rFonts w:hAnsi="宋体"/>
                <w:sz w:val="24"/>
                <w:highlight w:val="none"/>
              </w:rPr>
            </w:pPr>
          </w:p>
        </w:tc>
        <w:tc>
          <w:tcPr>
            <w:tcW w:w="1844" w:type="dxa"/>
            <w:vMerge w:val="continue"/>
            <w:vAlign w:val="center"/>
          </w:tcPr>
          <w:p>
            <w:pPr>
              <w:rPr>
                <w:rFonts w:hAnsi="宋体"/>
                <w:sz w:val="24"/>
                <w:highlight w:val="none"/>
              </w:rPr>
            </w:pPr>
          </w:p>
        </w:tc>
        <w:tc>
          <w:tcPr>
            <w:tcW w:w="1663" w:type="dxa"/>
            <w:vAlign w:val="center"/>
          </w:tcPr>
          <w:p>
            <w:pPr>
              <w:rPr>
                <w:rFonts w:hAnsi="宋体"/>
                <w:sz w:val="24"/>
                <w:highlight w:val="none"/>
              </w:rPr>
            </w:pPr>
            <w:r>
              <w:rPr>
                <w:rFonts w:hint="eastAsia" w:hAnsi="宋体"/>
                <w:sz w:val="24"/>
                <w:highlight w:val="none"/>
              </w:rPr>
              <w:t>联系电话</w:t>
            </w:r>
          </w:p>
        </w:tc>
        <w:tc>
          <w:tcPr>
            <w:tcW w:w="4503" w:type="dxa"/>
            <w:vAlign w:val="center"/>
          </w:tcPr>
          <w:p>
            <w:pPr>
              <w:rPr>
                <w:rFonts w:hAnsi="宋体"/>
                <w:sz w:val="24"/>
                <w:highlight w:val="none"/>
              </w:rPr>
            </w:pPr>
          </w:p>
        </w:tc>
      </w:tr>
      <w:bookmarkEnd w:id="12"/>
    </w:tbl>
    <w:p>
      <w:pPr>
        <w:rPr>
          <w:rFonts w:hAnsi="宋体"/>
          <w:highlight w:val="none"/>
        </w:rPr>
      </w:pPr>
    </w:p>
    <w:p>
      <w:pPr>
        <w:spacing w:before="120" w:beforeLines="50" w:after="120" w:afterLines="50" w:line="360" w:lineRule="auto"/>
        <w:rPr>
          <w:rFonts w:hAnsi="宋体"/>
          <w:sz w:val="22"/>
          <w:szCs w:val="28"/>
          <w:highlight w:val="none"/>
        </w:rPr>
      </w:pPr>
      <w:r>
        <w:rPr>
          <w:rFonts w:hint="eastAsia" w:hAnsi="宋体"/>
          <w:sz w:val="22"/>
          <w:szCs w:val="28"/>
          <w:highlight w:val="none"/>
        </w:rPr>
        <w:t>注：（1）投标总价为人民币报价。</w:t>
      </w:r>
    </w:p>
    <w:p>
      <w:pPr>
        <w:tabs>
          <w:tab w:val="left" w:pos="8364"/>
        </w:tabs>
        <w:spacing w:before="120" w:beforeLines="50" w:after="120" w:afterLines="50" w:line="360" w:lineRule="auto"/>
        <w:ind w:firstLine="440" w:firstLineChars="200"/>
        <w:rPr>
          <w:rFonts w:hAnsi="宋体"/>
          <w:sz w:val="22"/>
          <w:szCs w:val="28"/>
          <w:highlight w:val="none"/>
        </w:rPr>
      </w:pPr>
      <w:r>
        <w:rPr>
          <w:rFonts w:hint="eastAsia" w:hAnsi="宋体"/>
          <w:sz w:val="22"/>
          <w:szCs w:val="28"/>
          <w:highlight w:val="none"/>
        </w:rPr>
        <w:t>（2）投标总价是所有需采购人支付的本次项目采购的金额总数，应包括竞选文件要求的全部内容，投标人完成本项目（如果中标）所必须的</w:t>
      </w:r>
      <w:r>
        <w:rPr>
          <w:rFonts w:hint="eastAsia" w:hAnsi="宋体"/>
          <w:bCs/>
          <w:sz w:val="22"/>
          <w:szCs w:val="28"/>
          <w:highlight w:val="none"/>
        </w:rPr>
        <w:t>所有成本费用和投标人应承担的一切税费</w:t>
      </w:r>
      <w:r>
        <w:rPr>
          <w:rFonts w:hint="eastAsia" w:hAnsi="宋体"/>
          <w:sz w:val="22"/>
          <w:szCs w:val="28"/>
          <w:highlight w:val="none"/>
        </w:rPr>
        <w:t>，包括但不限于全部人工费、材料、设备、工具、机具、安装运输、规费、措施费、合理利润、管理费、税费等及清理现场的费用、合同实施过程中应预见和不可预见的费用等等。</w:t>
      </w:r>
    </w:p>
    <w:p>
      <w:pPr>
        <w:tabs>
          <w:tab w:val="left" w:pos="8364"/>
        </w:tabs>
        <w:spacing w:before="120" w:beforeLines="50" w:after="120" w:afterLines="50" w:line="360" w:lineRule="auto"/>
        <w:rPr>
          <w:rFonts w:hAnsi="宋体"/>
          <w:sz w:val="22"/>
          <w:szCs w:val="28"/>
          <w:highlight w:val="none"/>
        </w:rPr>
      </w:pPr>
      <w:r>
        <w:rPr>
          <w:rFonts w:hint="eastAsia" w:hAnsi="宋体"/>
          <w:sz w:val="22"/>
          <w:szCs w:val="28"/>
          <w:highlight w:val="none"/>
        </w:rPr>
        <w:t>（3）若用小写表示的金额和用大写表示的金额不一致，以大写表示的金额为准。</w:t>
      </w:r>
    </w:p>
    <w:p>
      <w:pPr>
        <w:spacing w:before="120" w:beforeLines="50" w:after="120" w:afterLines="50" w:line="360" w:lineRule="auto"/>
        <w:rPr>
          <w:rFonts w:hAnsi="宋体"/>
          <w:szCs w:val="21"/>
          <w:highlight w:val="none"/>
        </w:rPr>
      </w:pPr>
      <w:r>
        <w:rPr>
          <w:rFonts w:hint="eastAsia" w:hAnsi="宋体"/>
          <w:szCs w:val="21"/>
          <w:highlight w:val="none"/>
        </w:rPr>
        <w:t>投标人名称（盖章）：</w:t>
      </w:r>
    </w:p>
    <w:p>
      <w:pPr>
        <w:spacing w:before="120" w:beforeLines="50" w:after="120" w:afterLines="50" w:line="360" w:lineRule="auto"/>
        <w:rPr>
          <w:rFonts w:hAnsi="宋体"/>
          <w:szCs w:val="21"/>
          <w:highlight w:val="none"/>
        </w:rPr>
      </w:pPr>
    </w:p>
    <w:p>
      <w:pPr>
        <w:spacing w:before="120" w:beforeLines="50" w:after="120" w:afterLines="50" w:line="360" w:lineRule="auto"/>
        <w:jc w:val="center"/>
        <w:rPr>
          <w:rFonts w:ascii="仿宋" w:hAnsi="仿宋" w:eastAsia="仿宋" w:cs="仿宋"/>
          <w:szCs w:val="21"/>
          <w:highlight w:val="none"/>
        </w:rPr>
      </w:pPr>
      <w:r>
        <w:rPr>
          <w:rFonts w:hint="eastAsia" w:hAnsi="宋体"/>
          <w:szCs w:val="21"/>
          <w:highlight w:val="none"/>
        </w:rPr>
        <w:t xml:space="preserve">日期： </w:t>
      </w:r>
      <w:r>
        <w:rPr>
          <w:rFonts w:hAnsi="宋体"/>
          <w:szCs w:val="21"/>
          <w:highlight w:val="none"/>
        </w:rPr>
        <w:t xml:space="preserve">    </w:t>
      </w:r>
      <w:r>
        <w:rPr>
          <w:rFonts w:hint="eastAsia" w:hAnsi="宋体"/>
          <w:szCs w:val="21"/>
          <w:highlight w:val="none"/>
        </w:rPr>
        <w:t xml:space="preserve">年 </w:t>
      </w:r>
      <w:r>
        <w:rPr>
          <w:rFonts w:hAnsi="宋体"/>
          <w:szCs w:val="21"/>
          <w:highlight w:val="none"/>
        </w:rPr>
        <w:t xml:space="preserve"> </w:t>
      </w:r>
      <w:r>
        <w:rPr>
          <w:rFonts w:hint="eastAsia" w:hAnsi="宋体"/>
          <w:szCs w:val="21"/>
          <w:highlight w:val="none"/>
        </w:rPr>
        <w:t xml:space="preserve">月 </w:t>
      </w:r>
      <w:r>
        <w:rPr>
          <w:rFonts w:hAnsi="宋体"/>
          <w:szCs w:val="21"/>
          <w:highlight w:val="none"/>
        </w:rPr>
        <w:t xml:space="preserve"> </w:t>
      </w:r>
      <w:r>
        <w:rPr>
          <w:rFonts w:hint="eastAsia" w:hAnsi="宋体"/>
          <w:szCs w:val="21"/>
          <w:highlight w:val="none"/>
        </w:rPr>
        <w:t>日</w:t>
      </w:r>
      <w:r>
        <w:rPr>
          <w:rFonts w:ascii="仿宋" w:hAnsi="仿宋" w:eastAsia="仿宋" w:cs="仿宋"/>
          <w:szCs w:val="21"/>
          <w:highlight w:val="none"/>
        </w:rPr>
        <w:br w:type="page"/>
      </w:r>
      <w:r>
        <w:rPr>
          <w:rFonts w:ascii="仿宋" w:hAnsi="仿宋" w:eastAsia="仿宋" w:cs="仿宋"/>
          <w:szCs w:val="21"/>
          <w:highlight w:val="none"/>
        </w:rPr>
        <w:t xml:space="preserve"> </w:t>
      </w:r>
    </w:p>
    <w:p>
      <w:pPr>
        <w:spacing w:before="120" w:beforeLines="50" w:after="120" w:afterLines="50" w:line="360" w:lineRule="auto"/>
        <w:rPr>
          <w:rFonts w:ascii="仿宋" w:hAnsi="仿宋" w:eastAsia="仿宋" w:cs="仿宋"/>
          <w:szCs w:val="21"/>
          <w:highlight w:val="none"/>
        </w:rPr>
      </w:pPr>
      <w:r>
        <w:rPr>
          <w:rFonts w:hint="eastAsia" w:ascii="宋体" w:hAnsi="宋体" w:cs="Arial"/>
          <w:color w:val="000000"/>
          <w:sz w:val="30"/>
          <w:szCs w:val="30"/>
          <w:highlight w:val="none"/>
        </w:rPr>
        <w:t>附件2</w:t>
      </w:r>
    </w:p>
    <w:tbl>
      <w:tblPr>
        <w:tblStyle w:val="23"/>
        <w:tblW w:w="9356" w:type="dxa"/>
        <w:tblInd w:w="-34" w:type="dxa"/>
        <w:tblLayout w:type="fixed"/>
        <w:tblCellMar>
          <w:top w:w="0" w:type="dxa"/>
          <w:left w:w="108" w:type="dxa"/>
          <w:bottom w:w="0" w:type="dxa"/>
          <w:right w:w="108" w:type="dxa"/>
        </w:tblCellMar>
      </w:tblPr>
      <w:tblGrid>
        <w:gridCol w:w="981"/>
        <w:gridCol w:w="91"/>
        <w:gridCol w:w="346"/>
        <w:gridCol w:w="189"/>
        <w:gridCol w:w="1585"/>
        <w:gridCol w:w="1060"/>
        <w:gridCol w:w="740"/>
        <w:gridCol w:w="1180"/>
        <w:gridCol w:w="440"/>
        <w:gridCol w:w="236"/>
        <w:gridCol w:w="723"/>
        <w:gridCol w:w="1785"/>
      </w:tblGrid>
      <w:tr>
        <w:tblPrEx>
          <w:tblLayout w:type="fixed"/>
          <w:tblCellMar>
            <w:top w:w="0" w:type="dxa"/>
            <w:left w:w="108" w:type="dxa"/>
            <w:bottom w:w="0" w:type="dxa"/>
            <w:right w:w="108" w:type="dxa"/>
          </w:tblCellMar>
        </w:tblPrEx>
        <w:trPr>
          <w:trHeight w:val="444" w:hRule="atLeast"/>
        </w:trPr>
        <w:tc>
          <w:tcPr>
            <w:tcW w:w="9356" w:type="dxa"/>
            <w:gridSpan w:val="12"/>
            <w:tcBorders>
              <w:top w:val="nil"/>
              <w:left w:val="nil"/>
              <w:bottom w:val="nil"/>
              <w:right w:val="nil"/>
            </w:tcBorders>
            <w:shd w:val="clear" w:color="auto" w:fill="auto"/>
            <w:vAlign w:val="center"/>
          </w:tcPr>
          <w:p>
            <w:pPr>
              <w:widowControl/>
              <w:ind w:firstLine="3080" w:firstLineChars="700"/>
              <w:rPr>
                <w:rFonts w:ascii="黑体" w:hAnsi="黑体" w:eastAsia="黑体" w:cs="宋体"/>
                <w:kern w:val="0"/>
                <w:sz w:val="44"/>
                <w:szCs w:val="44"/>
                <w:highlight w:val="none"/>
              </w:rPr>
            </w:pPr>
            <w:bookmarkStart w:id="13" w:name="_Hlk33473319"/>
            <w:r>
              <w:rPr>
                <w:rFonts w:hint="eastAsia" w:ascii="黑体" w:hAnsi="黑体" w:eastAsia="黑体" w:cs="宋体"/>
                <w:kern w:val="0"/>
                <w:sz w:val="44"/>
                <w:szCs w:val="44"/>
                <w:highlight w:val="none"/>
              </w:rPr>
              <w:t>供应商调查表</w:t>
            </w:r>
          </w:p>
        </w:tc>
      </w:tr>
      <w:tr>
        <w:tblPrEx>
          <w:tblLayout w:type="fixed"/>
          <w:tblCellMar>
            <w:top w:w="0" w:type="dxa"/>
            <w:left w:w="108" w:type="dxa"/>
            <w:bottom w:w="0" w:type="dxa"/>
            <w:right w:w="108" w:type="dxa"/>
          </w:tblCellMar>
        </w:tblPrEx>
        <w:trPr>
          <w:trHeight w:val="399" w:hRule="atLeast"/>
        </w:trPr>
        <w:tc>
          <w:tcPr>
            <w:tcW w:w="9356" w:type="dxa"/>
            <w:gridSpan w:val="12"/>
            <w:tcBorders>
              <w:top w:val="nil"/>
              <w:left w:val="nil"/>
              <w:bottom w:val="single" w:color="auto" w:sz="8" w:space="0"/>
              <w:right w:val="nil"/>
            </w:tcBorders>
            <w:shd w:val="clear" w:color="auto" w:fill="auto"/>
            <w:vAlign w:val="center"/>
          </w:tcPr>
          <w:p>
            <w:pPr>
              <w:widowControl/>
              <w:ind w:firstLine="200"/>
              <w:rPr>
                <w:rFonts w:hint="eastAsia" w:ascii="宋体" w:hAnsi="宋体" w:eastAsia="宋体" w:cs="宋体"/>
                <w:kern w:val="0"/>
                <w:sz w:val="28"/>
                <w:szCs w:val="28"/>
                <w:highlight w:val="none"/>
                <w:lang w:eastAsia="zh-CN"/>
              </w:rPr>
            </w:pPr>
            <w:r>
              <w:rPr>
                <w:rFonts w:hint="eastAsia" w:ascii="宋体" w:hAnsi="宋体" w:cs="宋体"/>
                <w:kern w:val="0"/>
                <w:sz w:val="28"/>
                <w:szCs w:val="28"/>
                <w:highlight w:val="none"/>
              </w:rPr>
              <w:t>项目名称：</w:t>
            </w:r>
            <w:r>
              <w:rPr>
                <w:rFonts w:hint="eastAsia" w:ascii="宋体"/>
                <w:sz w:val="24"/>
                <w:highlight w:val="none"/>
                <w:lang w:eastAsia="zh-CN"/>
              </w:rPr>
              <w:t>冷站二级泵电机前后轴承端盖轴承室修复工程</w:t>
            </w: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 xml:space="preserve">供应商名称 </w:t>
            </w:r>
          </w:p>
        </w:tc>
        <w:tc>
          <w:tcPr>
            <w:tcW w:w="4754"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法人代表</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highlight w:val="none"/>
              </w:rPr>
            </w:pP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详细地址</w:t>
            </w:r>
          </w:p>
        </w:tc>
        <w:tc>
          <w:tcPr>
            <w:tcW w:w="4754"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邮    编</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highlight w:val="none"/>
              </w:rPr>
            </w:pPr>
          </w:p>
        </w:tc>
      </w:tr>
      <w:tr>
        <w:tblPrEx>
          <w:tblLayout w:type="fixed"/>
          <w:tblCellMar>
            <w:top w:w="0" w:type="dxa"/>
            <w:left w:w="108" w:type="dxa"/>
            <w:bottom w:w="0" w:type="dxa"/>
            <w:right w:w="108" w:type="dxa"/>
          </w:tblCellMar>
        </w:tblPrEx>
        <w:trPr>
          <w:trHeight w:val="876"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成立日期</w:t>
            </w:r>
          </w:p>
        </w:tc>
        <w:tc>
          <w:tcPr>
            <w:tcW w:w="177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营业执照号码</w:t>
            </w: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发证机构</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highlight w:val="none"/>
              </w:rPr>
            </w:pPr>
          </w:p>
        </w:tc>
      </w:tr>
      <w:tr>
        <w:tblPrEx>
          <w:tblLayout w:type="fixed"/>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固定电话号码</w:t>
            </w:r>
          </w:p>
        </w:tc>
        <w:tc>
          <w:tcPr>
            <w:tcW w:w="177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传真号码</w:t>
            </w: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注册资金</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highlight w:val="none"/>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公司类型</w:t>
            </w:r>
          </w:p>
        </w:tc>
        <w:tc>
          <w:tcPr>
            <w:tcW w:w="338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highlight w:val="none"/>
              </w:rPr>
            </w:pPr>
          </w:p>
        </w:tc>
        <w:tc>
          <w:tcPr>
            <w:tcW w:w="16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机构性质</w:t>
            </w:r>
          </w:p>
        </w:tc>
        <w:tc>
          <w:tcPr>
            <w:tcW w:w="2744"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项目联系人</w:t>
            </w:r>
          </w:p>
        </w:tc>
        <w:tc>
          <w:tcPr>
            <w:tcW w:w="338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highlight w:val="none"/>
              </w:rPr>
            </w:pPr>
          </w:p>
        </w:tc>
        <w:tc>
          <w:tcPr>
            <w:tcW w:w="16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联系电话</w:t>
            </w:r>
          </w:p>
        </w:tc>
        <w:tc>
          <w:tcPr>
            <w:tcW w:w="2744"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经营范围</w:t>
            </w:r>
          </w:p>
        </w:tc>
        <w:tc>
          <w:tcPr>
            <w:tcW w:w="7749" w:type="dxa"/>
            <w:gridSpan w:val="8"/>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宋体" w:hAnsi="宋体" w:cs="宋体"/>
                <w:b/>
                <w:bCs/>
                <w:kern w:val="0"/>
                <w:sz w:val="24"/>
                <w:highlight w:val="none"/>
              </w:rPr>
            </w:pPr>
          </w:p>
          <w:p>
            <w:pPr>
              <w:widowControl/>
              <w:rPr>
                <w:rFonts w:ascii="宋体" w:hAnsi="宋体" w:cs="宋体"/>
                <w:b/>
                <w:bCs/>
                <w:kern w:val="0"/>
                <w:sz w:val="24"/>
                <w:highlight w:val="none"/>
              </w:rPr>
            </w:pPr>
          </w:p>
          <w:p>
            <w:pPr>
              <w:widowControl/>
              <w:rPr>
                <w:rFonts w:ascii="宋体" w:hAnsi="宋体" w:cs="宋体"/>
                <w:b/>
                <w:bCs/>
                <w:kern w:val="0"/>
                <w:sz w:val="24"/>
                <w:highlight w:val="none"/>
              </w:rPr>
            </w:pPr>
          </w:p>
          <w:p>
            <w:pPr>
              <w:widowControl/>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序号</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资质证书（认证项目）名称</w:t>
            </w: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发证机关</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1</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2</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3</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主要服务行业</w:t>
            </w:r>
          </w:p>
        </w:tc>
        <w:tc>
          <w:tcPr>
            <w:tcW w:w="2645"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主要客户</w:t>
            </w: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356" w:type="dxa"/>
            <w:gridSpan w:val="1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近三年类似业绩</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序号</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服务单位</w:t>
            </w: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项目内容</w:t>
            </w: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1</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2</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r>
      <w:tr>
        <w:tblPrEx>
          <w:tblLayout w:type="fixed"/>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3</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highlight w:val="none"/>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tcPr>
          <w:p>
            <w:pPr>
              <w:widowControl/>
              <w:jc w:val="center"/>
              <w:rPr>
                <w:b/>
                <w:bCs/>
                <w:kern w:val="0"/>
                <w:sz w:val="24"/>
                <w:highlight w:val="none"/>
              </w:rPr>
            </w:pPr>
          </w:p>
        </w:tc>
      </w:tr>
      <w:tr>
        <w:tblPrEx>
          <w:tblLayout w:type="fixed"/>
          <w:tblCellMar>
            <w:top w:w="0" w:type="dxa"/>
            <w:left w:w="108" w:type="dxa"/>
            <w:bottom w:w="0" w:type="dxa"/>
            <w:right w:w="108" w:type="dxa"/>
          </w:tblCellMar>
        </w:tblPrEx>
        <w:trPr>
          <w:trHeight w:val="399" w:hRule="atLeast"/>
        </w:trPr>
        <w:tc>
          <w:tcPr>
            <w:tcW w:w="1072" w:type="dxa"/>
            <w:gridSpan w:val="2"/>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535" w:type="dxa"/>
            <w:gridSpan w:val="2"/>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1585"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106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74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118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44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236"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723"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c>
          <w:tcPr>
            <w:tcW w:w="1785"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highlight w:val="none"/>
              </w:rPr>
            </w:pPr>
          </w:p>
        </w:tc>
      </w:tr>
      <w:tr>
        <w:tblPrEx>
          <w:tblLayout w:type="fixed"/>
          <w:tblCellMar>
            <w:top w:w="0" w:type="dxa"/>
            <w:left w:w="108" w:type="dxa"/>
            <w:bottom w:w="0" w:type="dxa"/>
            <w:right w:w="108" w:type="dxa"/>
          </w:tblCellMar>
        </w:tblPrEx>
        <w:trPr>
          <w:trHeight w:val="399" w:hRule="atLeast"/>
        </w:trPr>
        <w:tc>
          <w:tcPr>
            <w:tcW w:w="9356" w:type="dxa"/>
            <w:gridSpan w:val="12"/>
            <w:tcBorders>
              <w:top w:val="nil"/>
              <w:left w:val="nil"/>
              <w:bottom w:val="nil"/>
              <w:right w:val="nil"/>
            </w:tcBorders>
            <w:shd w:val="clear" w:color="auto" w:fill="auto"/>
            <w:vAlign w:val="center"/>
          </w:tcPr>
          <w:p>
            <w:pPr>
              <w:spacing w:line="400" w:lineRule="exact"/>
              <w:ind w:firstLine="200"/>
              <w:rPr>
                <w:sz w:val="28"/>
                <w:szCs w:val="28"/>
                <w:highlight w:val="none"/>
              </w:rPr>
            </w:pPr>
          </w:p>
          <w:p>
            <w:pPr>
              <w:spacing w:line="400" w:lineRule="exact"/>
              <w:rPr>
                <w:sz w:val="28"/>
                <w:szCs w:val="28"/>
                <w:highlight w:val="none"/>
              </w:rPr>
            </w:pPr>
            <w:r>
              <w:rPr>
                <w:rFonts w:hint="eastAsia"/>
                <w:sz w:val="28"/>
                <w:szCs w:val="28"/>
                <w:highlight w:val="none"/>
              </w:rPr>
              <w:t>报名单位（盖章）：</w:t>
            </w:r>
          </w:p>
        </w:tc>
      </w:tr>
    </w:tbl>
    <w:p>
      <w:pPr>
        <w:spacing w:line="400" w:lineRule="exact"/>
        <w:ind w:left="560" w:hanging="560" w:hangingChars="200"/>
        <w:rPr>
          <w:sz w:val="28"/>
          <w:szCs w:val="28"/>
          <w:highlight w:val="none"/>
        </w:rPr>
      </w:pPr>
    </w:p>
    <w:p>
      <w:pPr>
        <w:spacing w:line="400" w:lineRule="exact"/>
        <w:ind w:left="560" w:hanging="560" w:hangingChars="200"/>
        <w:rPr>
          <w:sz w:val="28"/>
          <w:szCs w:val="28"/>
          <w:highlight w:val="none"/>
        </w:rPr>
      </w:pPr>
      <w:r>
        <w:rPr>
          <w:rFonts w:hint="eastAsia"/>
          <w:sz w:val="28"/>
          <w:szCs w:val="28"/>
          <w:highlight w:val="none"/>
        </w:rPr>
        <w:t>日期：202</w:t>
      </w:r>
      <w:r>
        <w:rPr>
          <w:rFonts w:hint="eastAsia"/>
          <w:sz w:val="28"/>
          <w:szCs w:val="28"/>
          <w:highlight w:val="none"/>
          <w:lang w:val="en-US" w:eastAsia="zh-CN"/>
        </w:rPr>
        <w:t>3</w:t>
      </w:r>
      <w:r>
        <w:rPr>
          <w:rFonts w:hint="eastAsia"/>
          <w:sz w:val="28"/>
          <w:szCs w:val="28"/>
          <w:highlight w:val="none"/>
        </w:rPr>
        <w:t xml:space="preserve">年 </w:t>
      </w:r>
      <w:r>
        <w:rPr>
          <w:sz w:val="28"/>
          <w:szCs w:val="28"/>
          <w:highlight w:val="none"/>
        </w:rPr>
        <w:t xml:space="preserve">  </w:t>
      </w:r>
      <w:r>
        <w:rPr>
          <w:rFonts w:hint="eastAsia"/>
          <w:sz w:val="28"/>
          <w:szCs w:val="28"/>
          <w:highlight w:val="none"/>
        </w:rPr>
        <w:t xml:space="preserve">月 </w:t>
      </w:r>
      <w:r>
        <w:rPr>
          <w:sz w:val="28"/>
          <w:szCs w:val="28"/>
          <w:highlight w:val="none"/>
        </w:rPr>
        <w:t xml:space="preserve"> </w:t>
      </w:r>
      <w:r>
        <w:rPr>
          <w:rFonts w:hint="eastAsia"/>
          <w:sz w:val="28"/>
          <w:szCs w:val="28"/>
          <w:highlight w:val="none"/>
        </w:rPr>
        <w:t>日</w:t>
      </w:r>
    </w:p>
    <w:bookmarkEnd w:id="13"/>
    <w:p>
      <w:pPr>
        <w:spacing w:line="400" w:lineRule="exact"/>
        <w:ind w:left="560" w:hanging="560" w:hangingChars="200"/>
        <w:rPr>
          <w:rFonts w:ascii="宋体" w:hAnsi="宋体"/>
          <w:bCs/>
          <w:sz w:val="30"/>
          <w:szCs w:val="30"/>
          <w:highlight w:val="none"/>
        </w:rPr>
      </w:pPr>
      <w:r>
        <w:rPr>
          <w:sz w:val="28"/>
          <w:szCs w:val="28"/>
          <w:highlight w:val="none"/>
        </w:rPr>
        <w:br w:type="page"/>
      </w:r>
      <w:r>
        <w:rPr>
          <w:rFonts w:hint="eastAsia" w:ascii="宋体" w:hAnsi="宋体"/>
          <w:bCs/>
          <w:sz w:val="30"/>
          <w:szCs w:val="30"/>
          <w:highlight w:val="none"/>
        </w:rPr>
        <w:t>附件3</w:t>
      </w:r>
    </w:p>
    <w:p>
      <w:pPr>
        <w:spacing w:line="500" w:lineRule="exact"/>
        <w:jc w:val="center"/>
        <w:rPr>
          <w:rFonts w:eastAsia="黑体"/>
          <w:b/>
          <w:bCs/>
          <w:sz w:val="36"/>
          <w:highlight w:val="none"/>
        </w:rPr>
      </w:pPr>
      <w:r>
        <w:rPr>
          <w:rFonts w:hint="eastAsia" w:eastAsia="黑体"/>
          <w:b/>
          <w:bCs/>
          <w:sz w:val="36"/>
          <w:highlight w:val="none"/>
        </w:rPr>
        <w:t>法定代表人身份证明书</w:t>
      </w:r>
    </w:p>
    <w:p>
      <w:pPr>
        <w:spacing w:line="500" w:lineRule="exact"/>
        <w:rPr>
          <w:b/>
          <w:bCs/>
          <w:szCs w:val="21"/>
          <w:highlight w:val="none"/>
        </w:rPr>
      </w:pPr>
    </w:p>
    <w:p>
      <w:pPr>
        <w:spacing w:line="500" w:lineRule="exact"/>
        <w:ind w:firstLine="1120" w:firstLineChars="400"/>
        <w:rPr>
          <w:rFonts w:ascii="宋体" w:hAnsi="宋体" w:cs="宋体"/>
          <w:sz w:val="28"/>
          <w:highlight w:val="none"/>
        </w:rPr>
      </w:pPr>
      <w:bookmarkStart w:id="14" w:name="_Hlk33473365"/>
      <w:r>
        <w:rPr>
          <w:rFonts w:hint="eastAsia" w:ascii="宋体" w:hAnsi="宋体" w:cs="宋体"/>
          <w:sz w:val="28"/>
          <w:highlight w:val="none"/>
        </w:rPr>
        <w:t>在我单位任</w:t>
      </w:r>
      <w:r>
        <w:rPr>
          <w:rFonts w:hint="eastAsia" w:ascii="宋体" w:hAnsi="宋体" w:cs="宋体"/>
          <w:sz w:val="28"/>
          <w:highlight w:val="none"/>
          <w:u w:val="single"/>
        </w:rPr>
        <w:t xml:space="preserve"> </w:t>
      </w:r>
      <w:r>
        <w:rPr>
          <w:rFonts w:ascii="宋体" w:hAnsi="宋体" w:cs="宋体"/>
          <w:sz w:val="28"/>
          <w:highlight w:val="none"/>
          <w:u w:val="single"/>
        </w:rPr>
        <w:t xml:space="preserve">    </w:t>
      </w:r>
      <w:r>
        <w:rPr>
          <w:rFonts w:hint="eastAsia" w:ascii="宋体" w:hAnsi="宋体" w:cs="宋体"/>
          <w:sz w:val="28"/>
          <w:highlight w:val="none"/>
        </w:rPr>
        <w:t>职务，是我单位法定代表人，身份证号为</w:t>
      </w:r>
      <w:r>
        <w:rPr>
          <w:rFonts w:hint="eastAsia" w:ascii="宋体" w:hAnsi="宋体" w:cs="宋体"/>
          <w:sz w:val="28"/>
          <w:highlight w:val="none"/>
          <w:u w:val="single"/>
        </w:rPr>
        <w:t xml:space="preserve"> </w:t>
      </w:r>
      <w:r>
        <w:rPr>
          <w:rFonts w:ascii="宋体" w:hAnsi="宋体" w:cs="宋体"/>
          <w:sz w:val="28"/>
          <w:highlight w:val="none"/>
          <w:u w:val="single"/>
        </w:rPr>
        <w:t xml:space="preserve">     </w:t>
      </w:r>
      <w:r>
        <w:rPr>
          <w:rFonts w:hint="eastAsia" w:ascii="宋体" w:hAnsi="宋体" w:cs="宋体"/>
          <w:sz w:val="28"/>
          <w:highlight w:val="none"/>
        </w:rPr>
        <w:t>，特此证明。</w:t>
      </w:r>
    </w:p>
    <w:p>
      <w:pPr>
        <w:spacing w:line="500" w:lineRule="exact"/>
        <w:ind w:firstLine="627" w:firstLineChars="224"/>
        <w:rPr>
          <w:rFonts w:ascii="宋体" w:hAnsi="宋体" w:cs="宋体"/>
          <w:sz w:val="28"/>
          <w:highlight w:val="none"/>
        </w:rPr>
      </w:pPr>
    </w:p>
    <w:p>
      <w:pPr>
        <w:spacing w:line="500" w:lineRule="exact"/>
        <w:jc w:val="left"/>
        <w:rPr>
          <w:rFonts w:ascii="宋体" w:hAnsi="宋体" w:cs="宋体"/>
          <w:sz w:val="28"/>
          <w:highlight w:val="none"/>
        </w:rPr>
      </w:pPr>
      <w:r>
        <w:rPr>
          <w:rFonts w:hint="eastAsia" w:ascii="宋体" w:hAnsi="宋体" w:cs="宋体"/>
          <w:sz w:val="28"/>
          <w:highlight w:val="none"/>
        </w:rPr>
        <w:t>（单位盖章）</w:t>
      </w:r>
    </w:p>
    <w:p>
      <w:pPr>
        <w:spacing w:line="500" w:lineRule="exact"/>
        <w:ind w:firstLine="627" w:firstLineChars="224"/>
        <w:rPr>
          <w:rFonts w:hAnsi="宋体" w:cs="宋体"/>
          <w:sz w:val="28"/>
          <w:szCs w:val="28"/>
          <w:highlight w:val="none"/>
        </w:rPr>
      </w:pPr>
    </w:p>
    <w:p>
      <w:pPr>
        <w:spacing w:line="500" w:lineRule="exact"/>
        <w:rPr>
          <w:rFonts w:ascii="宋体" w:hAnsi="宋体" w:cs="宋体"/>
          <w:sz w:val="28"/>
          <w:highlight w:val="none"/>
        </w:rPr>
      </w:pPr>
      <w:r>
        <w:rPr>
          <w:rFonts w:hint="eastAsia" w:hAnsi="宋体" w:cs="宋体"/>
          <w:sz w:val="28"/>
          <w:szCs w:val="28"/>
          <w:highlight w:val="none"/>
        </w:rPr>
        <w:t>日期：202</w:t>
      </w:r>
      <w:r>
        <w:rPr>
          <w:rFonts w:hint="eastAsia" w:hAnsi="宋体" w:cs="宋体"/>
          <w:sz w:val="28"/>
          <w:szCs w:val="28"/>
          <w:highlight w:val="none"/>
          <w:lang w:val="en-US" w:eastAsia="zh-CN"/>
        </w:rPr>
        <w:t>3</w:t>
      </w:r>
      <w:r>
        <w:rPr>
          <w:rFonts w:hint="eastAsia" w:hAnsi="宋体" w:cs="宋体"/>
          <w:sz w:val="28"/>
          <w:szCs w:val="28"/>
          <w:highlight w:val="none"/>
        </w:rPr>
        <w:t xml:space="preserve">年 </w:t>
      </w:r>
      <w:r>
        <w:rPr>
          <w:rFonts w:hAnsi="宋体" w:cs="宋体"/>
          <w:sz w:val="28"/>
          <w:szCs w:val="28"/>
          <w:highlight w:val="none"/>
        </w:rPr>
        <w:t xml:space="preserve">  </w:t>
      </w:r>
      <w:r>
        <w:rPr>
          <w:rFonts w:hint="eastAsia" w:hAnsi="宋体" w:cs="宋体"/>
          <w:sz w:val="28"/>
          <w:szCs w:val="28"/>
          <w:highlight w:val="none"/>
        </w:rPr>
        <w:t xml:space="preserve">月 </w:t>
      </w:r>
      <w:r>
        <w:rPr>
          <w:rFonts w:hAnsi="宋体" w:cs="宋体"/>
          <w:sz w:val="28"/>
          <w:szCs w:val="28"/>
          <w:highlight w:val="none"/>
        </w:rPr>
        <w:t xml:space="preserve"> </w:t>
      </w:r>
      <w:r>
        <w:rPr>
          <w:rFonts w:hint="eastAsia" w:hAnsi="宋体" w:cs="宋体"/>
          <w:sz w:val="28"/>
          <w:szCs w:val="28"/>
          <w:highlight w:val="none"/>
        </w:rPr>
        <w:t>日</w:t>
      </w:r>
    </w:p>
    <w:p>
      <w:pPr>
        <w:spacing w:line="500" w:lineRule="exact"/>
        <w:rPr>
          <w:rFonts w:ascii="宋体" w:hAnsi="宋体" w:cs="宋体"/>
          <w:sz w:val="28"/>
          <w:highlight w:val="none"/>
        </w:rPr>
      </w:pPr>
      <w:r>
        <w:rPr>
          <w:rFonts w:hint="eastAsia" w:ascii="宋体" w:hAnsi="宋体" w:cs="宋体"/>
          <w:sz w:val="28"/>
          <w:highlight w:val="none"/>
        </w:rPr>
        <w:t xml:space="preserve">单位通信地址：                                </w:t>
      </w:r>
    </w:p>
    <w:p>
      <w:pPr>
        <w:spacing w:line="500" w:lineRule="exact"/>
        <w:rPr>
          <w:rFonts w:ascii="宋体" w:hAnsi="宋体" w:cs="宋体"/>
          <w:sz w:val="28"/>
          <w:highlight w:val="none"/>
        </w:rPr>
      </w:pPr>
    </w:p>
    <w:p>
      <w:pPr>
        <w:spacing w:line="500" w:lineRule="exact"/>
        <w:rPr>
          <w:rFonts w:ascii="宋体" w:hAnsi="宋体" w:cs="宋体"/>
          <w:sz w:val="28"/>
          <w:highlight w:val="none"/>
        </w:rPr>
      </w:pPr>
      <w:r>
        <w:rPr>
          <w:rFonts w:hint="eastAsia" w:ascii="宋体" w:hAnsi="宋体" w:cs="宋体"/>
          <w:sz w:val="28"/>
          <w:highlight w:val="none"/>
        </w:rPr>
        <w:t xml:space="preserve">邮政编码：                 单位联系电话：   </w:t>
      </w:r>
    </w:p>
    <w:p>
      <w:pPr>
        <w:rPr>
          <w:highlight w:val="none"/>
        </w:rPr>
      </w:pPr>
    </w:p>
    <w:p>
      <w:pPr>
        <w:spacing w:line="360" w:lineRule="auto"/>
        <w:rPr>
          <w:rFonts w:ascii="宋体" w:hAnsi="宋体" w:cs="Arial"/>
          <w:color w:val="000000"/>
          <w:sz w:val="28"/>
          <w:szCs w:val="28"/>
          <w:highlight w:val="none"/>
        </w:rPr>
      </w:pPr>
      <w:r>
        <w:rPr>
          <w:rFonts w:hint="eastAsia" w:ascii="宋体" w:hAnsi="宋体" w:cs="Arial"/>
          <w:color w:val="000000"/>
          <w:sz w:val="28"/>
          <w:szCs w:val="28"/>
          <w:highlight w:val="none"/>
        </w:rPr>
        <w:t>附：法人代表身份证正反面或其他身份证明材料复印件</w:t>
      </w:r>
    </w:p>
    <w:bookmarkEnd w:id="14"/>
    <w:p>
      <w:pPr>
        <w:spacing w:line="360" w:lineRule="auto"/>
        <w:rPr>
          <w:rFonts w:ascii="宋体" w:hAnsi="宋体" w:cs="Arial"/>
          <w:color w:val="000000"/>
          <w:sz w:val="28"/>
          <w:szCs w:val="28"/>
          <w:highlight w:val="none"/>
        </w:rPr>
      </w:pPr>
    </w:p>
    <w:p>
      <w:pPr>
        <w:spacing w:line="360" w:lineRule="auto"/>
        <w:rPr>
          <w:rFonts w:ascii="宋体" w:hAnsi="宋体" w:cs="Arial"/>
          <w:color w:val="000000"/>
          <w:sz w:val="30"/>
          <w:szCs w:val="30"/>
          <w:highlight w:val="none"/>
        </w:rPr>
      </w:pPr>
      <w:r>
        <w:rPr>
          <w:rFonts w:hint="eastAsia" w:ascii="宋体" w:hAnsi="宋体" w:cs="Arial"/>
          <w:color w:val="000000"/>
          <w:sz w:val="28"/>
          <w:szCs w:val="28"/>
          <w:highlight w:val="none"/>
        </w:rPr>
        <w:br w:type="page"/>
      </w:r>
      <w:r>
        <w:rPr>
          <w:rFonts w:hint="eastAsia" w:ascii="宋体" w:hAnsi="宋体" w:cs="黑体"/>
          <w:color w:val="000000"/>
          <w:sz w:val="30"/>
          <w:szCs w:val="30"/>
          <w:highlight w:val="none"/>
        </w:rPr>
        <w:t>附件4</w:t>
      </w:r>
    </w:p>
    <w:p>
      <w:pPr>
        <w:spacing w:line="500" w:lineRule="exact"/>
        <w:ind w:firstLine="2168" w:firstLineChars="600"/>
        <w:rPr>
          <w:rFonts w:eastAsia="黑体"/>
          <w:b/>
          <w:bCs/>
          <w:sz w:val="36"/>
          <w:highlight w:val="none"/>
        </w:rPr>
      </w:pPr>
      <w:r>
        <w:rPr>
          <w:rFonts w:hint="eastAsia" w:eastAsia="黑体"/>
          <w:b/>
          <w:bCs/>
          <w:sz w:val="36"/>
          <w:highlight w:val="none"/>
        </w:rPr>
        <w:t>法定代表人授权委托证明书</w:t>
      </w:r>
    </w:p>
    <w:p>
      <w:pPr>
        <w:pStyle w:val="26"/>
        <w:spacing w:line="360" w:lineRule="auto"/>
        <w:ind w:firstLine="424" w:firstLineChars="177"/>
        <w:rPr>
          <w:rFonts w:hAnsi="宋体"/>
          <w:bCs/>
          <w:sz w:val="24"/>
          <w:szCs w:val="24"/>
          <w:highlight w:val="none"/>
        </w:rPr>
      </w:pPr>
    </w:p>
    <w:p>
      <w:pPr>
        <w:pStyle w:val="26"/>
        <w:spacing w:line="360" w:lineRule="auto"/>
        <w:ind w:firstLine="480" w:firstLineChars="200"/>
        <w:rPr>
          <w:rFonts w:hAnsi="宋体"/>
          <w:sz w:val="24"/>
          <w:szCs w:val="24"/>
          <w:highlight w:val="none"/>
        </w:rPr>
      </w:pPr>
      <w:r>
        <w:rPr>
          <w:rFonts w:hint="eastAsia" w:hAnsi="宋体"/>
          <w:bCs/>
          <w:sz w:val="24"/>
          <w:szCs w:val="24"/>
          <w:highlight w:val="none"/>
        </w:rPr>
        <w:t>兹授权（委托代理人姓名）为我方委托代理人，其权限是：</w:t>
      </w:r>
      <w:r>
        <w:rPr>
          <w:rFonts w:hint="eastAsia" w:hAnsi="宋体"/>
          <w:sz w:val="24"/>
          <w:szCs w:val="24"/>
          <w:highlight w:val="none"/>
        </w:rPr>
        <w:t>办理                       （采购单位名称）组织的“                （项目名称）”的投标和合同执行，以我方的名义处理一切与之有关的事宜。</w:t>
      </w:r>
    </w:p>
    <w:p>
      <w:pPr>
        <w:pStyle w:val="26"/>
        <w:spacing w:line="360" w:lineRule="auto"/>
        <w:ind w:firstLine="480" w:firstLineChars="200"/>
        <w:rPr>
          <w:rFonts w:hAnsi="宋体"/>
          <w:bCs/>
          <w:sz w:val="24"/>
          <w:szCs w:val="24"/>
          <w:highlight w:val="none"/>
        </w:rPr>
      </w:pPr>
      <w:r>
        <w:rPr>
          <w:rFonts w:hint="eastAsia" w:hAnsi="宋体"/>
          <w:sz w:val="24"/>
          <w:szCs w:val="24"/>
          <w:highlight w:val="none"/>
          <w:lang w:val="en-GB"/>
        </w:rPr>
        <w:t>本</w:t>
      </w:r>
      <w:r>
        <w:rPr>
          <w:rFonts w:hint="eastAsia" w:hAnsi="宋体"/>
          <w:sz w:val="24"/>
          <w:szCs w:val="24"/>
          <w:highlight w:val="none"/>
        </w:rPr>
        <w:t>授权书</w:t>
      </w:r>
      <w:r>
        <w:rPr>
          <w:rFonts w:hint="eastAsia" w:hAnsi="宋体"/>
          <w:sz w:val="24"/>
          <w:szCs w:val="24"/>
          <w:highlight w:val="none"/>
          <w:lang w:val="en-GB"/>
        </w:rPr>
        <w:t>自</w:t>
      </w:r>
      <w:r>
        <w:rPr>
          <w:rFonts w:hint="eastAsia" w:hAnsi="宋体"/>
          <w:sz w:val="24"/>
          <w:szCs w:val="24"/>
          <w:highlight w:val="none"/>
        </w:rPr>
        <w:t>年月日</w:t>
      </w:r>
      <w:r>
        <w:rPr>
          <w:rFonts w:hint="eastAsia" w:hAnsi="宋体"/>
          <w:sz w:val="24"/>
          <w:szCs w:val="24"/>
          <w:highlight w:val="none"/>
          <w:lang w:val="en-GB"/>
        </w:rPr>
        <w:t>签章之日起生效，特此声明。</w:t>
      </w:r>
    </w:p>
    <w:p>
      <w:pPr>
        <w:pStyle w:val="26"/>
        <w:spacing w:line="360" w:lineRule="auto"/>
        <w:ind w:firstLine="480" w:firstLineChars="200"/>
        <w:rPr>
          <w:rFonts w:hAnsi="宋体"/>
          <w:sz w:val="24"/>
          <w:szCs w:val="24"/>
          <w:highlight w:val="none"/>
          <w:u w:val="single"/>
        </w:rPr>
      </w:pPr>
      <w:r>
        <w:rPr>
          <w:rFonts w:hint="eastAsia" w:hAnsi="宋体"/>
          <w:sz w:val="24"/>
          <w:szCs w:val="24"/>
          <w:highlight w:val="none"/>
        </w:rPr>
        <w:t>附：代理人性别：   年龄：   职务：</w:t>
      </w:r>
    </w:p>
    <w:p>
      <w:pPr>
        <w:pStyle w:val="26"/>
        <w:spacing w:line="360" w:lineRule="auto"/>
        <w:ind w:firstLine="480" w:firstLineChars="200"/>
        <w:rPr>
          <w:rFonts w:hAnsi="宋体"/>
          <w:sz w:val="24"/>
          <w:szCs w:val="24"/>
          <w:highlight w:val="none"/>
          <w:u w:val="single"/>
        </w:rPr>
      </w:pPr>
      <w:r>
        <w:rPr>
          <w:rFonts w:hint="eastAsia" w:hAnsi="宋体"/>
          <w:sz w:val="24"/>
          <w:szCs w:val="24"/>
          <w:highlight w:val="none"/>
        </w:rPr>
        <w:t>　　身份证号码：</w:t>
      </w:r>
    </w:p>
    <w:p>
      <w:pPr>
        <w:pStyle w:val="26"/>
        <w:spacing w:line="360" w:lineRule="auto"/>
        <w:ind w:firstLine="480" w:firstLineChars="200"/>
        <w:rPr>
          <w:rFonts w:hAnsi="宋体"/>
          <w:sz w:val="24"/>
          <w:szCs w:val="24"/>
          <w:highlight w:val="none"/>
          <w:u w:val="single"/>
        </w:rPr>
      </w:pPr>
      <w:r>
        <w:rPr>
          <w:rFonts w:hint="eastAsia" w:hAnsi="宋体"/>
          <w:sz w:val="24"/>
          <w:szCs w:val="24"/>
          <w:highlight w:val="none"/>
        </w:rPr>
        <w:t>　　（营业执照等）注册号码：</w:t>
      </w:r>
    </w:p>
    <w:p>
      <w:pPr>
        <w:pStyle w:val="26"/>
        <w:spacing w:line="360" w:lineRule="auto"/>
        <w:ind w:firstLine="480" w:firstLineChars="200"/>
        <w:rPr>
          <w:rFonts w:hAnsi="宋体"/>
          <w:sz w:val="24"/>
          <w:szCs w:val="24"/>
          <w:highlight w:val="none"/>
          <w:u w:val="single"/>
        </w:rPr>
      </w:pPr>
      <w:r>
        <w:rPr>
          <w:rFonts w:hint="eastAsia" w:hAnsi="宋体"/>
          <w:sz w:val="24"/>
          <w:szCs w:val="24"/>
          <w:highlight w:val="none"/>
        </w:rPr>
        <w:t>　　企业类型：</w:t>
      </w:r>
    </w:p>
    <w:p>
      <w:pPr>
        <w:pStyle w:val="26"/>
        <w:spacing w:line="360" w:lineRule="auto"/>
        <w:ind w:firstLine="480" w:firstLineChars="200"/>
        <w:rPr>
          <w:rFonts w:hAnsi="宋体"/>
          <w:sz w:val="24"/>
          <w:szCs w:val="24"/>
          <w:highlight w:val="none"/>
          <w:u w:val="single"/>
        </w:rPr>
      </w:pPr>
      <w:r>
        <w:rPr>
          <w:rFonts w:hint="eastAsia" w:hAnsi="宋体"/>
          <w:sz w:val="24"/>
          <w:szCs w:val="24"/>
          <w:highlight w:val="none"/>
        </w:rPr>
        <w:t>　　经营范围：</w:t>
      </w:r>
    </w:p>
    <w:p>
      <w:pPr>
        <w:pStyle w:val="26"/>
        <w:spacing w:line="360" w:lineRule="auto"/>
        <w:rPr>
          <w:rFonts w:hAnsi="宋体"/>
          <w:sz w:val="24"/>
          <w:szCs w:val="24"/>
          <w:highlight w:val="none"/>
        </w:rPr>
      </w:pPr>
      <w:r>
        <w:rPr>
          <w:rFonts w:hint="eastAsia" w:hAnsi="宋体"/>
          <w:sz w:val="24"/>
          <w:szCs w:val="24"/>
          <w:highlight w:val="none"/>
        </w:rPr>
        <w:t>附：被授权人有效身份证正反面或其他身份证明材料复印　　　　　　　</w:t>
      </w:r>
    </w:p>
    <w:p>
      <w:pPr>
        <w:pStyle w:val="25"/>
        <w:spacing w:line="360" w:lineRule="auto"/>
        <w:jc w:val="both"/>
        <w:rPr>
          <w:rFonts w:hAnsi="宋体"/>
          <w:sz w:val="24"/>
          <w:szCs w:val="24"/>
          <w:highlight w:val="none"/>
        </w:rPr>
      </w:pPr>
    </w:p>
    <w:p>
      <w:pPr>
        <w:pStyle w:val="25"/>
        <w:spacing w:line="360" w:lineRule="auto"/>
        <w:jc w:val="both"/>
        <w:rPr>
          <w:rFonts w:hAnsi="宋体" w:eastAsia="宋体" w:cs="宋体"/>
          <w:sz w:val="28"/>
          <w:highlight w:val="none"/>
        </w:rPr>
      </w:pPr>
    </w:p>
    <w:p>
      <w:pPr>
        <w:pStyle w:val="25"/>
        <w:spacing w:line="360" w:lineRule="auto"/>
        <w:jc w:val="both"/>
        <w:rPr>
          <w:rFonts w:hAnsi="宋体" w:eastAsia="宋体" w:cs="宋体"/>
          <w:sz w:val="28"/>
          <w:highlight w:val="none"/>
        </w:rPr>
      </w:pPr>
    </w:p>
    <w:p>
      <w:pPr>
        <w:pStyle w:val="25"/>
        <w:spacing w:line="360" w:lineRule="auto"/>
        <w:jc w:val="both"/>
        <w:rPr>
          <w:rFonts w:hAnsi="宋体" w:eastAsia="宋体" w:cs="宋体"/>
          <w:sz w:val="28"/>
          <w:highlight w:val="none"/>
        </w:rPr>
      </w:pPr>
    </w:p>
    <w:p>
      <w:pPr>
        <w:pStyle w:val="25"/>
        <w:spacing w:line="360" w:lineRule="auto"/>
        <w:jc w:val="both"/>
        <w:rPr>
          <w:rFonts w:hAnsi="宋体" w:eastAsia="宋体" w:cs="宋体"/>
          <w:sz w:val="28"/>
          <w:highlight w:val="none"/>
        </w:rPr>
      </w:pPr>
    </w:p>
    <w:p>
      <w:pPr>
        <w:pStyle w:val="25"/>
        <w:spacing w:line="360" w:lineRule="auto"/>
        <w:jc w:val="both"/>
        <w:rPr>
          <w:rFonts w:hAnsi="宋体" w:eastAsia="宋体" w:cs="宋体"/>
          <w:sz w:val="28"/>
          <w:highlight w:val="none"/>
        </w:rPr>
      </w:pPr>
    </w:p>
    <w:p>
      <w:pPr>
        <w:pStyle w:val="25"/>
        <w:spacing w:line="360" w:lineRule="auto"/>
        <w:jc w:val="both"/>
        <w:rPr>
          <w:rFonts w:hAnsi="宋体" w:eastAsia="宋体" w:cs="宋体"/>
          <w:sz w:val="24"/>
          <w:szCs w:val="24"/>
          <w:highlight w:val="none"/>
        </w:rPr>
      </w:pPr>
      <w:r>
        <w:rPr>
          <w:rFonts w:hint="eastAsia" w:hAnsi="宋体" w:eastAsia="宋体" w:cs="宋体"/>
          <w:sz w:val="24"/>
          <w:szCs w:val="24"/>
          <w:highlight w:val="none"/>
        </w:rPr>
        <w:t>（单位盖章）：</w:t>
      </w:r>
    </w:p>
    <w:p>
      <w:pPr>
        <w:pStyle w:val="25"/>
        <w:spacing w:line="360" w:lineRule="auto"/>
        <w:jc w:val="both"/>
        <w:rPr>
          <w:rFonts w:hAnsi="宋体" w:eastAsia="宋体" w:cs="宋体"/>
          <w:sz w:val="24"/>
          <w:szCs w:val="24"/>
          <w:highlight w:val="none"/>
        </w:rPr>
      </w:pPr>
    </w:p>
    <w:p>
      <w:pPr>
        <w:pStyle w:val="25"/>
        <w:spacing w:line="360" w:lineRule="auto"/>
        <w:jc w:val="both"/>
        <w:rPr>
          <w:rFonts w:hAnsi="宋体" w:eastAsia="宋体" w:cs="宋体"/>
          <w:sz w:val="24"/>
          <w:szCs w:val="24"/>
          <w:highlight w:val="none"/>
        </w:rPr>
      </w:pPr>
      <w:bookmarkStart w:id="15" w:name="_Hlk33473384"/>
      <w:r>
        <w:rPr>
          <w:rFonts w:hint="eastAsia" w:hAnsi="宋体" w:eastAsia="宋体" w:cs="宋体"/>
          <w:sz w:val="24"/>
          <w:szCs w:val="24"/>
          <w:highlight w:val="none"/>
        </w:rPr>
        <w:t>法定代表人（签字或盖章）：</w:t>
      </w:r>
    </w:p>
    <w:p>
      <w:pPr>
        <w:pStyle w:val="25"/>
        <w:spacing w:line="360" w:lineRule="auto"/>
        <w:jc w:val="both"/>
        <w:rPr>
          <w:rFonts w:hAnsi="宋体" w:eastAsia="宋体" w:cs="宋体"/>
          <w:sz w:val="24"/>
          <w:szCs w:val="24"/>
          <w:highlight w:val="none"/>
        </w:rPr>
      </w:pPr>
      <w:r>
        <w:rPr>
          <w:rFonts w:hint="eastAsia" w:hAnsi="宋体" w:eastAsia="宋体" w:cs="宋体"/>
          <w:sz w:val="24"/>
          <w:szCs w:val="24"/>
          <w:highlight w:val="none"/>
        </w:rPr>
        <w:t>被授权人（签字或盖章）：</w:t>
      </w:r>
    </w:p>
    <w:p>
      <w:pPr>
        <w:pStyle w:val="25"/>
        <w:spacing w:line="360" w:lineRule="auto"/>
        <w:jc w:val="both"/>
        <w:rPr>
          <w:rFonts w:hAnsi="宋体" w:eastAsia="宋体" w:cs="宋体"/>
          <w:sz w:val="24"/>
          <w:szCs w:val="24"/>
          <w:highlight w:val="none"/>
        </w:rPr>
      </w:pPr>
      <w:r>
        <w:rPr>
          <w:rFonts w:hint="eastAsia" w:hAnsi="宋体" w:eastAsia="宋体" w:cs="宋体"/>
          <w:sz w:val="24"/>
          <w:szCs w:val="24"/>
          <w:highlight w:val="none"/>
        </w:rPr>
        <w:t>日期： 202</w:t>
      </w:r>
      <w:r>
        <w:rPr>
          <w:rFonts w:hint="eastAsia" w:hAnsi="宋体" w:eastAsia="宋体" w:cs="宋体"/>
          <w:sz w:val="24"/>
          <w:szCs w:val="24"/>
          <w:highlight w:val="none"/>
          <w:lang w:val="en-US" w:eastAsia="zh-CN"/>
        </w:rPr>
        <w:t>3</w:t>
      </w:r>
      <w:r>
        <w:rPr>
          <w:rFonts w:hint="eastAsia" w:hAnsi="宋体" w:eastAsia="宋体" w:cs="宋体"/>
          <w:sz w:val="24"/>
          <w:szCs w:val="24"/>
          <w:highlight w:val="none"/>
        </w:rPr>
        <w:t>年   月  日</w:t>
      </w:r>
    </w:p>
    <w:p>
      <w:pPr>
        <w:rPr>
          <w:sz w:val="24"/>
          <w:highlight w:val="none"/>
        </w:rPr>
      </w:pPr>
      <w:r>
        <w:rPr>
          <w:rFonts w:hint="eastAsia" w:hAnsi="宋体" w:cs="宋体"/>
          <w:sz w:val="24"/>
          <w:highlight w:val="none"/>
          <w:lang w:val="zh-CN"/>
        </w:rPr>
        <w:t>说明：法定代表人亲自办理投标事宜的，无需提交本证明书。</w:t>
      </w:r>
    </w:p>
    <w:bookmarkEnd w:id="15"/>
    <w:p>
      <w:pPr>
        <w:spacing w:line="360" w:lineRule="auto"/>
        <w:rPr>
          <w:sz w:val="28"/>
          <w:szCs w:val="28"/>
          <w:highlight w:val="none"/>
        </w:rPr>
      </w:pPr>
    </w:p>
    <w:p>
      <w:pPr>
        <w:rPr>
          <w:rFonts w:ascii="仿宋" w:hAnsi="仿宋" w:eastAsia="仿宋" w:cs="仿宋"/>
          <w:szCs w:val="21"/>
          <w:highlight w:val="none"/>
        </w:rPr>
      </w:pPr>
      <w:r>
        <w:rPr>
          <w:rFonts w:ascii="仿宋" w:hAnsi="仿宋" w:eastAsia="仿宋" w:cs="仿宋"/>
          <w:szCs w:val="21"/>
          <w:highlight w:val="none"/>
        </w:rPr>
        <w:br w:type="page"/>
      </w:r>
    </w:p>
    <w:p>
      <w:pPr>
        <w:rPr>
          <w:rFonts w:hAnsi="宋体"/>
          <w:sz w:val="30"/>
          <w:szCs w:val="30"/>
          <w:highlight w:val="none"/>
        </w:rPr>
      </w:pPr>
      <w:r>
        <w:rPr>
          <w:rFonts w:hint="eastAsia" w:ascii="宋体" w:hAnsi="宋体" w:cs="Arial"/>
          <w:color w:val="000000"/>
          <w:sz w:val="30"/>
          <w:szCs w:val="30"/>
          <w:highlight w:val="none"/>
        </w:rPr>
        <w:t>附件5</w:t>
      </w:r>
    </w:p>
    <w:p>
      <w:pPr>
        <w:ind w:firstLine="2891" w:firstLineChars="800"/>
        <w:rPr>
          <w:rFonts w:ascii="宋体" w:hAnsi="宋体" w:cs="宋体"/>
          <w:b/>
          <w:bCs/>
          <w:sz w:val="36"/>
          <w:szCs w:val="36"/>
          <w:highlight w:val="none"/>
        </w:rPr>
      </w:pPr>
      <w:r>
        <w:rPr>
          <w:rFonts w:hint="eastAsia" w:ascii="宋体" w:hAnsi="宋体" w:cs="宋体"/>
          <w:b/>
          <w:bCs/>
          <w:sz w:val="36"/>
          <w:szCs w:val="36"/>
          <w:highlight w:val="none"/>
        </w:rPr>
        <w:t>投标人资格审查表</w:t>
      </w:r>
    </w:p>
    <w:p>
      <w:pPr>
        <w:ind w:firstLine="2891" w:firstLineChars="800"/>
        <w:rPr>
          <w:rFonts w:ascii="宋体" w:hAnsi="宋体" w:cs="宋体"/>
          <w:b/>
          <w:bCs/>
          <w:sz w:val="36"/>
          <w:szCs w:val="36"/>
          <w:highlight w:val="none"/>
        </w:rPr>
      </w:pPr>
    </w:p>
    <w:p>
      <w:pPr>
        <w:spacing w:line="360" w:lineRule="auto"/>
        <w:rPr>
          <w:rFonts w:hint="eastAsia" w:ascii="宋体" w:hAnsi="宋体" w:eastAsia="宋体"/>
          <w:bCs/>
          <w:szCs w:val="21"/>
          <w:highlight w:val="none"/>
          <w:lang w:eastAsia="zh-CN"/>
        </w:rPr>
      </w:pPr>
      <w:r>
        <w:rPr>
          <w:rFonts w:hint="eastAsia" w:ascii="宋体" w:hAnsi="宋体"/>
          <w:bCs/>
          <w:szCs w:val="21"/>
          <w:highlight w:val="none"/>
        </w:rPr>
        <w:t>项目名称：</w:t>
      </w:r>
      <w:r>
        <w:rPr>
          <w:rFonts w:hint="eastAsia" w:ascii="宋体"/>
          <w:sz w:val="24"/>
          <w:highlight w:val="none"/>
          <w:lang w:eastAsia="zh-CN"/>
        </w:rPr>
        <w:t>冷站二级泵电机前后轴承端盖轴承室修复工程</w:t>
      </w:r>
    </w:p>
    <w:tbl>
      <w:tblPr>
        <w:tblStyle w:val="23"/>
        <w:tblW w:w="844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8"/>
        <w:gridCol w:w="6862"/>
        <w:gridCol w:w="9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
                <w:szCs w:val="21"/>
                <w:highlight w:val="none"/>
              </w:rPr>
            </w:pPr>
            <w:r>
              <w:rPr>
                <w:rFonts w:hint="eastAsia" w:ascii="宋体" w:hAnsi="宋体" w:cs="宋体"/>
                <w:b/>
                <w:bCs/>
                <w:szCs w:val="21"/>
                <w:highlight w:val="none"/>
              </w:rPr>
              <w:t>序号</w:t>
            </w:r>
          </w:p>
        </w:tc>
        <w:tc>
          <w:tcPr>
            <w:tcW w:w="6862" w:type="dxa"/>
            <w:vAlign w:val="center"/>
          </w:tcPr>
          <w:p>
            <w:pPr>
              <w:ind w:firstLine="422"/>
              <w:jc w:val="center"/>
              <w:rPr>
                <w:rFonts w:ascii="宋体" w:hAnsi="宋体"/>
                <w:b/>
                <w:sz w:val="22"/>
                <w:szCs w:val="21"/>
                <w:highlight w:val="none"/>
              </w:rPr>
            </w:pPr>
            <w:r>
              <w:rPr>
                <w:rFonts w:hint="eastAsia" w:ascii="宋体" w:hAnsi="宋体" w:cs="宋体"/>
                <w:b/>
                <w:bCs/>
                <w:szCs w:val="21"/>
                <w:highlight w:val="none"/>
              </w:rPr>
              <w:t>评审内容</w:t>
            </w:r>
          </w:p>
        </w:tc>
        <w:tc>
          <w:tcPr>
            <w:tcW w:w="934" w:type="dxa"/>
            <w:vAlign w:val="center"/>
          </w:tcPr>
          <w:p>
            <w:pPr>
              <w:rPr>
                <w:rFonts w:ascii="宋体" w:hAnsi="宋体"/>
                <w:b/>
                <w:szCs w:val="21"/>
                <w:highlight w:val="none"/>
              </w:rPr>
            </w:pPr>
            <w:r>
              <w:rPr>
                <w:rFonts w:hint="eastAsia" w:ascii="宋体" w:hAnsi="宋体" w:cs="宋体"/>
                <w:b/>
                <w:bCs/>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shd w:val="clear" w:color="auto" w:fill="auto"/>
            <w:vAlign w:val="center"/>
          </w:tcPr>
          <w:p>
            <w:pPr>
              <w:rPr>
                <w:rFonts w:ascii="宋体" w:hAnsi="宋体"/>
                <w:bCs/>
                <w:szCs w:val="21"/>
                <w:highlight w:val="none"/>
              </w:rPr>
            </w:pPr>
            <w:r>
              <w:rPr>
                <w:rFonts w:hint="eastAsia" w:ascii="宋体" w:hAnsi="宋体" w:cs="宋体"/>
                <w:szCs w:val="21"/>
                <w:highlight w:val="none"/>
              </w:rPr>
              <w:t>1</w:t>
            </w:r>
          </w:p>
        </w:tc>
        <w:tc>
          <w:tcPr>
            <w:tcW w:w="6862" w:type="dxa"/>
            <w:shd w:val="clear" w:color="auto" w:fill="auto"/>
            <w:vAlign w:val="center"/>
          </w:tcPr>
          <w:p>
            <w:pPr>
              <w:rPr>
                <w:rFonts w:ascii="宋体" w:hAnsi="宋体"/>
                <w:szCs w:val="21"/>
                <w:highlight w:val="none"/>
              </w:rPr>
            </w:pPr>
            <w:r>
              <w:rPr>
                <w:rFonts w:hint="eastAsia" w:ascii="宋体" w:hAnsi="宋体"/>
                <w:szCs w:val="21"/>
                <w:highlight w:val="none"/>
              </w:rPr>
              <w:t>具备有效的工商营业执照、企业法人组织机构代码证书、税务登记证书（或三证合一）（复印件盖章）</w:t>
            </w:r>
          </w:p>
        </w:tc>
        <w:tc>
          <w:tcPr>
            <w:tcW w:w="934"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shd w:val="clear" w:color="auto" w:fill="auto"/>
            <w:vAlign w:val="center"/>
          </w:tcPr>
          <w:p>
            <w:pPr>
              <w:rPr>
                <w:rFonts w:ascii="宋体" w:hAnsi="宋体" w:cs="宋体"/>
                <w:szCs w:val="21"/>
                <w:highlight w:val="none"/>
              </w:rPr>
            </w:pPr>
            <w:r>
              <w:rPr>
                <w:rFonts w:ascii="宋体" w:hAnsi="宋体" w:cs="宋体"/>
                <w:szCs w:val="21"/>
                <w:highlight w:val="none"/>
              </w:rPr>
              <w:t>2</w:t>
            </w:r>
          </w:p>
        </w:tc>
        <w:tc>
          <w:tcPr>
            <w:tcW w:w="6862" w:type="dxa"/>
            <w:shd w:val="clear" w:color="auto" w:fill="auto"/>
            <w:vAlign w:val="center"/>
          </w:tcPr>
          <w:p>
            <w:pPr>
              <w:rPr>
                <w:rFonts w:ascii="宋体" w:hAnsi="宋体" w:cs="宋体"/>
                <w:szCs w:val="21"/>
                <w:highlight w:val="none"/>
              </w:rPr>
            </w:pPr>
            <w:r>
              <w:rPr>
                <w:rFonts w:hint="eastAsia" w:ascii="宋体" w:hAnsi="宋体" w:cs="宋体"/>
                <w:szCs w:val="21"/>
                <w:highlight w:val="none"/>
              </w:rPr>
              <w:t>法定代表人证明书原件或法定代表人授权委托书原件</w:t>
            </w:r>
          </w:p>
        </w:tc>
        <w:tc>
          <w:tcPr>
            <w:tcW w:w="934" w:type="dxa"/>
            <w:vAlign w:val="center"/>
          </w:tcPr>
          <w:p>
            <w:pP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87" w:hRule="atLeast"/>
          <w:jc w:val="center"/>
        </w:trPr>
        <w:tc>
          <w:tcPr>
            <w:tcW w:w="648" w:type="dxa"/>
            <w:shd w:val="clear" w:color="auto" w:fill="auto"/>
            <w:vAlign w:val="center"/>
          </w:tcPr>
          <w:p>
            <w:pP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3</w:t>
            </w:r>
          </w:p>
        </w:tc>
        <w:tc>
          <w:tcPr>
            <w:tcW w:w="6862" w:type="dxa"/>
            <w:shd w:val="clear" w:color="auto" w:fill="auto"/>
            <w:vAlign w:val="center"/>
          </w:tcPr>
          <w:p>
            <w:pPr>
              <w:rPr>
                <w:rFonts w:hint="eastAsia" w:ascii="宋体" w:hAnsi="宋体" w:eastAsia="宋体" w:cs="宋体"/>
                <w:sz w:val="21"/>
                <w:szCs w:val="21"/>
                <w:highlight w:val="none"/>
                <w:lang w:val="en-US" w:eastAsia="zh-CN"/>
              </w:rPr>
            </w:pPr>
            <w:r>
              <w:rPr>
                <w:rFonts w:hint="eastAsia" w:ascii="宋体" w:hAnsi="宋体" w:cs="宋体"/>
                <w:sz w:val="21"/>
                <w:szCs w:val="21"/>
                <w:highlight w:val="none"/>
              </w:rPr>
              <w:t>投标人近3年内(2020年1月1日至今)完成过质量合格的315KW及以上电机维修项目业绩（需提供合同及验收证明等相关证明材料复印件</w:t>
            </w:r>
            <w:r>
              <w:rPr>
                <w:rFonts w:hint="eastAsia" w:ascii="宋体" w:hAnsi="宋体" w:cs="宋体"/>
                <w:sz w:val="21"/>
                <w:szCs w:val="21"/>
                <w:highlight w:val="none"/>
                <w:lang w:val="en-US" w:eastAsia="zh-CN"/>
              </w:rPr>
              <w:t>)</w:t>
            </w:r>
          </w:p>
        </w:tc>
        <w:tc>
          <w:tcPr>
            <w:tcW w:w="934" w:type="dxa"/>
            <w:vAlign w:val="center"/>
          </w:tcPr>
          <w:p>
            <w:pP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63" w:hRule="atLeast"/>
          <w:jc w:val="center"/>
        </w:trPr>
        <w:tc>
          <w:tcPr>
            <w:tcW w:w="648" w:type="dxa"/>
            <w:vAlign w:val="center"/>
          </w:tcPr>
          <w:p>
            <w:pPr>
              <w:rPr>
                <w:rFonts w:ascii="宋体" w:hAnsi="宋体"/>
                <w:bCs/>
                <w:szCs w:val="21"/>
                <w:highlight w:val="none"/>
              </w:rPr>
            </w:pPr>
          </w:p>
        </w:tc>
        <w:tc>
          <w:tcPr>
            <w:tcW w:w="6862" w:type="dxa"/>
            <w:vAlign w:val="center"/>
          </w:tcPr>
          <w:p>
            <w:pPr>
              <w:rPr>
                <w:rFonts w:ascii="宋体" w:hAnsi="宋体" w:cs="宋体"/>
                <w:bCs/>
                <w:szCs w:val="21"/>
                <w:highlight w:val="none"/>
              </w:rPr>
            </w:pPr>
            <w:r>
              <w:rPr>
                <w:rFonts w:hint="eastAsia" w:ascii="宋体" w:hAnsi="宋体" w:cs="宋体"/>
                <w:b/>
                <w:bCs/>
                <w:szCs w:val="21"/>
                <w:highlight w:val="none"/>
              </w:rPr>
              <w:t>评审结论（</w:t>
            </w:r>
            <w:r>
              <w:rPr>
                <w:rFonts w:hint="eastAsia" w:ascii="宋体" w:hAnsi="宋体"/>
                <w:szCs w:val="21"/>
                <w:highlight w:val="none"/>
              </w:rPr>
              <w:t>通过/不通过</w:t>
            </w:r>
            <w:r>
              <w:rPr>
                <w:rFonts w:hint="eastAsia" w:ascii="宋体" w:hAnsi="宋体" w:cs="宋体"/>
                <w:b/>
                <w:bCs/>
                <w:szCs w:val="21"/>
                <w:highlight w:val="none"/>
              </w:rPr>
              <w:t>）</w:t>
            </w:r>
          </w:p>
        </w:tc>
        <w:tc>
          <w:tcPr>
            <w:tcW w:w="934" w:type="dxa"/>
            <w:vAlign w:val="center"/>
          </w:tcPr>
          <w:p>
            <w:pPr>
              <w:spacing w:line="360" w:lineRule="auto"/>
              <w:rPr>
                <w:rFonts w:ascii="宋体" w:hAnsi="宋体"/>
                <w:b/>
                <w:szCs w:val="21"/>
                <w:highlight w:val="none"/>
              </w:rPr>
            </w:pPr>
          </w:p>
        </w:tc>
      </w:tr>
    </w:tbl>
    <w:p>
      <w:pPr>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注：</w:t>
      </w:r>
    </w:p>
    <w:p>
      <w:pPr>
        <w:numPr>
          <w:ilvl w:val="0"/>
          <w:numId w:val="17"/>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投标人分栏中填写“√”表示该项符合竞选文件要求，“×”表示该项不符合竞选文件要求，“○”表示无该项内容；</w:t>
      </w:r>
    </w:p>
    <w:p>
      <w:pPr>
        <w:numPr>
          <w:ilvl w:val="0"/>
          <w:numId w:val="17"/>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经评标委员会审核后，出现一个“×”的结论为“不通过”，即按废标处理。</w:t>
      </w:r>
    </w:p>
    <w:p>
      <w:pPr>
        <w:numPr>
          <w:ilvl w:val="0"/>
          <w:numId w:val="17"/>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表中全部条件满足为“通过”，同意进入下一阶段评审。</w:t>
      </w:r>
    </w:p>
    <w:p>
      <w:pPr>
        <w:numPr>
          <w:ilvl w:val="0"/>
          <w:numId w:val="17"/>
        </w:numPr>
        <w:adjustRightInd w:val="0"/>
        <w:snapToGrid w:val="0"/>
        <w:spacing w:before="120" w:beforeLines="50" w:after="120" w:afterLines="50" w:line="360" w:lineRule="auto"/>
        <w:ind w:firstLine="480" w:firstLineChars="200"/>
        <w:rPr>
          <w:rFonts w:ascii="宋体" w:hAnsi="宋体"/>
          <w:sz w:val="24"/>
          <w:highlight w:val="none"/>
        </w:rPr>
      </w:pPr>
      <w:r>
        <w:rPr>
          <w:rFonts w:hint="eastAsia"/>
          <w:sz w:val="24"/>
          <w:highlight w:val="none"/>
        </w:rPr>
        <w:t>如对本表中某种情形的</w:t>
      </w:r>
      <w:r>
        <w:rPr>
          <w:rFonts w:hint="eastAsia" w:ascii="宋体" w:hAnsi="宋体"/>
          <w:sz w:val="24"/>
          <w:highlight w:val="none"/>
        </w:rPr>
        <w:t>评委意见不一致时，</w:t>
      </w:r>
      <w:r>
        <w:rPr>
          <w:rFonts w:hint="eastAsia"/>
          <w:sz w:val="24"/>
          <w:highlight w:val="none"/>
        </w:rPr>
        <w:t>以评标委员会过半数成员的意见作为评标委员会对该情形的认定结论。</w:t>
      </w:r>
    </w:p>
    <w:p>
      <w:pPr>
        <w:spacing w:before="120" w:beforeLines="50" w:after="120" w:afterLines="50" w:line="360" w:lineRule="auto"/>
        <w:ind w:firstLine="480" w:firstLineChars="200"/>
        <w:rPr>
          <w:rFonts w:ascii="宋体" w:hAnsi="宋体"/>
          <w:bCs/>
          <w:sz w:val="24"/>
          <w:highlight w:val="none"/>
        </w:rPr>
      </w:pPr>
      <w:r>
        <w:rPr>
          <w:rFonts w:hint="eastAsia" w:ascii="宋体" w:hAnsi="宋体"/>
          <w:bCs/>
          <w:sz w:val="24"/>
          <w:highlight w:val="none"/>
        </w:rPr>
        <w:t xml:space="preserve">评委签名：    </w:t>
      </w:r>
    </w:p>
    <w:p>
      <w:pPr>
        <w:spacing w:before="120" w:beforeLines="50" w:after="120" w:afterLines="50" w:line="360" w:lineRule="auto"/>
        <w:ind w:firstLine="480" w:firstLineChars="200"/>
        <w:rPr>
          <w:rFonts w:ascii="宋体" w:hAnsi="宋体"/>
          <w:sz w:val="24"/>
          <w:highlight w:val="none"/>
        </w:rPr>
      </w:pPr>
      <w:r>
        <w:rPr>
          <w:rFonts w:hint="eastAsia" w:ascii="宋体" w:hAnsi="宋体"/>
          <w:bCs/>
          <w:sz w:val="24"/>
          <w:highlight w:val="none"/>
        </w:rPr>
        <w:t>日 期：</w:t>
      </w:r>
      <w:r>
        <w:rPr>
          <w:rFonts w:hint="eastAsia" w:ascii="宋体" w:hAnsi="宋体"/>
          <w:sz w:val="24"/>
          <w:highlight w:val="none"/>
        </w:rPr>
        <w:t xml:space="preserve">    年   月   日</w:t>
      </w:r>
    </w:p>
    <w:p>
      <w:pPr>
        <w:rPr>
          <w:rFonts w:ascii="仿宋" w:hAnsi="仿宋" w:eastAsia="仿宋" w:cs="仿宋"/>
          <w:szCs w:val="21"/>
          <w:highlight w:val="none"/>
        </w:rPr>
      </w:pPr>
      <w:r>
        <w:rPr>
          <w:rFonts w:ascii="仿宋" w:hAnsi="仿宋" w:eastAsia="仿宋" w:cs="仿宋"/>
          <w:szCs w:val="21"/>
          <w:highlight w:val="none"/>
        </w:rPr>
        <w:br w:type="page"/>
      </w:r>
    </w:p>
    <w:p>
      <w:pPr>
        <w:spacing w:line="400" w:lineRule="exact"/>
        <w:rPr>
          <w:rFonts w:hAnsi="宋体"/>
          <w:szCs w:val="21"/>
          <w:highlight w:val="none"/>
        </w:rPr>
      </w:pPr>
      <w:r>
        <w:rPr>
          <w:rFonts w:hint="eastAsia" w:ascii="宋体" w:hAnsi="宋体" w:cs="Arial"/>
          <w:color w:val="000000"/>
          <w:sz w:val="30"/>
          <w:szCs w:val="30"/>
          <w:highlight w:val="none"/>
        </w:rPr>
        <w:t>附件6</w:t>
      </w:r>
    </w:p>
    <w:p>
      <w:pPr>
        <w:jc w:val="center"/>
        <w:rPr>
          <w:rFonts w:ascii="宋体" w:hAnsi="宋体" w:cs="宋体"/>
          <w:b/>
          <w:bCs/>
          <w:sz w:val="24"/>
          <w:highlight w:val="none"/>
        </w:rPr>
      </w:pPr>
      <w:r>
        <w:rPr>
          <w:rFonts w:hint="eastAsia" w:ascii="宋体" w:hAnsi="宋体" w:cs="宋体"/>
          <w:b/>
          <w:bCs/>
          <w:sz w:val="36"/>
          <w:szCs w:val="36"/>
          <w:highlight w:val="none"/>
        </w:rPr>
        <w:t>投标文件有效性审查表</w:t>
      </w:r>
    </w:p>
    <w:p>
      <w:pPr>
        <w:rPr>
          <w:rFonts w:ascii="宋体" w:hAnsi="宋体"/>
          <w:bCs/>
          <w:szCs w:val="21"/>
          <w:highlight w:val="none"/>
        </w:rPr>
      </w:pPr>
    </w:p>
    <w:p>
      <w:pPr>
        <w:spacing w:line="360" w:lineRule="auto"/>
        <w:rPr>
          <w:rFonts w:hint="eastAsia" w:ascii="宋体" w:hAnsi="宋体" w:eastAsia="宋体"/>
          <w:bCs/>
          <w:szCs w:val="21"/>
          <w:highlight w:val="none"/>
          <w:lang w:eastAsia="zh-CN"/>
        </w:rPr>
      </w:pPr>
      <w:r>
        <w:rPr>
          <w:rFonts w:hint="eastAsia" w:ascii="宋体" w:hAnsi="宋体"/>
          <w:bCs/>
          <w:szCs w:val="21"/>
          <w:highlight w:val="none"/>
        </w:rPr>
        <w:t>项目名称：</w:t>
      </w:r>
      <w:r>
        <w:rPr>
          <w:rFonts w:hint="eastAsia" w:ascii="宋体"/>
          <w:sz w:val="24"/>
          <w:highlight w:val="none"/>
          <w:lang w:eastAsia="zh-CN"/>
        </w:rPr>
        <w:t>冷站二级泵电机前后轴承端盖轴承室修复工程</w:t>
      </w:r>
    </w:p>
    <w:tbl>
      <w:tblPr>
        <w:tblStyle w:val="23"/>
        <w:tblW w:w="829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1"/>
        <w:gridCol w:w="6410"/>
        <w:gridCol w:w="12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vAlign w:val="center"/>
          </w:tcPr>
          <w:p>
            <w:pPr>
              <w:jc w:val="center"/>
              <w:rPr>
                <w:rFonts w:ascii="宋体" w:hAnsi="宋体"/>
                <w:b/>
                <w:szCs w:val="21"/>
                <w:highlight w:val="none"/>
              </w:rPr>
            </w:pPr>
            <w:r>
              <w:rPr>
                <w:rFonts w:hint="eastAsia" w:ascii="宋体" w:hAnsi="宋体" w:cs="宋体"/>
                <w:b/>
                <w:bCs/>
                <w:szCs w:val="21"/>
                <w:highlight w:val="none"/>
              </w:rPr>
              <w:t>序号</w:t>
            </w:r>
          </w:p>
        </w:tc>
        <w:tc>
          <w:tcPr>
            <w:tcW w:w="6410" w:type="dxa"/>
            <w:vAlign w:val="center"/>
          </w:tcPr>
          <w:p>
            <w:pPr>
              <w:jc w:val="center"/>
              <w:rPr>
                <w:rFonts w:ascii="宋体" w:hAnsi="宋体"/>
                <w:b/>
                <w:szCs w:val="21"/>
                <w:highlight w:val="none"/>
              </w:rPr>
            </w:pPr>
            <w:r>
              <w:rPr>
                <w:rFonts w:hint="eastAsia" w:ascii="宋体" w:hAnsi="宋体" w:cs="宋体"/>
                <w:b/>
                <w:bCs/>
                <w:szCs w:val="21"/>
                <w:highlight w:val="none"/>
              </w:rPr>
              <w:t>评审内容</w:t>
            </w:r>
          </w:p>
        </w:tc>
        <w:tc>
          <w:tcPr>
            <w:tcW w:w="1218" w:type="dxa"/>
            <w:vAlign w:val="center"/>
          </w:tcPr>
          <w:p>
            <w:pPr>
              <w:rPr>
                <w:rFonts w:ascii="宋体" w:hAnsi="宋体"/>
                <w:b/>
                <w:szCs w:val="21"/>
                <w:highlight w:val="none"/>
              </w:rPr>
            </w:pPr>
            <w:r>
              <w:rPr>
                <w:rFonts w:hint="eastAsia" w:ascii="宋体" w:hAnsi="宋体" w:cs="宋体"/>
                <w:b/>
                <w:bCs/>
                <w:szCs w:val="21"/>
                <w:highlight w:val="none"/>
              </w:rPr>
              <w:t>投标人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rPr>
              <w:t>1</w:t>
            </w:r>
          </w:p>
        </w:tc>
        <w:tc>
          <w:tcPr>
            <w:tcW w:w="6410" w:type="dxa"/>
            <w:shd w:val="clear" w:color="auto" w:fill="auto"/>
            <w:vAlign w:val="center"/>
          </w:tcPr>
          <w:p>
            <w:pPr>
              <w:rPr>
                <w:rFonts w:ascii="宋体" w:hAnsi="宋体"/>
                <w:szCs w:val="21"/>
                <w:highlight w:val="none"/>
              </w:rPr>
            </w:pPr>
            <w:r>
              <w:rPr>
                <w:rFonts w:hint="eastAsia" w:ascii="宋体" w:hAnsi="宋体"/>
                <w:szCs w:val="21"/>
                <w:highlight w:val="none"/>
              </w:rPr>
              <w:t>投标文件未按竞选文件的规定密封、盖章和签署；</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rPr>
              <w:t>2</w:t>
            </w:r>
          </w:p>
        </w:tc>
        <w:tc>
          <w:tcPr>
            <w:tcW w:w="6410" w:type="dxa"/>
            <w:shd w:val="clear" w:color="auto" w:fill="auto"/>
            <w:vAlign w:val="center"/>
          </w:tcPr>
          <w:p>
            <w:pPr>
              <w:rPr>
                <w:rFonts w:ascii="宋体" w:hAnsi="宋体"/>
                <w:szCs w:val="21"/>
                <w:highlight w:val="none"/>
              </w:rPr>
            </w:pPr>
            <w:r>
              <w:rPr>
                <w:rFonts w:hint="eastAsia" w:ascii="宋体" w:hAnsi="宋体"/>
                <w:szCs w:val="21"/>
                <w:highlight w:val="none"/>
              </w:rPr>
              <w:t>投标文件未按竞选文件规定的格式填写，内容不全或关键字迹模糊、无法辩认；</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hint="eastAsia" w:ascii="宋体" w:hAnsi="宋体" w:cs="宋体"/>
                <w:szCs w:val="21"/>
                <w:highlight w:val="none"/>
              </w:rPr>
            </w:pPr>
            <w:r>
              <w:rPr>
                <w:rFonts w:hint="eastAsia" w:ascii="宋体" w:hAnsi="宋体" w:cs="宋体"/>
                <w:szCs w:val="21"/>
                <w:lang w:val="en-US" w:eastAsia="zh-CN"/>
              </w:rPr>
              <w:t>3</w:t>
            </w:r>
          </w:p>
        </w:tc>
        <w:tc>
          <w:tcPr>
            <w:tcW w:w="6410" w:type="dxa"/>
            <w:shd w:val="clear" w:color="auto" w:fill="auto"/>
            <w:vAlign w:val="center"/>
          </w:tcPr>
          <w:p>
            <w:pPr>
              <w:rPr>
                <w:rFonts w:hint="eastAsia" w:ascii="宋体" w:hAnsi="宋体" w:cs="宋体"/>
                <w:szCs w:val="21"/>
                <w:highlight w:val="none"/>
              </w:rPr>
            </w:pPr>
            <w:r>
              <w:rPr>
                <w:rFonts w:hint="eastAsia" w:ascii="宋体" w:hAnsi="宋体" w:cs="宋体"/>
                <w:szCs w:val="21"/>
              </w:rPr>
              <w:t>投标人被列入“信用中国”网站（www.creditchina.gov.cn）记录失信被执行人或重大税收违法案件当事人名单，投标人</w:t>
            </w:r>
            <w:r>
              <w:rPr>
                <w:rFonts w:hint="eastAsia" w:ascii="宋体" w:hAnsi="宋体" w:cs="宋体"/>
                <w:szCs w:val="21"/>
                <w:lang w:val="en-US" w:eastAsia="zh-CN"/>
              </w:rPr>
              <w:t>未</w:t>
            </w:r>
            <w:r>
              <w:rPr>
                <w:rFonts w:hint="eastAsia" w:ascii="宋体" w:hAnsi="宋体" w:cs="宋体"/>
                <w:szCs w:val="21"/>
              </w:rPr>
              <w:t>提供《信用记录承诺函》附“信用中国”网站（www.creditchina.gov.cn）的信用记录查询结果截图并打印页面加盖公章。</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hint="eastAsia" w:ascii="宋体" w:hAnsi="宋体" w:cs="宋体"/>
                <w:szCs w:val="21"/>
                <w:highlight w:val="none"/>
              </w:rPr>
            </w:pPr>
            <w:r>
              <w:rPr>
                <w:rFonts w:hint="eastAsia" w:ascii="宋体" w:hAnsi="宋体" w:cs="宋体"/>
                <w:szCs w:val="21"/>
                <w:lang w:val="en-US" w:eastAsia="zh-CN"/>
              </w:rPr>
              <w:t>4</w:t>
            </w:r>
          </w:p>
        </w:tc>
        <w:tc>
          <w:tcPr>
            <w:tcW w:w="6410" w:type="dxa"/>
            <w:shd w:val="clear" w:color="auto" w:fill="auto"/>
            <w:vAlign w:val="center"/>
          </w:tcPr>
          <w:p>
            <w:pPr>
              <w:rPr>
                <w:rFonts w:hint="eastAsia" w:ascii="宋体" w:hAnsi="宋体" w:cs="宋体"/>
                <w:szCs w:val="21"/>
                <w:highlight w:val="none"/>
              </w:rPr>
            </w:pPr>
            <w:r>
              <w:rPr>
                <w:rFonts w:hint="eastAsia" w:ascii="宋体" w:hAnsi="宋体" w:cs="宋体"/>
                <w:szCs w:val="21"/>
              </w:rPr>
              <w:t>投标人</w:t>
            </w:r>
            <w:r>
              <w:rPr>
                <w:rFonts w:hint="eastAsia" w:ascii="宋体" w:hAnsi="宋体" w:cs="宋体"/>
                <w:szCs w:val="21"/>
                <w:lang w:val="en-US" w:eastAsia="zh-CN"/>
              </w:rPr>
              <w:t>无提供：</w:t>
            </w:r>
            <w:r>
              <w:rPr>
                <w:rFonts w:hint="eastAsia" w:ascii="宋体" w:hAnsi="宋体" w:cs="宋体"/>
                <w:szCs w:val="21"/>
              </w:rPr>
              <w:t>没有处于被责令停业或破产状态，且资产未被重组、接管和冻结，声明在投标活动中3年内没有重大违法活动和涉嫌违规行为</w:t>
            </w:r>
            <w:r>
              <w:rPr>
                <w:rFonts w:hint="eastAsia" w:ascii="宋体" w:hAnsi="宋体" w:cs="宋体"/>
                <w:szCs w:val="21"/>
                <w:lang w:val="en-US" w:eastAsia="zh-CN"/>
              </w:rPr>
              <w:t>的文件</w:t>
            </w:r>
            <w:r>
              <w:rPr>
                <w:rFonts w:hint="eastAsia" w:ascii="宋体" w:hAnsi="宋体" w:cs="宋体"/>
                <w:szCs w:val="21"/>
              </w:rPr>
              <w:t>。（格式自拟）</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lang w:val="en-US" w:eastAsia="zh-CN"/>
              </w:rPr>
              <w:t>5</w:t>
            </w:r>
          </w:p>
        </w:tc>
        <w:tc>
          <w:tcPr>
            <w:tcW w:w="6410" w:type="dxa"/>
            <w:shd w:val="clear" w:color="auto" w:fill="auto"/>
            <w:vAlign w:val="center"/>
          </w:tcPr>
          <w:p>
            <w:pPr>
              <w:rPr>
                <w:rFonts w:ascii="宋体" w:hAnsi="宋体"/>
                <w:szCs w:val="21"/>
                <w:highlight w:val="none"/>
              </w:rPr>
            </w:pPr>
            <w:r>
              <w:rPr>
                <w:rFonts w:hint="eastAsia" w:ascii="宋体" w:hAnsi="宋体" w:cs="宋体"/>
                <w:szCs w:val="21"/>
                <w:highlight w:val="none"/>
              </w:rPr>
              <w:t>对同一竞选项目出现两个或以上的投标报价，且没声明哪个有效；</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lang w:val="en-US" w:eastAsia="zh-CN"/>
              </w:rPr>
              <w:t>6</w:t>
            </w:r>
          </w:p>
        </w:tc>
        <w:tc>
          <w:tcPr>
            <w:tcW w:w="6410" w:type="dxa"/>
            <w:shd w:val="clear" w:color="auto" w:fill="auto"/>
            <w:vAlign w:val="center"/>
          </w:tcPr>
          <w:p>
            <w:pPr>
              <w:rPr>
                <w:rFonts w:ascii="宋体" w:hAnsi="宋体"/>
                <w:szCs w:val="21"/>
                <w:highlight w:val="none"/>
              </w:rPr>
            </w:pPr>
            <w:r>
              <w:rPr>
                <w:rFonts w:hint="eastAsia" w:ascii="宋体" w:hAnsi="宋体" w:cs="宋体"/>
                <w:szCs w:val="21"/>
                <w:highlight w:val="none"/>
              </w:rPr>
              <w:t>投标总报价低于企业自身成本；</w:t>
            </w:r>
          </w:p>
        </w:tc>
        <w:tc>
          <w:tcPr>
            <w:tcW w:w="1218" w:type="dxa"/>
            <w:vAlign w:val="center"/>
          </w:tcPr>
          <w:p>
            <w:pPr>
              <w:tabs>
                <w:tab w:val="left" w:pos="553"/>
              </w:tabs>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lang w:val="en-US" w:eastAsia="zh-CN"/>
              </w:rPr>
              <w:t>7</w:t>
            </w:r>
          </w:p>
        </w:tc>
        <w:tc>
          <w:tcPr>
            <w:tcW w:w="6410" w:type="dxa"/>
            <w:shd w:val="clear" w:color="auto" w:fill="auto"/>
            <w:vAlign w:val="center"/>
          </w:tcPr>
          <w:p>
            <w:pPr>
              <w:rPr>
                <w:rFonts w:ascii="宋体" w:hAnsi="宋体"/>
                <w:szCs w:val="21"/>
                <w:highlight w:val="none"/>
              </w:rPr>
            </w:pPr>
            <w:r>
              <w:rPr>
                <w:rFonts w:hint="eastAsia" w:ascii="宋体" w:hAnsi="宋体" w:cs="宋体"/>
                <w:szCs w:val="21"/>
                <w:highlight w:val="none"/>
              </w:rPr>
              <w:t>投标报价超过</w:t>
            </w:r>
            <w:r>
              <w:rPr>
                <w:rFonts w:hint="eastAsia" w:ascii="宋体" w:hAnsi="宋体"/>
                <w:szCs w:val="21"/>
                <w:highlight w:val="none"/>
              </w:rPr>
              <w:t>采购限价</w:t>
            </w:r>
            <w:r>
              <w:rPr>
                <w:rFonts w:hint="eastAsia" w:ascii="宋体" w:hAnsi="宋体" w:cs="宋体"/>
                <w:szCs w:val="21"/>
                <w:highlight w:val="none"/>
              </w:rPr>
              <w:t>；</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lang w:val="en-US" w:eastAsia="zh-CN"/>
              </w:rPr>
              <w:t>8</w:t>
            </w:r>
          </w:p>
        </w:tc>
        <w:tc>
          <w:tcPr>
            <w:tcW w:w="6410" w:type="dxa"/>
            <w:shd w:val="clear" w:color="auto" w:fill="auto"/>
            <w:vAlign w:val="center"/>
          </w:tcPr>
          <w:p>
            <w:pPr>
              <w:rPr>
                <w:szCs w:val="21"/>
                <w:highlight w:val="none"/>
              </w:rPr>
            </w:pPr>
            <w:r>
              <w:rPr>
                <w:rFonts w:hint="eastAsia" w:ascii="宋体" w:hAnsi="宋体" w:cs="宋体"/>
                <w:szCs w:val="21"/>
                <w:highlight w:val="none"/>
              </w:rPr>
              <w:t>工期不满足竞选文件要求的；</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lang w:val="en-US" w:eastAsia="zh-CN"/>
              </w:rPr>
              <w:t>9</w:t>
            </w:r>
          </w:p>
        </w:tc>
        <w:tc>
          <w:tcPr>
            <w:tcW w:w="6410" w:type="dxa"/>
            <w:shd w:val="clear" w:color="auto" w:fill="auto"/>
            <w:vAlign w:val="center"/>
          </w:tcPr>
          <w:p>
            <w:pPr>
              <w:numPr>
                <w:ilvl w:val="0"/>
                <w:numId w:val="0"/>
              </w:numPr>
              <w:spacing w:before="120" w:beforeLines="50" w:after="120" w:afterLines="50" w:line="360" w:lineRule="auto"/>
              <w:rPr>
                <w:szCs w:val="21"/>
                <w:highlight w:val="none"/>
              </w:rPr>
            </w:pPr>
            <w:r>
              <w:rPr>
                <w:rFonts w:hint="eastAsia" w:ascii="宋体" w:hAnsi="宋体" w:cs="宋体"/>
                <w:b w:val="0"/>
                <w:bCs w:val="0"/>
                <w:szCs w:val="21"/>
                <w:highlight w:val="none"/>
              </w:rPr>
              <w:t>施工方案或施工组织设计未响应竞选文件中已明确必须要作实质性响应的内容；</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ascii="宋体" w:hAnsi="宋体"/>
                <w:bCs/>
                <w:szCs w:val="21"/>
                <w:highlight w:val="none"/>
              </w:rPr>
            </w:pPr>
            <w:r>
              <w:rPr>
                <w:rFonts w:hint="eastAsia" w:ascii="宋体" w:hAnsi="宋体" w:cs="宋体"/>
                <w:szCs w:val="21"/>
                <w:lang w:val="en-US" w:eastAsia="zh-CN"/>
              </w:rPr>
              <w:t>10</w:t>
            </w:r>
          </w:p>
        </w:tc>
        <w:tc>
          <w:tcPr>
            <w:tcW w:w="6410" w:type="dxa"/>
            <w:shd w:val="clear" w:color="auto" w:fill="auto"/>
            <w:vAlign w:val="center"/>
          </w:tcPr>
          <w:p>
            <w:pPr>
              <w:rPr>
                <w:szCs w:val="21"/>
                <w:highlight w:val="none"/>
              </w:rPr>
            </w:pPr>
            <w:r>
              <w:rPr>
                <w:rFonts w:hint="eastAsia" w:ascii="宋体" w:hAnsi="宋体" w:cs="宋体"/>
                <w:szCs w:val="21"/>
                <w:highlight w:val="none"/>
              </w:rPr>
              <w:t>投标文件附有采购人不能接受的条件；</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shd w:val="clear" w:color="auto" w:fill="auto"/>
            <w:vAlign w:val="center"/>
          </w:tcPr>
          <w:p>
            <w:pPr>
              <w:rPr>
                <w:rFonts w:hint="default" w:ascii="宋体" w:hAnsi="宋体" w:eastAsia="宋体" w:cs="宋体"/>
                <w:szCs w:val="21"/>
                <w:highlight w:val="none"/>
                <w:lang w:val="en-US" w:eastAsia="zh-CN"/>
              </w:rPr>
            </w:pPr>
            <w:r>
              <w:rPr>
                <w:rFonts w:hint="eastAsia" w:ascii="宋体" w:hAnsi="宋体" w:cs="宋体"/>
                <w:szCs w:val="21"/>
                <w:lang w:val="en-US" w:eastAsia="zh-CN"/>
              </w:rPr>
              <w:t>11</w:t>
            </w:r>
          </w:p>
        </w:tc>
        <w:tc>
          <w:tcPr>
            <w:tcW w:w="6410" w:type="dxa"/>
            <w:shd w:val="clear" w:color="auto" w:fill="auto"/>
            <w:vAlign w:val="center"/>
          </w:tcPr>
          <w:p>
            <w:pPr>
              <w:rPr>
                <w:rFonts w:hint="eastAsia" w:ascii="宋体" w:hAnsi="宋体" w:cs="宋体"/>
                <w:szCs w:val="21"/>
                <w:highlight w:val="none"/>
              </w:rPr>
            </w:pPr>
            <w:r>
              <w:rPr>
                <w:rFonts w:hint="eastAsia" w:ascii="宋体" w:hAnsi="宋体" w:cs="宋体"/>
                <w:szCs w:val="21"/>
                <w:highlight w:val="none"/>
              </w:rPr>
              <w:t>不符合竞选文件中规定的其他实质性要求。</w:t>
            </w:r>
          </w:p>
        </w:tc>
        <w:tc>
          <w:tcPr>
            <w:tcW w:w="1218" w:type="dxa"/>
            <w:vAlign w:val="center"/>
          </w:tcPr>
          <w:p>
            <w:pPr>
              <w:spacing w:line="360" w:lineRule="auto"/>
              <w:rPr>
                <w:rFonts w:ascii="宋体" w:hAnsi="宋体"/>
                <w:b/>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671" w:type="dxa"/>
            <w:vAlign w:val="center"/>
          </w:tcPr>
          <w:p>
            <w:pPr>
              <w:jc w:val="center"/>
              <w:rPr>
                <w:rFonts w:ascii="宋体" w:hAnsi="宋体"/>
                <w:bCs/>
                <w:szCs w:val="21"/>
                <w:highlight w:val="none"/>
              </w:rPr>
            </w:pPr>
          </w:p>
        </w:tc>
        <w:tc>
          <w:tcPr>
            <w:tcW w:w="6410" w:type="dxa"/>
            <w:vAlign w:val="center"/>
          </w:tcPr>
          <w:p>
            <w:pPr>
              <w:rPr>
                <w:rFonts w:ascii="宋体" w:hAnsi="宋体"/>
                <w:szCs w:val="21"/>
                <w:highlight w:val="none"/>
              </w:rPr>
            </w:pPr>
            <w:r>
              <w:rPr>
                <w:rFonts w:hint="eastAsia" w:ascii="宋体" w:hAnsi="宋体" w:cs="宋体"/>
                <w:b/>
                <w:bCs/>
                <w:szCs w:val="21"/>
                <w:highlight w:val="none"/>
              </w:rPr>
              <w:t>评审结论（</w:t>
            </w:r>
            <w:r>
              <w:rPr>
                <w:rFonts w:hint="eastAsia" w:ascii="宋体" w:hAnsi="宋体"/>
                <w:szCs w:val="21"/>
                <w:highlight w:val="none"/>
              </w:rPr>
              <w:t>通过/不通过</w:t>
            </w:r>
            <w:r>
              <w:rPr>
                <w:rFonts w:hint="eastAsia" w:ascii="宋体" w:hAnsi="宋体" w:cs="宋体"/>
                <w:b/>
                <w:bCs/>
                <w:szCs w:val="21"/>
                <w:highlight w:val="none"/>
              </w:rPr>
              <w:t>）</w:t>
            </w:r>
          </w:p>
        </w:tc>
        <w:tc>
          <w:tcPr>
            <w:tcW w:w="1218" w:type="dxa"/>
            <w:vAlign w:val="center"/>
          </w:tcPr>
          <w:p>
            <w:pPr>
              <w:spacing w:line="360" w:lineRule="auto"/>
              <w:rPr>
                <w:rFonts w:ascii="宋体" w:hAnsi="宋体"/>
                <w:b/>
                <w:szCs w:val="21"/>
                <w:highlight w:val="none"/>
              </w:rPr>
            </w:pPr>
          </w:p>
        </w:tc>
      </w:tr>
    </w:tbl>
    <w:p>
      <w:pPr>
        <w:spacing w:before="120" w:beforeLines="50" w:after="120" w:afterLines="50" w:line="400" w:lineRule="exact"/>
        <w:ind w:firstLine="480" w:firstLineChars="200"/>
        <w:rPr>
          <w:rFonts w:ascii="宋体" w:hAnsi="宋体"/>
          <w:sz w:val="24"/>
          <w:highlight w:val="none"/>
        </w:rPr>
      </w:pPr>
      <w:r>
        <w:rPr>
          <w:rFonts w:hint="eastAsia" w:ascii="宋体" w:hAnsi="宋体"/>
          <w:sz w:val="24"/>
          <w:highlight w:val="none"/>
        </w:rPr>
        <w:t>注：</w:t>
      </w:r>
    </w:p>
    <w:p>
      <w:pPr>
        <w:numPr>
          <w:ilvl w:val="0"/>
          <w:numId w:val="18"/>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投标人分栏中填写“√”表示该项符合竞选文件要求，“×”表示该项不符合竞选文件要求，“○”表示无该项内容；</w:t>
      </w:r>
    </w:p>
    <w:p>
      <w:pPr>
        <w:numPr>
          <w:ilvl w:val="0"/>
          <w:numId w:val="18"/>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经评标委员会审核后，出现一个“×”的结论为“不通过”，即按废标处理。</w:t>
      </w:r>
    </w:p>
    <w:p>
      <w:pPr>
        <w:numPr>
          <w:ilvl w:val="0"/>
          <w:numId w:val="18"/>
        </w:numPr>
        <w:adjustRightInd w:val="0"/>
        <w:snapToGrid w:val="0"/>
        <w:spacing w:before="120" w:beforeLines="50" w:after="120" w:afterLines="50" w:line="360" w:lineRule="auto"/>
        <w:ind w:firstLine="480" w:firstLineChars="200"/>
        <w:rPr>
          <w:rFonts w:ascii="宋体" w:hAnsi="宋体"/>
          <w:sz w:val="24"/>
          <w:highlight w:val="none"/>
        </w:rPr>
      </w:pPr>
      <w:r>
        <w:rPr>
          <w:rFonts w:hint="eastAsia" w:ascii="宋体" w:hAnsi="宋体"/>
          <w:sz w:val="24"/>
          <w:highlight w:val="none"/>
        </w:rPr>
        <w:t>表中全部条件满足为“通过”，同意进入下一阶段评审。</w:t>
      </w:r>
    </w:p>
    <w:p>
      <w:pPr>
        <w:numPr>
          <w:ilvl w:val="0"/>
          <w:numId w:val="18"/>
        </w:numPr>
        <w:adjustRightInd w:val="0"/>
        <w:snapToGrid w:val="0"/>
        <w:spacing w:before="120" w:beforeLines="50" w:after="120" w:afterLines="50" w:line="360" w:lineRule="auto"/>
        <w:ind w:firstLine="480" w:firstLineChars="200"/>
        <w:rPr>
          <w:rFonts w:ascii="宋体" w:hAnsi="宋体"/>
          <w:sz w:val="24"/>
          <w:highlight w:val="none"/>
        </w:rPr>
      </w:pPr>
      <w:r>
        <w:rPr>
          <w:rFonts w:hint="eastAsia"/>
          <w:sz w:val="24"/>
          <w:highlight w:val="none"/>
        </w:rPr>
        <w:t>如对本表中某种情形的</w:t>
      </w:r>
      <w:r>
        <w:rPr>
          <w:rFonts w:hint="eastAsia" w:ascii="宋体" w:hAnsi="宋体"/>
          <w:sz w:val="24"/>
          <w:highlight w:val="none"/>
        </w:rPr>
        <w:t>评委意见不一致时，</w:t>
      </w:r>
      <w:r>
        <w:rPr>
          <w:rFonts w:hint="eastAsia"/>
          <w:sz w:val="24"/>
          <w:highlight w:val="none"/>
        </w:rPr>
        <w:t>以评标委员会过半数成员的意见作为评标委员会对该情形的认定结论。</w:t>
      </w:r>
    </w:p>
    <w:p>
      <w:pPr>
        <w:spacing w:before="120" w:beforeLines="50" w:after="120" w:afterLines="50" w:line="360" w:lineRule="auto"/>
        <w:ind w:firstLine="480" w:firstLineChars="200"/>
        <w:rPr>
          <w:rFonts w:ascii="宋体" w:hAnsi="宋体"/>
          <w:bCs/>
          <w:sz w:val="24"/>
          <w:highlight w:val="none"/>
        </w:rPr>
      </w:pPr>
      <w:r>
        <w:rPr>
          <w:rFonts w:hint="eastAsia" w:ascii="宋体" w:hAnsi="宋体"/>
          <w:bCs/>
          <w:sz w:val="24"/>
          <w:highlight w:val="none"/>
        </w:rPr>
        <w:t xml:space="preserve">评委签名：                                                                                </w:t>
      </w:r>
    </w:p>
    <w:p>
      <w:pPr>
        <w:spacing w:before="120" w:beforeLines="50" w:after="120" w:afterLines="50" w:line="360" w:lineRule="auto"/>
        <w:ind w:firstLine="480" w:firstLineChars="200"/>
        <w:rPr>
          <w:rFonts w:ascii="宋体" w:hAnsi="宋体"/>
          <w:sz w:val="24"/>
          <w:highlight w:val="none"/>
        </w:rPr>
      </w:pPr>
      <w:r>
        <w:rPr>
          <w:rFonts w:hint="eastAsia" w:ascii="宋体" w:hAnsi="宋体"/>
          <w:bCs/>
          <w:sz w:val="24"/>
          <w:highlight w:val="none"/>
        </w:rPr>
        <w:t>日 期：</w:t>
      </w:r>
      <w:r>
        <w:rPr>
          <w:rFonts w:hint="eastAsia" w:ascii="宋体" w:hAnsi="宋体"/>
          <w:sz w:val="24"/>
          <w:highlight w:val="none"/>
        </w:rPr>
        <w:t xml:space="preserve">    年   月   日</w:t>
      </w: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76834"/>
    <w:multiLevelType w:val="multilevel"/>
    <w:tmpl w:val="01676834"/>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E230953"/>
    <w:multiLevelType w:val="multilevel"/>
    <w:tmpl w:val="0E23095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
    <w:nsid w:val="145065E4"/>
    <w:multiLevelType w:val="multilevel"/>
    <w:tmpl w:val="145065E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56E42A2"/>
    <w:multiLevelType w:val="multilevel"/>
    <w:tmpl w:val="156E42A2"/>
    <w:lvl w:ilvl="0" w:tentative="0">
      <w:start w:val="1"/>
      <w:numFmt w:val="decimal"/>
      <w:lvlText w:val="%1."/>
      <w:lvlJc w:val="left"/>
      <w:pPr>
        <w:ind w:left="561" w:firstLine="0"/>
      </w:pPr>
      <w:rPr>
        <w:rFonts w:hint="eastAsia" w:ascii="宋体" w:hAnsi="宋体" w:eastAsia="宋体"/>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4">
    <w:nsid w:val="2B6554E4"/>
    <w:multiLevelType w:val="singleLevel"/>
    <w:tmpl w:val="2B6554E4"/>
    <w:lvl w:ilvl="0" w:tentative="0">
      <w:start w:val="1"/>
      <w:numFmt w:val="decimal"/>
      <w:lvlText w:val="%1."/>
      <w:lvlJc w:val="left"/>
      <w:pPr>
        <w:ind w:left="425" w:hanging="425"/>
      </w:pPr>
      <w:rPr>
        <w:rFonts w:hint="default"/>
      </w:rPr>
    </w:lvl>
  </w:abstractNum>
  <w:abstractNum w:abstractNumId="5">
    <w:nsid w:val="2BF9FA66"/>
    <w:multiLevelType w:val="singleLevel"/>
    <w:tmpl w:val="2BF9FA66"/>
    <w:lvl w:ilvl="0" w:tentative="0">
      <w:start w:val="1"/>
      <w:numFmt w:val="decimal"/>
      <w:lvlText w:val="%1."/>
      <w:lvlJc w:val="left"/>
      <w:pPr>
        <w:ind w:left="425" w:hanging="425"/>
      </w:pPr>
      <w:rPr>
        <w:rFonts w:hint="default"/>
      </w:rPr>
    </w:lvl>
  </w:abstractNum>
  <w:abstractNum w:abstractNumId="6">
    <w:nsid w:val="345D6B37"/>
    <w:multiLevelType w:val="singleLevel"/>
    <w:tmpl w:val="345D6B37"/>
    <w:lvl w:ilvl="0" w:tentative="0">
      <w:start w:val="1"/>
      <w:numFmt w:val="decimal"/>
      <w:suff w:val="nothing"/>
      <w:lvlText w:val="%1、"/>
      <w:lvlJc w:val="left"/>
    </w:lvl>
  </w:abstractNum>
  <w:abstractNum w:abstractNumId="7">
    <w:nsid w:val="3918188F"/>
    <w:multiLevelType w:val="multilevel"/>
    <w:tmpl w:val="3918188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2125FC3"/>
    <w:multiLevelType w:val="multilevel"/>
    <w:tmpl w:val="42125FC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4064F3A"/>
    <w:multiLevelType w:val="multilevel"/>
    <w:tmpl w:val="44064F3A"/>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0">
    <w:nsid w:val="45D539C3"/>
    <w:multiLevelType w:val="multilevel"/>
    <w:tmpl w:val="45D539C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1">
    <w:nsid w:val="48DC6756"/>
    <w:multiLevelType w:val="multilevel"/>
    <w:tmpl w:val="48DC675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A72E512"/>
    <w:multiLevelType w:val="singleLevel"/>
    <w:tmpl w:val="4A72E512"/>
    <w:lvl w:ilvl="0" w:tentative="0">
      <w:start w:val="1"/>
      <w:numFmt w:val="chineseCounting"/>
      <w:suff w:val="nothing"/>
      <w:lvlText w:val="(%1）"/>
      <w:lvlJc w:val="left"/>
      <w:rPr>
        <w:rFonts w:hint="eastAsia"/>
      </w:rPr>
    </w:lvl>
  </w:abstractNum>
  <w:abstractNum w:abstractNumId="13">
    <w:nsid w:val="569C5777"/>
    <w:multiLevelType w:val="multilevel"/>
    <w:tmpl w:val="569C577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72DE5B4"/>
    <w:multiLevelType w:val="singleLevel"/>
    <w:tmpl w:val="572DE5B4"/>
    <w:lvl w:ilvl="0" w:tentative="0">
      <w:start w:val="1"/>
      <w:numFmt w:val="decimal"/>
      <w:suff w:val="nothing"/>
      <w:lvlText w:val="%1."/>
      <w:lvlJc w:val="left"/>
    </w:lvl>
  </w:abstractNum>
  <w:abstractNum w:abstractNumId="15">
    <w:nsid w:val="60EF729C"/>
    <w:multiLevelType w:val="multilevel"/>
    <w:tmpl w:val="60EF729C"/>
    <w:lvl w:ilvl="0" w:tentative="0">
      <w:start w:val="1"/>
      <w:numFmt w:val="chineseCountingThousand"/>
      <w:lvlText w:val="(%1)"/>
      <w:lvlJc w:val="left"/>
      <w:pPr>
        <w:ind w:left="980" w:hanging="420"/>
      </w:pPr>
      <w:rPr>
        <w:rFonts w:ascii="宋体" w:hAnsi="宋体" w:eastAsia="宋体"/>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6">
    <w:nsid w:val="66F98E87"/>
    <w:multiLevelType w:val="singleLevel"/>
    <w:tmpl w:val="66F98E87"/>
    <w:lvl w:ilvl="0" w:tentative="0">
      <w:start w:val="1"/>
      <w:numFmt w:val="decimal"/>
      <w:lvlText w:val="%1."/>
      <w:lvlJc w:val="left"/>
      <w:pPr>
        <w:ind w:left="425" w:hanging="425"/>
      </w:pPr>
      <w:rPr>
        <w:rFonts w:hint="default"/>
      </w:rPr>
    </w:lvl>
  </w:abstractNum>
  <w:abstractNum w:abstractNumId="17">
    <w:nsid w:val="7CE70E6D"/>
    <w:multiLevelType w:val="singleLevel"/>
    <w:tmpl w:val="7CE70E6D"/>
    <w:lvl w:ilvl="0" w:tentative="0">
      <w:start w:val="1"/>
      <w:numFmt w:val="decimal"/>
      <w:suff w:val="nothing"/>
      <w:lvlText w:val="%1."/>
      <w:lvlJc w:val="left"/>
    </w:lvl>
  </w:abstractNum>
  <w:num w:numId="1">
    <w:abstractNumId w:val="0"/>
  </w:num>
  <w:num w:numId="2">
    <w:abstractNumId w:val="7"/>
  </w:num>
  <w:num w:numId="3">
    <w:abstractNumId w:val="15"/>
  </w:num>
  <w:num w:numId="4">
    <w:abstractNumId w:val="6"/>
  </w:num>
  <w:num w:numId="5">
    <w:abstractNumId w:val="12"/>
  </w:num>
  <w:num w:numId="6">
    <w:abstractNumId w:val="5"/>
  </w:num>
  <w:num w:numId="7">
    <w:abstractNumId w:val="4"/>
  </w:num>
  <w:num w:numId="8">
    <w:abstractNumId w:val="16"/>
  </w:num>
  <w:num w:numId="9">
    <w:abstractNumId w:val="2"/>
  </w:num>
  <w:num w:numId="10">
    <w:abstractNumId w:val="11"/>
  </w:num>
  <w:num w:numId="11">
    <w:abstractNumId w:val="3"/>
  </w:num>
  <w:num w:numId="12">
    <w:abstractNumId w:val="13"/>
  </w:num>
  <w:num w:numId="13">
    <w:abstractNumId w:val="1"/>
  </w:num>
  <w:num w:numId="14">
    <w:abstractNumId w:val="10"/>
  </w:num>
  <w:num w:numId="15">
    <w:abstractNumId w:val="9"/>
  </w:num>
  <w:num w:numId="16">
    <w:abstractNumId w:val="8"/>
  </w:num>
  <w:num w:numId="17">
    <w:abstractNumId w:val="1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251"/>
    <w:rsid w:val="00055BC9"/>
    <w:rsid w:val="0006416F"/>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7D59"/>
    <w:rsid w:val="000D372E"/>
    <w:rsid w:val="000D4516"/>
    <w:rsid w:val="000D77C7"/>
    <w:rsid w:val="000E1CB6"/>
    <w:rsid w:val="000E277D"/>
    <w:rsid w:val="000E5533"/>
    <w:rsid w:val="001013A8"/>
    <w:rsid w:val="001024C4"/>
    <w:rsid w:val="00105509"/>
    <w:rsid w:val="0011170B"/>
    <w:rsid w:val="00112AE2"/>
    <w:rsid w:val="00114920"/>
    <w:rsid w:val="00121B5B"/>
    <w:rsid w:val="00125855"/>
    <w:rsid w:val="001300D3"/>
    <w:rsid w:val="001344AC"/>
    <w:rsid w:val="0014220C"/>
    <w:rsid w:val="00145596"/>
    <w:rsid w:val="00145839"/>
    <w:rsid w:val="001505AC"/>
    <w:rsid w:val="00154134"/>
    <w:rsid w:val="00155983"/>
    <w:rsid w:val="00155A34"/>
    <w:rsid w:val="001604AB"/>
    <w:rsid w:val="00164707"/>
    <w:rsid w:val="00164B91"/>
    <w:rsid w:val="00172A27"/>
    <w:rsid w:val="00175957"/>
    <w:rsid w:val="00187DF6"/>
    <w:rsid w:val="00194365"/>
    <w:rsid w:val="001944F5"/>
    <w:rsid w:val="00195617"/>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497F"/>
    <w:rsid w:val="0021591C"/>
    <w:rsid w:val="00216BCF"/>
    <w:rsid w:val="00217C91"/>
    <w:rsid w:val="00221D47"/>
    <w:rsid w:val="0022379F"/>
    <w:rsid w:val="0022459A"/>
    <w:rsid w:val="0022476E"/>
    <w:rsid w:val="00225F7C"/>
    <w:rsid w:val="002333C1"/>
    <w:rsid w:val="00242DE0"/>
    <w:rsid w:val="00244182"/>
    <w:rsid w:val="00246487"/>
    <w:rsid w:val="00250A00"/>
    <w:rsid w:val="00253AFF"/>
    <w:rsid w:val="00264096"/>
    <w:rsid w:val="0026536E"/>
    <w:rsid w:val="00266035"/>
    <w:rsid w:val="00271AA0"/>
    <w:rsid w:val="00275CA3"/>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60802"/>
    <w:rsid w:val="0036491C"/>
    <w:rsid w:val="003673C1"/>
    <w:rsid w:val="00375441"/>
    <w:rsid w:val="003815F6"/>
    <w:rsid w:val="00383971"/>
    <w:rsid w:val="00386C64"/>
    <w:rsid w:val="00386C70"/>
    <w:rsid w:val="00386D6B"/>
    <w:rsid w:val="003906AE"/>
    <w:rsid w:val="003932F2"/>
    <w:rsid w:val="00394717"/>
    <w:rsid w:val="003954FA"/>
    <w:rsid w:val="003A4070"/>
    <w:rsid w:val="003A61B7"/>
    <w:rsid w:val="003A63C6"/>
    <w:rsid w:val="003B27F3"/>
    <w:rsid w:val="003C1D76"/>
    <w:rsid w:val="003C1DC0"/>
    <w:rsid w:val="003D0FFC"/>
    <w:rsid w:val="003D406E"/>
    <w:rsid w:val="003D6349"/>
    <w:rsid w:val="003D6DDA"/>
    <w:rsid w:val="003E3FB7"/>
    <w:rsid w:val="003E7086"/>
    <w:rsid w:val="003F2B4E"/>
    <w:rsid w:val="003F6DD8"/>
    <w:rsid w:val="00401657"/>
    <w:rsid w:val="004023FB"/>
    <w:rsid w:val="00411B18"/>
    <w:rsid w:val="004139C0"/>
    <w:rsid w:val="00414044"/>
    <w:rsid w:val="0041689F"/>
    <w:rsid w:val="00421B48"/>
    <w:rsid w:val="00424DBD"/>
    <w:rsid w:val="00426155"/>
    <w:rsid w:val="00431C89"/>
    <w:rsid w:val="00432A03"/>
    <w:rsid w:val="004348F5"/>
    <w:rsid w:val="004360CA"/>
    <w:rsid w:val="00436830"/>
    <w:rsid w:val="004423AB"/>
    <w:rsid w:val="0044283D"/>
    <w:rsid w:val="0044360C"/>
    <w:rsid w:val="00444368"/>
    <w:rsid w:val="00447931"/>
    <w:rsid w:val="00456BC1"/>
    <w:rsid w:val="00473BB4"/>
    <w:rsid w:val="00476BF0"/>
    <w:rsid w:val="00491859"/>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0E66"/>
    <w:rsid w:val="00561290"/>
    <w:rsid w:val="005655BB"/>
    <w:rsid w:val="0056668D"/>
    <w:rsid w:val="0056721A"/>
    <w:rsid w:val="00567DB5"/>
    <w:rsid w:val="00572DB6"/>
    <w:rsid w:val="005739C8"/>
    <w:rsid w:val="00576B3F"/>
    <w:rsid w:val="005772A9"/>
    <w:rsid w:val="00585285"/>
    <w:rsid w:val="005875B9"/>
    <w:rsid w:val="00592951"/>
    <w:rsid w:val="00595EFF"/>
    <w:rsid w:val="00596962"/>
    <w:rsid w:val="005969FB"/>
    <w:rsid w:val="005A431C"/>
    <w:rsid w:val="005A52C7"/>
    <w:rsid w:val="005A6CEA"/>
    <w:rsid w:val="005B2AB5"/>
    <w:rsid w:val="005B2C4E"/>
    <w:rsid w:val="005B6CEE"/>
    <w:rsid w:val="005C3F4C"/>
    <w:rsid w:val="005C6AA9"/>
    <w:rsid w:val="005D14E9"/>
    <w:rsid w:val="005D22E5"/>
    <w:rsid w:val="005D4557"/>
    <w:rsid w:val="005E4E7C"/>
    <w:rsid w:val="005E69D0"/>
    <w:rsid w:val="005F3968"/>
    <w:rsid w:val="005F4B5B"/>
    <w:rsid w:val="005F602A"/>
    <w:rsid w:val="00602898"/>
    <w:rsid w:val="00603DB1"/>
    <w:rsid w:val="00607731"/>
    <w:rsid w:val="00611B4E"/>
    <w:rsid w:val="00611C3E"/>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7E54"/>
    <w:rsid w:val="00661000"/>
    <w:rsid w:val="00662D55"/>
    <w:rsid w:val="0066649F"/>
    <w:rsid w:val="00667081"/>
    <w:rsid w:val="00677B93"/>
    <w:rsid w:val="00690C78"/>
    <w:rsid w:val="006A0EE2"/>
    <w:rsid w:val="006A3B53"/>
    <w:rsid w:val="006A7A3B"/>
    <w:rsid w:val="006B10D1"/>
    <w:rsid w:val="006B34D9"/>
    <w:rsid w:val="006B36E7"/>
    <w:rsid w:val="006B6C86"/>
    <w:rsid w:val="006D1B89"/>
    <w:rsid w:val="006D61D7"/>
    <w:rsid w:val="006E101A"/>
    <w:rsid w:val="006E54A2"/>
    <w:rsid w:val="007044D8"/>
    <w:rsid w:val="00706205"/>
    <w:rsid w:val="00714ACD"/>
    <w:rsid w:val="0072093F"/>
    <w:rsid w:val="007216CB"/>
    <w:rsid w:val="0072216A"/>
    <w:rsid w:val="007227FF"/>
    <w:rsid w:val="00731F87"/>
    <w:rsid w:val="00740D02"/>
    <w:rsid w:val="007424C6"/>
    <w:rsid w:val="00743DF1"/>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3AED"/>
    <w:rsid w:val="00796603"/>
    <w:rsid w:val="00797166"/>
    <w:rsid w:val="007A2D85"/>
    <w:rsid w:val="007A4834"/>
    <w:rsid w:val="007B7C38"/>
    <w:rsid w:val="007C04CE"/>
    <w:rsid w:val="007C3669"/>
    <w:rsid w:val="007C6EBF"/>
    <w:rsid w:val="007D3003"/>
    <w:rsid w:val="007D7DD0"/>
    <w:rsid w:val="007E302E"/>
    <w:rsid w:val="007E3907"/>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4D07"/>
    <w:rsid w:val="00860A31"/>
    <w:rsid w:val="008629B5"/>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23FD"/>
    <w:rsid w:val="008B34ED"/>
    <w:rsid w:val="008B392E"/>
    <w:rsid w:val="008B670C"/>
    <w:rsid w:val="008C26B6"/>
    <w:rsid w:val="008C7560"/>
    <w:rsid w:val="008D1A59"/>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34B39"/>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4D34"/>
    <w:rsid w:val="009A525E"/>
    <w:rsid w:val="009A5E41"/>
    <w:rsid w:val="009C14F4"/>
    <w:rsid w:val="009C3EE0"/>
    <w:rsid w:val="009C64AE"/>
    <w:rsid w:val="009C65A2"/>
    <w:rsid w:val="009E12D5"/>
    <w:rsid w:val="009E29EF"/>
    <w:rsid w:val="009E2DE2"/>
    <w:rsid w:val="009E359E"/>
    <w:rsid w:val="009E765B"/>
    <w:rsid w:val="00A0078D"/>
    <w:rsid w:val="00A047AA"/>
    <w:rsid w:val="00A05921"/>
    <w:rsid w:val="00A07160"/>
    <w:rsid w:val="00A11229"/>
    <w:rsid w:val="00A11628"/>
    <w:rsid w:val="00A1442E"/>
    <w:rsid w:val="00A2516C"/>
    <w:rsid w:val="00A32246"/>
    <w:rsid w:val="00A42DCA"/>
    <w:rsid w:val="00A46630"/>
    <w:rsid w:val="00A475AB"/>
    <w:rsid w:val="00A614CE"/>
    <w:rsid w:val="00A735C6"/>
    <w:rsid w:val="00A80F6D"/>
    <w:rsid w:val="00A81CD4"/>
    <w:rsid w:val="00A90953"/>
    <w:rsid w:val="00A92786"/>
    <w:rsid w:val="00AA0461"/>
    <w:rsid w:val="00AA11EB"/>
    <w:rsid w:val="00AA7AB2"/>
    <w:rsid w:val="00AB392A"/>
    <w:rsid w:val="00AB5292"/>
    <w:rsid w:val="00AB7FA5"/>
    <w:rsid w:val="00AC519A"/>
    <w:rsid w:val="00AD5209"/>
    <w:rsid w:val="00AE5CBE"/>
    <w:rsid w:val="00AF2CF0"/>
    <w:rsid w:val="00AF486E"/>
    <w:rsid w:val="00B00BE7"/>
    <w:rsid w:val="00B03C03"/>
    <w:rsid w:val="00B03CD3"/>
    <w:rsid w:val="00B0631D"/>
    <w:rsid w:val="00B12F90"/>
    <w:rsid w:val="00B15A79"/>
    <w:rsid w:val="00B21F52"/>
    <w:rsid w:val="00B253F3"/>
    <w:rsid w:val="00B25D9F"/>
    <w:rsid w:val="00B27F3C"/>
    <w:rsid w:val="00B31134"/>
    <w:rsid w:val="00B34F6A"/>
    <w:rsid w:val="00B40BEF"/>
    <w:rsid w:val="00B418B5"/>
    <w:rsid w:val="00B43BF0"/>
    <w:rsid w:val="00B43CD4"/>
    <w:rsid w:val="00B469B7"/>
    <w:rsid w:val="00B47E24"/>
    <w:rsid w:val="00B524C8"/>
    <w:rsid w:val="00B5758F"/>
    <w:rsid w:val="00B64069"/>
    <w:rsid w:val="00B65CC6"/>
    <w:rsid w:val="00B67EFF"/>
    <w:rsid w:val="00B70FD1"/>
    <w:rsid w:val="00B726C7"/>
    <w:rsid w:val="00B72889"/>
    <w:rsid w:val="00B72CE7"/>
    <w:rsid w:val="00B774CF"/>
    <w:rsid w:val="00B77EC4"/>
    <w:rsid w:val="00B80AD5"/>
    <w:rsid w:val="00B860C3"/>
    <w:rsid w:val="00B90671"/>
    <w:rsid w:val="00B90B6E"/>
    <w:rsid w:val="00B91E38"/>
    <w:rsid w:val="00B92400"/>
    <w:rsid w:val="00B96A9E"/>
    <w:rsid w:val="00B96B7C"/>
    <w:rsid w:val="00B9707D"/>
    <w:rsid w:val="00BA2213"/>
    <w:rsid w:val="00BA4EFF"/>
    <w:rsid w:val="00BB5B6D"/>
    <w:rsid w:val="00BB6D96"/>
    <w:rsid w:val="00BC2EEC"/>
    <w:rsid w:val="00BC35DC"/>
    <w:rsid w:val="00BC67AA"/>
    <w:rsid w:val="00BC7899"/>
    <w:rsid w:val="00BD2369"/>
    <w:rsid w:val="00BD41A1"/>
    <w:rsid w:val="00BD5240"/>
    <w:rsid w:val="00BD5BB9"/>
    <w:rsid w:val="00BE4883"/>
    <w:rsid w:val="00BE7C39"/>
    <w:rsid w:val="00BF2297"/>
    <w:rsid w:val="00C053E5"/>
    <w:rsid w:val="00C07BF1"/>
    <w:rsid w:val="00C11059"/>
    <w:rsid w:val="00C174A4"/>
    <w:rsid w:val="00C214F6"/>
    <w:rsid w:val="00C226D9"/>
    <w:rsid w:val="00C23B98"/>
    <w:rsid w:val="00C24E1E"/>
    <w:rsid w:val="00C2645D"/>
    <w:rsid w:val="00C27B6D"/>
    <w:rsid w:val="00C3028C"/>
    <w:rsid w:val="00C3119C"/>
    <w:rsid w:val="00C315D6"/>
    <w:rsid w:val="00C4031C"/>
    <w:rsid w:val="00C43DB5"/>
    <w:rsid w:val="00C514A7"/>
    <w:rsid w:val="00C5290A"/>
    <w:rsid w:val="00C706FF"/>
    <w:rsid w:val="00C74CE8"/>
    <w:rsid w:val="00C90657"/>
    <w:rsid w:val="00C9536A"/>
    <w:rsid w:val="00CA1AC9"/>
    <w:rsid w:val="00CA621C"/>
    <w:rsid w:val="00CB5412"/>
    <w:rsid w:val="00CD2F21"/>
    <w:rsid w:val="00CD6ADB"/>
    <w:rsid w:val="00CD6D98"/>
    <w:rsid w:val="00CD7E92"/>
    <w:rsid w:val="00CE7860"/>
    <w:rsid w:val="00CF023C"/>
    <w:rsid w:val="00CF05BC"/>
    <w:rsid w:val="00D03706"/>
    <w:rsid w:val="00D048B7"/>
    <w:rsid w:val="00D1262C"/>
    <w:rsid w:val="00D14DB9"/>
    <w:rsid w:val="00D202CF"/>
    <w:rsid w:val="00D35C86"/>
    <w:rsid w:val="00D42526"/>
    <w:rsid w:val="00D4497C"/>
    <w:rsid w:val="00D51B1D"/>
    <w:rsid w:val="00D525E3"/>
    <w:rsid w:val="00D5627D"/>
    <w:rsid w:val="00D57C42"/>
    <w:rsid w:val="00D62988"/>
    <w:rsid w:val="00D70E13"/>
    <w:rsid w:val="00D7579D"/>
    <w:rsid w:val="00D845E0"/>
    <w:rsid w:val="00D878E1"/>
    <w:rsid w:val="00D87D2D"/>
    <w:rsid w:val="00D905C4"/>
    <w:rsid w:val="00D9132A"/>
    <w:rsid w:val="00D97460"/>
    <w:rsid w:val="00DA2896"/>
    <w:rsid w:val="00DA71C3"/>
    <w:rsid w:val="00DB2B70"/>
    <w:rsid w:val="00DB3B49"/>
    <w:rsid w:val="00DB73CD"/>
    <w:rsid w:val="00DC0A3E"/>
    <w:rsid w:val="00DC5B4A"/>
    <w:rsid w:val="00DC7831"/>
    <w:rsid w:val="00DC7B9C"/>
    <w:rsid w:val="00DD02B6"/>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354F4"/>
    <w:rsid w:val="00E36D06"/>
    <w:rsid w:val="00E44E2C"/>
    <w:rsid w:val="00E46348"/>
    <w:rsid w:val="00E47B3B"/>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5BF7"/>
    <w:rsid w:val="00ED2D79"/>
    <w:rsid w:val="00EE05C4"/>
    <w:rsid w:val="00EE7895"/>
    <w:rsid w:val="00EF18C1"/>
    <w:rsid w:val="00EF6BC6"/>
    <w:rsid w:val="00F02A17"/>
    <w:rsid w:val="00F05829"/>
    <w:rsid w:val="00F10A08"/>
    <w:rsid w:val="00F12359"/>
    <w:rsid w:val="00F1271D"/>
    <w:rsid w:val="00F1300D"/>
    <w:rsid w:val="00F2449B"/>
    <w:rsid w:val="00F25270"/>
    <w:rsid w:val="00F25306"/>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B25F3"/>
    <w:rsid w:val="00FB76BF"/>
    <w:rsid w:val="00FC33B2"/>
    <w:rsid w:val="00FC3A89"/>
    <w:rsid w:val="00FC3AC8"/>
    <w:rsid w:val="00FC4154"/>
    <w:rsid w:val="00FD202C"/>
    <w:rsid w:val="00FD2526"/>
    <w:rsid w:val="00FD42A2"/>
    <w:rsid w:val="00FD50E2"/>
    <w:rsid w:val="00FD63AD"/>
    <w:rsid w:val="00FD70BE"/>
    <w:rsid w:val="00FE3A06"/>
    <w:rsid w:val="00FE3CE8"/>
    <w:rsid w:val="00FE6165"/>
    <w:rsid w:val="00FE62DA"/>
    <w:rsid w:val="00FF088C"/>
    <w:rsid w:val="00FF28EC"/>
    <w:rsid w:val="00FF5451"/>
    <w:rsid w:val="00FF6D86"/>
    <w:rsid w:val="00FF7B48"/>
    <w:rsid w:val="01120EB0"/>
    <w:rsid w:val="01586AB7"/>
    <w:rsid w:val="038832FE"/>
    <w:rsid w:val="042B4404"/>
    <w:rsid w:val="049C609A"/>
    <w:rsid w:val="05170E2A"/>
    <w:rsid w:val="05F33E19"/>
    <w:rsid w:val="07E062A3"/>
    <w:rsid w:val="08A607DC"/>
    <w:rsid w:val="0CA3463F"/>
    <w:rsid w:val="0FF11DF9"/>
    <w:rsid w:val="0FFF5BD0"/>
    <w:rsid w:val="12342DAB"/>
    <w:rsid w:val="13033C28"/>
    <w:rsid w:val="13B94E90"/>
    <w:rsid w:val="16835D39"/>
    <w:rsid w:val="16FA62BC"/>
    <w:rsid w:val="19367B17"/>
    <w:rsid w:val="1B85573B"/>
    <w:rsid w:val="20674731"/>
    <w:rsid w:val="214926E0"/>
    <w:rsid w:val="242A1E4E"/>
    <w:rsid w:val="24874F28"/>
    <w:rsid w:val="24ED39A1"/>
    <w:rsid w:val="26176E88"/>
    <w:rsid w:val="29C013EA"/>
    <w:rsid w:val="2D670935"/>
    <w:rsid w:val="37DA1FFD"/>
    <w:rsid w:val="3B08447F"/>
    <w:rsid w:val="3C823756"/>
    <w:rsid w:val="3C9B5EFD"/>
    <w:rsid w:val="3E13186C"/>
    <w:rsid w:val="42310B31"/>
    <w:rsid w:val="4BC8116F"/>
    <w:rsid w:val="4F0E00F7"/>
    <w:rsid w:val="50055DC9"/>
    <w:rsid w:val="524B628E"/>
    <w:rsid w:val="5598176B"/>
    <w:rsid w:val="5FA63A90"/>
    <w:rsid w:val="60893DE1"/>
    <w:rsid w:val="656F3231"/>
    <w:rsid w:val="65C636CA"/>
    <w:rsid w:val="691A5ECD"/>
    <w:rsid w:val="691B6ACA"/>
    <w:rsid w:val="691F79C3"/>
    <w:rsid w:val="697F115B"/>
    <w:rsid w:val="6AB5708C"/>
    <w:rsid w:val="74CF61DD"/>
    <w:rsid w:val="782F28F7"/>
    <w:rsid w:val="796C3466"/>
    <w:rsid w:val="7B2D3227"/>
    <w:rsid w:val="7D5D521C"/>
    <w:rsid w:val="7EBB2477"/>
    <w:rsid w:val="7F9430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0"/>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1"/>
    <w:qFormat/>
    <w:uiPriority w:val="0"/>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23">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34"/>
    <w:semiHidden/>
    <w:unhideWhenUsed/>
    <w:qFormat/>
    <w:uiPriority w:val="99"/>
    <w:rPr>
      <w:b/>
      <w:bCs/>
    </w:rPr>
  </w:style>
  <w:style w:type="paragraph" w:styleId="6">
    <w:name w:val="annotation text"/>
    <w:basedOn w:val="1"/>
    <w:link w:val="33"/>
    <w:semiHidden/>
    <w:unhideWhenUsed/>
    <w:qFormat/>
    <w:uiPriority w:val="99"/>
    <w:pPr>
      <w:jc w:val="left"/>
    </w:pPr>
  </w:style>
  <w:style w:type="paragraph" w:styleId="7">
    <w:name w:val="Closing"/>
    <w:basedOn w:val="1"/>
    <w:qFormat/>
    <w:uiPriority w:val="0"/>
    <w:pPr>
      <w:ind w:left="100" w:leftChars="2100"/>
    </w:pPr>
    <w:rPr>
      <w:rFonts w:ascii="宋体"/>
      <w:sz w:val="24"/>
    </w:rPr>
  </w:style>
  <w:style w:type="paragraph" w:styleId="8">
    <w:name w:val="Body Text"/>
    <w:basedOn w:val="1"/>
    <w:link w:val="38"/>
    <w:semiHidden/>
    <w:unhideWhenUsed/>
    <w:qFormat/>
    <w:uiPriority w:val="99"/>
    <w:pPr>
      <w:spacing w:after="120"/>
    </w:pPr>
  </w:style>
  <w:style w:type="paragraph" w:styleId="9">
    <w:name w:val="Body Text Indent"/>
    <w:basedOn w:val="1"/>
    <w:link w:val="36"/>
    <w:qFormat/>
    <w:uiPriority w:val="0"/>
    <w:pPr>
      <w:spacing w:after="120"/>
      <w:ind w:left="420" w:leftChars="200"/>
    </w:pPr>
    <w:rPr>
      <w:rFonts w:ascii="Calibri" w:hAnsi="Calibri"/>
      <w:szCs w:val="22"/>
    </w:rPr>
  </w:style>
  <w:style w:type="paragraph" w:styleId="10">
    <w:name w:val="Plain Text"/>
    <w:basedOn w:val="1"/>
    <w:link w:val="32"/>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1">
    <w:name w:val="endnote text"/>
    <w:basedOn w:val="1"/>
    <w:link w:val="47"/>
    <w:semiHidden/>
    <w:unhideWhenUsed/>
    <w:qFormat/>
    <w:uiPriority w:val="99"/>
    <w:pPr>
      <w:snapToGrid w:val="0"/>
      <w:jc w:val="left"/>
    </w:pPr>
  </w:style>
  <w:style w:type="paragraph" w:styleId="12">
    <w:name w:val="Balloon Text"/>
    <w:basedOn w:val="1"/>
    <w:link w:val="42"/>
    <w:qFormat/>
    <w:uiPriority w:val="0"/>
    <w:rPr>
      <w:sz w:val="18"/>
      <w:szCs w:val="18"/>
    </w:rPr>
  </w:style>
  <w:style w:type="paragraph" w:styleId="13">
    <w:name w:val="footer"/>
    <w:basedOn w:val="1"/>
    <w:link w:val="28"/>
    <w:qFormat/>
    <w:uiPriority w:val="0"/>
    <w:pPr>
      <w:tabs>
        <w:tab w:val="center" w:pos="4153"/>
        <w:tab w:val="right" w:pos="8306"/>
      </w:tabs>
      <w:snapToGrid w:val="0"/>
      <w:jc w:val="left"/>
    </w:pPr>
    <w:rPr>
      <w:sz w:val="18"/>
      <w:szCs w:val="18"/>
    </w:rPr>
  </w:style>
  <w:style w:type="paragraph" w:styleId="14">
    <w:name w:val="header"/>
    <w:basedOn w:val="1"/>
    <w:link w:val="30"/>
    <w:qFormat/>
    <w:uiPriority w:val="0"/>
    <w:pPr>
      <w:pBdr>
        <w:bottom w:val="single" w:color="auto" w:sz="6" w:space="1"/>
      </w:pBdr>
      <w:tabs>
        <w:tab w:val="center" w:pos="4153"/>
        <w:tab w:val="right" w:pos="8306"/>
      </w:tabs>
      <w:snapToGrid w:val="0"/>
      <w:jc w:val="center"/>
    </w:pPr>
    <w:rPr>
      <w:sz w:val="18"/>
      <w:szCs w:val="18"/>
    </w:rPr>
  </w:style>
  <w:style w:type="paragraph" w:styleId="15">
    <w:name w:val="HTML Preformatted"/>
    <w:basedOn w:val="1"/>
    <w:link w:val="4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6">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8">
    <w:name w:val="Strong"/>
    <w:qFormat/>
    <w:uiPriority w:val="0"/>
    <w:rPr>
      <w:b/>
      <w:bCs/>
    </w:rPr>
  </w:style>
  <w:style w:type="character" w:styleId="19">
    <w:name w:val="endnote reference"/>
    <w:basedOn w:val="17"/>
    <w:semiHidden/>
    <w:unhideWhenUsed/>
    <w:qFormat/>
    <w:uiPriority w:val="99"/>
    <w:rPr>
      <w:vertAlign w:val="superscript"/>
    </w:rPr>
  </w:style>
  <w:style w:type="character" w:styleId="20">
    <w:name w:val="Emphasis"/>
    <w:qFormat/>
    <w:uiPriority w:val="20"/>
    <w:rPr>
      <w:i/>
      <w:iCs/>
    </w:rPr>
  </w:style>
  <w:style w:type="character" w:styleId="21">
    <w:name w:val="Hyperlink"/>
    <w:basedOn w:val="17"/>
    <w:unhideWhenUsed/>
    <w:qFormat/>
    <w:uiPriority w:val="0"/>
    <w:rPr>
      <w:color w:val="0000FF"/>
      <w:u w:val="single"/>
    </w:rPr>
  </w:style>
  <w:style w:type="character" w:styleId="22">
    <w:name w:val="annotation reference"/>
    <w:basedOn w:val="17"/>
    <w:semiHidden/>
    <w:unhideWhenUsed/>
    <w:qFormat/>
    <w:uiPriority w:val="99"/>
    <w:rPr>
      <w:sz w:val="21"/>
      <w:szCs w:val="21"/>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5">
    <w:name w:val="纯文本1"/>
    <w:basedOn w:val="1"/>
    <w:qFormat/>
    <w:uiPriority w:val="0"/>
    <w:pPr>
      <w:widowControl/>
      <w:jc w:val="left"/>
    </w:pPr>
    <w:rPr>
      <w:rFonts w:ascii="宋体" w:hAnsi="Courier New" w:eastAsia="微软雅黑"/>
      <w:kern w:val="0"/>
      <w:sz w:val="20"/>
      <w:szCs w:val="21"/>
    </w:rPr>
  </w:style>
  <w:style w:type="paragraph" w:customStyle="1" w:styleId="26">
    <w:name w:val="1_0"/>
    <w:basedOn w:val="1"/>
    <w:next w:val="25"/>
    <w:qFormat/>
    <w:uiPriority w:val="0"/>
    <w:rPr>
      <w:rFonts w:ascii="宋体" w:hAnsi="Courier New"/>
      <w:szCs w:val="22"/>
    </w:rPr>
  </w:style>
  <w:style w:type="paragraph" w:customStyle="1" w:styleId="27">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28">
    <w:name w:val="页脚 字符"/>
    <w:link w:val="13"/>
    <w:qFormat/>
    <w:uiPriority w:val="0"/>
    <w:rPr>
      <w:kern w:val="2"/>
      <w:sz w:val="18"/>
      <w:szCs w:val="18"/>
    </w:rPr>
  </w:style>
  <w:style w:type="character" w:customStyle="1" w:styleId="29">
    <w:name w:val="apple-style-span"/>
    <w:basedOn w:val="17"/>
    <w:qFormat/>
    <w:uiPriority w:val="0"/>
  </w:style>
  <w:style w:type="character" w:customStyle="1" w:styleId="30">
    <w:name w:val="页眉 字符"/>
    <w:link w:val="14"/>
    <w:qFormat/>
    <w:uiPriority w:val="0"/>
    <w:rPr>
      <w:kern w:val="2"/>
      <w:sz w:val="18"/>
      <w:szCs w:val="18"/>
    </w:rPr>
  </w:style>
  <w:style w:type="character" w:customStyle="1" w:styleId="31">
    <w:name w:val="style141"/>
    <w:qFormat/>
    <w:uiPriority w:val="0"/>
    <w:rPr>
      <w:rFonts w:hint="eastAsia" w:ascii="宋体" w:hAnsi="宋体" w:eastAsia="宋体"/>
      <w:sz w:val="18"/>
      <w:szCs w:val="18"/>
    </w:rPr>
  </w:style>
  <w:style w:type="character" w:customStyle="1" w:styleId="32">
    <w:name w:val="纯文本 字符"/>
    <w:basedOn w:val="17"/>
    <w:link w:val="10"/>
    <w:qFormat/>
    <w:uiPriority w:val="0"/>
    <w:rPr>
      <w:rFonts w:ascii="宋体" w:hAnsi="Courier New" w:eastAsia="微软雅黑" w:cs="Courier New"/>
      <w:sz w:val="22"/>
      <w:szCs w:val="21"/>
    </w:rPr>
  </w:style>
  <w:style w:type="character" w:customStyle="1" w:styleId="33">
    <w:name w:val="批注文字 字符"/>
    <w:basedOn w:val="17"/>
    <w:link w:val="6"/>
    <w:semiHidden/>
    <w:qFormat/>
    <w:uiPriority w:val="99"/>
    <w:rPr>
      <w:kern w:val="2"/>
      <w:sz w:val="21"/>
      <w:szCs w:val="24"/>
    </w:rPr>
  </w:style>
  <w:style w:type="character" w:customStyle="1" w:styleId="34">
    <w:name w:val="批注主题 字符"/>
    <w:basedOn w:val="33"/>
    <w:link w:val="5"/>
    <w:semiHidden/>
    <w:qFormat/>
    <w:uiPriority w:val="99"/>
    <w:rPr>
      <w:b/>
      <w:bCs/>
      <w:kern w:val="2"/>
      <w:sz w:val="21"/>
      <w:szCs w:val="24"/>
    </w:rPr>
  </w:style>
  <w:style w:type="paragraph" w:styleId="35">
    <w:name w:val="List Paragraph"/>
    <w:basedOn w:val="1"/>
    <w:qFormat/>
    <w:uiPriority w:val="34"/>
    <w:pPr>
      <w:ind w:firstLine="420" w:firstLineChars="200"/>
    </w:pPr>
  </w:style>
  <w:style w:type="character" w:customStyle="1" w:styleId="36">
    <w:name w:val="正文文本缩进 字符"/>
    <w:basedOn w:val="17"/>
    <w:link w:val="9"/>
    <w:qFormat/>
    <w:uiPriority w:val="0"/>
    <w:rPr>
      <w:rFonts w:ascii="Calibri" w:hAnsi="Calibri"/>
      <w:kern w:val="2"/>
      <w:sz w:val="21"/>
      <w:szCs w:val="22"/>
    </w:rPr>
  </w:style>
  <w:style w:type="paragraph" w:customStyle="1" w:styleId="37">
    <w:name w:val="p18"/>
    <w:basedOn w:val="1"/>
    <w:qFormat/>
    <w:uiPriority w:val="0"/>
    <w:pPr>
      <w:widowControl/>
      <w:adjustRightInd w:val="0"/>
      <w:spacing w:line="312" w:lineRule="atLeast"/>
    </w:pPr>
    <w:rPr>
      <w:rFonts w:ascii="宋体" w:hAnsi="宋体" w:cs="宋体"/>
      <w:kern w:val="0"/>
      <w:sz w:val="24"/>
    </w:rPr>
  </w:style>
  <w:style w:type="character" w:customStyle="1" w:styleId="38">
    <w:name w:val="正文文本 字符"/>
    <w:basedOn w:val="17"/>
    <w:link w:val="8"/>
    <w:semiHidden/>
    <w:qFormat/>
    <w:uiPriority w:val="99"/>
    <w:rPr>
      <w:kern w:val="2"/>
      <w:sz w:val="21"/>
      <w:szCs w:val="24"/>
    </w:rPr>
  </w:style>
  <w:style w:type="character" w:customStyle="1" w:styleId="39">
    <w:name w:val="标题 1 字符"/>
    <w:basedOn w:val="17"/>
    <w:qFormat/>
    <w:uiPriority w:val="0"/>
    <w:rPr>
      <w:b/>
      <w:bCs/>
      <w:kern w:val="44"/>
      <w:sz w:val="44"/>
      <w:szCs w:val="44"/>
    </w:rPr>
  </w:style>
  <w:style w:type="character" w:customStyle="1" w:styleId="40">
    <w:name w:val="标题 2 字符"/>
    <w:basedOn w:val="17"/>
    <w:link w:val="3"/>
    <w:qFormat/>
    <w:uiPriority w:val="0"/>
    <w:rPr>
      <w:rFonts w:ascii="Arial" w:hAnsi="Arial" w:eastAsia="黑体"/>
      <w:b/>
      <w:bCs/>
      <w:kern w:val="2"/>
      <w:sz w:val="32"/>
      <w:szCs w:val="32"/>
    </w:rPr>
  </w:style>
  <w:style w:type="character" w:customStyle="1" w:styleId="41">
    <w:name w:val="标题 3 字符"/>
    <w:basedOn w:val="17"/>
    <w:link w:val="4"/>
    <w:qFormat/>
    <w:uiPriority w:val="0"/>
    <w:rPr>
      <w:b/>
      <w:bCs/>
      <w:kern w:val="2"/>
      <w:sz w:val="32"/>
      <w:szCs w:val="32"/>
    </w:rPr>
  </w:style>
  <w:style w:type="character" w:customStyle="1" w:styleId="42">
    <w:name w:val="批注框文本 字符"/>
    <w:basedOn w:val="17"/>
    <w:link w:val="12"/>
    <w:qFormat/>
    <w:uiPriority w:val="0"/>
    <w:rPr>
      <w:kern w:val="2"/>
      <w:sz w:val="18"/>
      <w:szCs w:val="18"/>
    </w:rPr>
  </w:style>
  <w:style w:type="character" w:customStyle="1" w:styleId="43">
    <w:name w:val="HTML 预设格式 字符"/>
    <w:basedOn w:val="17"/>
    <w:link w:val="15"/>
    <w:qFormat/>
    <w:uiPriority w:val="0"/>
    <w:rPr>
      <w:rFonts w:ascii="宋体" w:hAnsi="宋体" w:cs="宋体"/>
      <w:sz w:val="24"/>
      <w:szCs w:val="24"/>
    </w:rPr>
  </w:style>
  <w:style w:type="character" w:customStyle="1" w:styleId="44">
    <w:name w:val="标题 1 字符1"/>
    <w:link w:val="2"/>
    <w:qFormat/>
    <w:uiPriority w:val="0"/>
    <w:rPr>
      <w:b/>
      <w:bCs/>
      <w:kern w:val="44"/>
      <w:sz w:val="44"/>
      <w:szCs w:val="44"/>
    </w:rPr>
  </w:style>
  <w:style w:type="character" w:customStyle="1" w:styleId="45">
    <w:name w:val="页眉 Char"/>
    <w:qFormat/>
    <w:uiPriority w:val="0"/>
    <w:rPr>
      <w:kern w:val="2"/>
      <w:sz w:val="18"/>
      <w:szCs w:val="18"/>
      <w:lang w:val="zh-CN" w:eastAsia="zh-CN"/>
    </w:rPr>
  </w:style>
  <w:style w:type="character" w:customStyle="1" w:styleId="46">
    <w:name w:val="页脚 Char"/>
    <w:qFormat/>
    <w:uiPriority w:val="0"/>
    <w:rPr>
      <w:kern w:val="2"/>
      <w:sz w:val="18"/>
      <w:szCs w:val="18"/>
      <w:lang w:val="zh-CN" w:eastAsia="zh-CN"/>
    </w:rPr>
  </w:style>
  <w:style w:type="character" w:customStyle="1" w:styleId="47">
    <w:name w:val="尾注文本 字符"/>
    <w:basedOn w:val="17"/>
    <w:link w:val="11"/>
    <w:semiHidden/>
    <w:qFormat/>
    <w:uiPriority w:val="99"/>
    <w:rPr>
      <w:kern w:val="2"/>
      <w:sz w:val="21"/>
      <w:szCs w:val="24"/>
    </w:rPr>
  </w:style>
  <w:style w:type="character" w:customStyle="1" w:styleId="48">
    <w:name w:val="font51"/>
    <w:basedOn w:val="17"/>
    <w:qFormat/>
    <w:uiPriority w:val="0"/>
    <w:rPr>
      <w:rFonts w:ascii="微软雅黑" w:hAnsi="微软雅黑" w:eastAsia="微软雅黑" w:cs="微软雅黑"/>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6ADB92-84CC-4B37-A9CE-B4B74CD1E40E}">
  <ds:schemaRefs/>
</ds:datastoreItem>
</file>

<file path=docProps/app.xml><?xml version="1.0" encoding="utf-8"?>
<Properties xmlns="http://schemas.openxmlformats.org/officeDocument/2006/extended-properties" xmlns:vt="http://schemas.openxmlformats.org/officeDocument/2006/docPropsVTypes">
  <Template>Normal.dotm</Template>
  <Company>aaa</Company>
  <Pages>1</Pages>
  <Words>1671</Words>
  <Characters>9527</Characters>
  <Lines>79</Lines>
  <Paragraphs>22</Paragraphs>
  <TotalTime>14</TotalTime>
  <ScaleCrop>false</ScaleCrop>
  <LinksUpToDate>false</LinksUpToDate>
  <CharactersWithSpaces>11176</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2018-02-28T04:01:00Z</dcterms:created>
  <dc:creator>abc</dc:creator>
  <cp:lastModifiedBy>詹映静</cp:lastModifiedBy>
  <cp:lastPrinted>2011-11-29T08:47:00Z</cp:lastPrinted>
  <dcterms:modified xsi:type="dcterms:W3CDTF">2023-12-04T01:27:20Z</dcterms:modified>
  <dc:title>广州大学城投资经营管理有限公司</dc:title>
  <cp:revision>321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