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r>
        <w:rPr>
          <w:rFonts w:hint="eastAsia"/>
          <w:b/>
          <w:sz w:val="28"/>
        </w:rPr>
        <w:t>广州城投综合能源投资经营管理有限公司</w:t>
      </w:r>
    </w:p>
    <w:p>
      <w:pPr>
        <w:jc w:val="center"/>
        <w:rPr>
          <w:b/>
          <w:sz w:val="28"/>
        </w:rPr>
      </w:pPr>
      <w:r>
        <w:rPr>
          <w:rFonts w:hint="eastAsia"/>
          <w:b/>
          <w:sz w:val="28"/>
        </w:rPr>
        <w:t>2024年保温棉、黄铜闸阀及波纹管材料采购</w:t>
      </w:r>
    </w:p>
    <w:p>
      <w:pPr>
        <w:jc w:val="center"/>
        <w:rPr>
          <w:b/>
          <w:sz w:val="28"/>
        </w:rPr>
      </w:pPr>
      <w:r>
        <w:rPr>
          <w:rFonts w:hint="eastAsia"/>
          <w:b/>
          <w:sz w:val="28"/>
        </w:rPr>
        <w:t>竞选文件</w:t>
      </w:r>
    </w:p>
    <w:p>
      <w:pPr>
        <w:spacing w:line="360" w:lineRule="auto"/>
        <w:ind w:firstLine="482" w:firstLineChars="200"/>
        <w:jc w:val="left"/>
        <w:rPr>
          <w:rFonts w:ascii="宋体" w:hAnsi="宋体"/>
          <w:b/>
          <w:sz w:val="24"/>
        </w:rPr>
      </w:pPr>
    </w:p>
    <w:p>
      <w:pPr>
        <w:pStyle w:val="13"/>
        <w:numPr>
          <w:ilvl w:val="0"/>
          <w:numId w:val="1"/>
        </w:numPr>
        <w:spacing w:line="360" w:lineRule="auto"/>
        <w:ind w:left="0" w:firstLine="480"/>
        <w:rPr>
          <w:rFonts w:ascii="宋体" w:hAnsi="宋体"/>
          <w:sz w:val="24"/>
        </w:rPr>
      </w:pPr>
      <w:r>
        <w:rPr>
          <w:rFonts w:hint="eastAsia" w:ascii="宋体" w:hAnsi="宋体"/>
          <w:sz w:val="24"/>
        </w:rPr>
        <w:t>项目名称和采购内容</w:t>
      </w:r>
    </w:p>
    <w:p>
      <w:pPr>
        <w:pStyle w:val="13"/>
        <w:numPr>
          <w:ilvl w:val="0"/>
          <w:numId w:val="2"/>
        </w:numPr>
        <w:tabs>
          <w:tab w:val="left" w:pos="420"/>
        </w:tabs>
        <w:spacing w:line="360" w:lineRule="auto"/>
        <w:ind w:firstLine="480"/>
        <w:rPr>
          <w:rFonts w:ascii="宋体" w:hAnsi="宋体"/>
          <w:sz w:val="24"/>
        </w:rPr>
      </w:pPr>
      <w:r>
        <w:rPr>
          <w:rFonts w:hint="eastAsia" w:ascii="宋体" w:hAnsi="宋体"/>
          <w:sz w:val="24"/>
        </w:rPr>
        <w:t>项目名称：2024年保温棉、黄铜闸阀及波纹管材料采购</w:t>
      </w:r>
    </w:p>
    <w:p>
      <w:pPr>
        <w:pStyle w:val="16"/>
        <w:numPr>
          <w:ilvl w:val="255"/>
          <w:numId w:val="0"/>
        </w:numPr>
        <w:spacing w:before="156" w:beforeLines="50" w:after="156" w:afterLines="50" w:line="360" w:lineRule="auto"/>
        <w:ind w:left="480"/>
        <w:rPr>
          <w:rFonts w:ascii="宋体" w:hAnsi="宋体" w:eastAsia="宋体"/>
          <w:sz w:val="24"/>
        </w:rPr>
      </w:pPr>
      <w:r>
        <w:rPr>
          <w:rFonts w:hint="eastAsia" w:ascii="宋体" w:hAnsi="宋体" w:eastAsia="宋体" w:cs="宋体"/>
          <w:sz w:val="24"/>
        </w:rPr>
        <w:t>（二）项目类别：货物类</w:t>
      </w:r>
    </w:p>
    <w:p>
      <w:pPr>
        <w:pStyle w:val="13"/>
        <w:tabs>
          <w:tab w:val="left" w:pos="420"/>
        </w:tabs>
        <w:spacing w:line="360" w:lineRule="auto"/>
        <w:ind w:firstLine="480"/>
        <w:rPr>
          <w:rFonts w:ascii="宋体" w:hAnsi="宋体"/>
          <w:sz w:val="24"/>
          <w:highlight w:val="yellow"/>
        </w:rPr>
      </w:pPr>
      <w:r>
        <w:rPr>
          <w:rFonts w:hint="eastAsia" w:ascii="宋体" w:hAnsi="宋体" w:eastAsia="宋体" w:cs="宋体"/>
          <w:sz w:val="24"/>
        </w:rPr>
        <w:t>（三）采购限价（人民币）：投标单价不高于《</w:t>
      </w:r>
      <w:r>
        <w:rPr>
          <w:rFonts w:hint="eastAsia" w:ascii="宋体" w:hAnsi="宋体"/>
          <w:sz w:val="24"/>
        </w:rPr>
        <w:t>2024年保温棉、黄铜闸阀及波纹管材料采购清单》明示的各项单价</w:t>
      </w:r>
      <w:r>
        <w:rPr>
          <w:rFonts w:hint="eastAsia" w:ascii="宋体" w:hAnsi="宋体"/>
          <w:sz w:val="24"/>
          <w:lang w:eastAsia="zh-CN"/>
        </w:rPr>
        <w:t>。</w:t>
      </w:r>
    </w:p>
    <w:p>
      <w:pPr>
        <w:pStyle w:val="13"/>
        <w:tabs>
          <w:tab w:val="left" w:pos="420"/>
        </w:tabs>
        <w:spacing w:line="360" w:lineRule="auto"/>
        <w:ind w:firstLine="480"/>
        <w:rPr>
          <w:rFonts w:ascii="宋体" w:hAnsi="宋体"/>
          <w:sz w:val="24"/>
        </w:rPr>
      </w:pPr>
      <w:r>
        <w:rPr>
          <w:rFonts w:hint="eastAsia" w:ascii="宋体" w:hAnsi="宋体"/>
          <w:sz w:val="24"/>
        </w:rPr>
        <w:t>（四）采购内容：保温棉、黄铜闸阀及波纹管等材料，具体详见附件1本项目“采购需求”。</w:t>
      </w:r>
    </w:p>
    <w:p>
      <w:pPr>
        <w:spacing w:line="360" w:lineRule="auto"/>
        <w:ind w:firstLine="480" w:firstLineChars="200"/>
        <w:rPr>
          <w:rFonts w:ascii="宋体" w:hAnsi="宋体"/>
          <w:sz w:val="24"/>
        </w:rPr>
      </w:pPr>
      <w:r>
        <w:rPr>
          <w:rFonts w:hint="eastAsia" w:ascii="宋体" w:hAnsi="宋体"/>
          <w:sz w:val="24"/>
        </w:rPr>
        <w:t>二、合格供应商资格要求</w:t>
      </w:r>
    </w:p>
    <w:p>
      <w:pPr>
        <w:pStyle w:val="13"/>
        <w:tabs>
          <w:tab w:val="left" w:pos="420"/>
        </w:tabs>
        <w:spacing w:line="360" w:lineRule="auto"/>
        <w:ind w:firstLine="480"/>
        <w:rPr>
          <w:rFonts w:ascii="宋体" w:hAnsi="宋体" w:eastAsia="宋体" w:cs="宋体"/>
          <w:sz w:val="24"/>
        </w:rPr>
      </w:pPr>
      <w:r>
        <w:rPr>
          <w:rFonts w:hint="eastAsia" w:ascii="宋体" w:hAnsi="宋体" w:eastAsia="宋体" w:cs="宋体"/>
          <w:sz w:val="24"/>
        </w:rPr>
        <w:t>（一）必须具有独立承担民事责任能力、在中华人民共和国境内注册的企业法人或其他组织，按国家法律经营，提供有效的营业执照副本或其他组织证明文件复印件；</w:t>
      </w:r>
    </w:p>
    <w:p>
      <w:pPr>
        <w:pStyle w:val="13"/>
        <w:tabs>
          <w:tab w:val="left" w:pos="420"/>
        </w:tabs>
        <w:spacing w:line="360" w:lineRule="auto"/>
        <w:ind w:firstLine="480"/>
        <w:rPr>
          <w:rFonts w:ascii="宋体" w:hAnsi="宋体" w:eastAsia="宋体" w:cs="宋体"/>
          <w:sz w:val="24"/>
        </w:rPr>
      </w:pPr>
      <w:r>
        <w:rPr>
          <w:rFonts w:hint="eastAsia" w:ascii="宋体" w:hAnsi="宋体" w:eastAsia="宋体" w:cs="宋体"/>
          <w:sz w:val="24"/>
        </w:rPr>
        <w:t>（二）已办理合法税务登记；</w:t>
      </w:r>
    </w:p>
    <w:p>
      <w:pPr>
        <w:pStyle w:val="13"/>
        <w:tabs>
          <w:tab w:val="left" w:pos="420"/>
        </w:tabs>
        <w:spacing w:line="360" w:lineRule="auto"/>
        <w:ind w:firstLine="720" w:firstLineChars="300"/>
        <w:rPr>
          <w:rFonts w:ascii="宋体" w:hAnsi="宋体" w:eastAsia="宋体" w:cs="宋体"/>
          <w:sz w:val="24"/>
        </w:rPr>
      </w:pPr>
      <w:r>
        <w:rPr>
          <w:rFonts w:hint="eastAsia" w:ascii="宋体" w:hAnsi="宋体" w:eastAsia="宋体" w:cs="宋体"/>
          <w:sz w:val="24"/>
        </w:rPr>
        <w:t>(三)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16"/>
        <w:spacing w:before="156" w:beforeLines="50" w:after="156" w:afterLines="50" w:line="360" w:lineRule="auto"/>
        <w:ind w:firstLine="480"/>
        <w:rPr>
          <w:rFonts w:ascii="宋体" w:hAnsi="宋体" w:eastAsia="宋体"/>
          <w:sz w:val="24"/>
        </w:rPr>
      </w:pPr>
      <w:r>
        <w:rPr>
          <w:rFonts w:hint="eastAsia" w:ascii="宋体" w:hAnsi="宋体" w:eastAsia="宋体"/>
          <w:sz w:val="24"/>
        </w:rPr>
        <w:t>（四）投标人没有处于被责令停业或破产状态，且资产未被重组、接管和冻结，声明在投标活动中3 年内没有重大违法活动和涉嫌违规行为。(格式自拟)</w:t>
      </w:r>
    </w:p>
    <w:p>
      <w:pPr>
        <w:pStyle w:val="13"/>
        <w:tabs>
          <w:tab w:val="left" w:pos="420"/>
        </w:tabs>
        <w:spacing w:line="360" w:lineRule="auto"/>
        <w:ind w:firstLine="480"/>
        <w:rPr>
          <w:rFonts w:ascii="宋体" w:hAnsi="宋体" w:eastAsia="宋体" w:cs="宋体"/>
          <w:sz w:val="24"/>
        </w:rPr>
      </w:pPr>
      <w:r>
        <w:rPr>
          <w:rFonts w:hint="eastAsia" w:ascii="宋体" w:hAnsi="宋体" w:eastAsia="宋体" w:cs="宋体"/>
          <w:sz w:val="24"/>
        </w:rPr>
        <w:t>（五）不接受联合体报价。</w:t>
      </w:r>
    </w:p>
    <w:p>
      <w:pPr>
        <w:pStyle w:val="13"/>
        <w:numPr>
          <w:ilvl w:val="0"/>
          <w:numId w:val="3"/>
        </w:numPr>
        <w:spacing w:line="360" w:lineRule="auto"/>
        <w:ind w:left="0" w:firstLine="480"/>
        <w:rPr>
          <w:rFonts w:ascii="宋体" w:hAnsi="宋体"/>
          <w:sz w:val="24"/>
        </w:rPr>
      </w:pPr>
      <w:r>
        <w:rPr>
          <w:rFonts w:hint="eastAsia" w:ascii="宋体" w:hAnsi="宋体"/>
          <w:sz w:val="24"/>
        </w:rPr>
        <w:t>费用、支付方式及货期</w:t>
      </w:r>
    </w:p>
    <w:p>
      <w:pPr>
        <w:pStyle w:val="13"/>
        <w:tabs>
          <w:tab w:val="left" w:pos="420"/>
        </w:tabs>
        <w:spacing w:line="360" w:lineRule="auto"/>
        <w:ind w:firstLine="480"/>
        <w:rPr>
          <w:rFonts w:ascii="宋体" w:hAnsi="宋体"/>
          <w:sz w:val="24"/>
        </w:rPr>
      </w:pPr>
      <w:r>
        <w:rPr>
          <w:rFonts w:hint="eastAsia" w:ascii="宋体" w:hAnsi="宋体"/>
          <w:sz w:val="24"/>
        </w:rPr>
        <w:t>（一） 本项目为采购方预计2024年的采购量，项目采用综合单价包干，最终以实际采购数量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pPr>
        <w:pStyle w:val="13"/>
        <w:tabs>
          <w:tab w:val="left" w:pos="420"/>
        </w:tabs>
        <w:spacing w:line="360" w:lineRule="auto"/>
        <w:ind w:firstLine="480"/>
        <w:rPr>
          <w:rFonts w:ascii="宋体" w:hAnsi="宋体"/>
          <w:sz w:val="24"/>
        </w:rPr>
      </w:pPr>
      <w:r>
        <w:rPr>
          <w:rFonts w:hint="eastAsia" w:ascii="宋体" w:hAnsi="宋体"/>
          <w:sz w:val="24"/>
        </w:rPr>
        <w:t>（二）付款方式</w:t>
      </w:r>
    </w:p>
    <w:p>
      <w:pPr>
        <w:pStyle w:val="13"/>
        <w:tabs>
          <w:tab w:val="left" w:pos="420"/>
        </w:tabs>
        <w:spacing w:line="360" w:lineRule="auto"/>
        <w:ind w:firstLineChars="0"/>
        <w:rPr>
          <w:rFonts w:ascii="宋体" w:hAnsi="宋体"/>
          <w:sz w:val="24"/>
        </w:rPr>
      </w:pPr>
      <w:r>
        <w:rPr>
          <w:rFonts w:hint="eastAsia" w:ascii="宋体" w:hAnsi="宋体"/>
          <w:sz w:val="24"/>
        </w:rPr>
        <w:t>项目每月结算，当期所有货物货到现场并经需方验收合格签字和收到供方相关的技术资料后15天内支付至结算价的100%款项。付款前供方开具相应金额增值税专用发票给需方。</w:t>
      </w:r>
    </w:p>
    <w:p>
      <w:pPr>
        <w:pStyle w:val="13"/>
        <w:tabs>
          <w:tab w:val="left" w:pos="420"/>
        </w:tabs>
        <w:spacing w:line="360" w:lineRule="auto"/>
        <w:ind w:firstLine="480"/>
        <w:rPr>
          <w:rFonts w:ascii="宋体" w:hAnsi="宋体"/>
          <w:sz w:val="24"/>
        </w:rPr>
      </w:pPr>
      <w:r>
        <w:rPr>
          <w:rFonts w:hint="eastAsia" w:ascii="宋体" w:hAnsi="宋体"/>
          <w:sz w:val="24"/>
        </w:rPr>
        <w:t>（三）货期：货期不超过7天。</w:t>
      </w:r>
      <w:r>
        <w:rPr>
          <w:rFonts w:hint="eastAsia" w:ascii="宋体" w:hAnsi="宋体"/>
          <w:b/>
          <w:bCs/>
          <w:sz w:val="24"/>
        </w:rPr>
        <w:t>采购人根据实际需要依次下单</w:t>
      </w:r>
      <w:r>
        <w:rPr>
          <w:rFonts w:hint="eastAsia" w:ascii="宋体" w:hAnsi="宋体"/>
          <w:sz w:val="24"/>
        </w:rPr>
        <w:t>，投标人按照报价响应所承诺的货期内</w:t>
      </w:r>
      <w:r>
        <w:rPr>
          <w:rFonts w:hint="eastAsia"/>
          <w:sz w:val="24"/>
        </w:rPr>
        <w:t>将</w:t>
      </w:r>
      <w:r>
        <w:rPr>
          <w:rFonts w:hint="eastAsia" w:ascii="宋体" w:hAnsi="宋体"/>
          <w:sz w:val="24"/>
        </w:rPr>
        <w:t>货物安全、完整、按时</w:t>
      </w:r>
      <w:r>
        <w:rPr>
          <w:rFonts w:hint="eastAsia"/>
          <w:sz w:val="24"/>
        </w:rPr>
        <w:t>送货到</w:t>
      </w:r>
      <w:r>
        <w:rPr>
          <w:rFonts w:hint="eastAsia" w:ascii="宋体" w:hAnsi="宋体"/>
          <w:sz w:val="24"/>
        </w:rPr>
        <w:t>采购人指定地点</w:t>
      </w:r>
      <w:r>
        <w:rPr>
          <w:rFonts w:ascii="宋体" w:hAnsi="宋体"/>
          <w:sz w:val="24"/>
        </w:rPr>
        <w:t>。</w:t>
      </w:r>
    </w:p>
    <w:p>
      <w:pPr>
        <w:pStyle w:val="13"/>
        <w:tabs>
          <w:tab w:val="left" w:pos="420"/>
        </w:tabs>
        <w:spacing w:line="360" w:lineRule="auto"/>
        <w:ind w:left="480" w:firstLine="240" w:firstLineChars="100"/>
        <w:rPr>
          <w:rFonts w:ascii="宋体" w:hAnsi="宋体"/>
          <w:sz w:val="24"/>
        </w:rPr>
      </w:pPr>
      <w:r>
        <w:rPr>
          <w:rFonts w:hint="eastAsia" w:ascii="宋体" w:hAnsi="宋体"/>
          <w:sz w:val="24"/>
        </w:rPr>
        <w:t>（四）送货地点：广州大学城西五路4#冷站旁边仓库（国家档案馆对面）</w:t>
      </w:r>
    </w:p>
    <w:p>
      <w:pPr>
        <w:spacing w:line="360" w:lineRule="auto"/>
        <w:ind w:firstLine="480" w:firstLineChars="200"/>
        <w:rPr>
          <w:rFonts w:ascii="宋体" w:hAnsi="宋体"/>
          <w:sz w:val="24"/>
        </w:rPr>
      </w:pPr>
      <w:r>
        <w:rPr>
          <w:rFonts w:hint="eastAsia" w:ascii="宋体" w:hAnsi="宋体"/>
          <w:sz w:val="24"/>
        </w:rPr>
        <w:t>四、报价响应要求</w:t>
      </w:r>
    </w:p>
    <w:p>
      <w:pPr>
        <w:pStyle w:val="13"/>
        <w:numPr>
          <w:ilvl w:val="0"/>
          <w:numId w:val="4"/>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pPr>
        <w:pStyle w:val="13"/>
        <w:numPr>
          <w:ilvl w:val="0"/>
          <w:numId w:val="4"/>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pPr>
        <w:pStyle w:val="13"/>
        <w:spacing w:line="360" w:lineRule="auto"/>
        <w:ind w:firstLine="480"/>
        <w:rPr>
          <w:rFonts w:ascii="宋体" w:hAnsi="宋体"/>
          <w:sz w:val="24"/>
        </w:rPr>
      </w:pPr>
      <w:r>
        <w:rPr>
          <w:rFonts w:hint="eastAsia" w:ascii="宋体" w:hAnsi="宋体"/>
          <w:sz w:val="24"/>
        </w:rPr>
        <w:t>五、投标文件</w:t>
      </w:r>
    </w:p>
    <w:p>
      <w:pPr>
        <w:pStyle w:val="13"/>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13"/>
        <w:numPr>
          <w:ilvl w:val="0"/>
          <w:numId w:val="5"/>
        </w:numPr>
        <w:spacing w:line="360" w:lineRule="auto"/>
        <w:ind w:firstLine="480"/>
        <w:rPr>
          <w:rFonts w:ascii="宋体" w:hAnsi="宋体"/>
          <w:sz w:val="24"/>
        </w:rPr>
      </w:pPr>
      <w:r>
        <w:rPr>
          <w:rFonts w:hint="eastAsia" w:ascii="宋体" w:hAnsi="宋体"/>
          <w:sz w:val="24"/>
        </w:rPr>
        <w:t>价格文件（格式见附件2，加盖公章）</w:t>
      </w:r>
    </w:p>
    <w:p>
      <w:pPr>
        <w:numPr>
          <w:ilvl w:val="0"/>
          <w:numId w:val="6"/>
        </w:numPr>
        <w:spacing w:line="360" w:lineRule="auto"/>
        <w:ind w:firstLine="480" w:firstLineChars="200"/>
        <w:rPr>
          <w:rFonts w:ascii="宋体" w:hAnsi="宋体"/>
          <w:sz w:val="24"/>
        </w:rPr>
      </w:pPr>
      <w:r>
        <w:rPr>
          <w:rFonts w:hint="eastAsia" w:ascii="宋体" w:hAnsi="宋体"/>
          <w:sz w:val="24"/>
        </w:rPr>
        <w:t>报价明细表</w:t>
      </w:r>
    </w:p>
    <w:p>
      <w:pPr>
        <w:pStyle w:val="13"/>
        <w:numPr>
          <w:ilvl w:val="0"/>
          <w:numId w:val="5"/>
        </w:numPr>
        <w:spacing w:line="360" w:lineRule="auto"/>
        <w:ind w:firstLine="480"/>
        <w:rPr>
          <w:rFonts w:ascii="宋体" w:hAnsi="宋体"/>
          <w:sz w:val="24"/>
        </w:rPr>
      </w:pPr>
      <w:r>
        <w:rPr>
          <w:rFonts w:hint="eastAsia" w:ascii="宋体" w:hAnsi="宋体"/>
          <w:sz w:val="24"/>
        </w:rPr>
        <w:t>商务部分</w:t>
      </w:r>
    </w:p>
    <w:p>
      <w:pPr>
        <w:pStyle w:val="13"/>
        <w:numPr>
          <w:ilvl w:val="0"/>
          <w:numId w:val="7"/>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pPr>
        <w:pStyle w:val="13"/>
        <w:numPr>
          <w:ilvl w:val="0"/>
          <w:numId w:val="7"/>
        </w:numPr>
        <w:spacing w:line="360" w:lineRule="auto"/>
        <w:ind w:left="0" w:firstLine="480"/>
        <w:rPr>
          <w:rFonts w:ascii="宋体" w:hAnsi="宋体"/>
          <w:sz w:val="24"/>
        </w:rPr>
      </w:pPr>
      <w:r>
        <w:rPr>
          <w:rFonts w:hint="eastAsia" w:ascii="宋体" w:hAnsi="宋体"/>
          <w:sz w:val="24"/>
        </w:rPr>
        <w:t>供应商调查表（格式见附件</w:t>
      </w:r>
      <w:r>
        <w:rPr>
          <w:rFonts w:ascii="宋体" w:hAnsi="宋体"/>
          <w:sz w:val="24"/>
        </w:rPr>
        <w:t>3</w:t>
      </w:r>
      <w:r>
        <w:rPr>
          <w:rFonts w:hint="eastAsia" w:ascii="宋体" w:hAnsi="宋体"/>
          <w:sz w:val="24"/>
        </w:rPr>
        <w:t>）。</w:t>
      </w:r>
    </w:p>
    <w:p>
      <w:pPr>
        <w:pStyle w:val="13"/>
        <w:numPr>
          <w:ilvl w:val="0"/>
          <w:numId w:val="7"/>
        </w:numPr>
        <w:spacing w:line="360" w:lineRule="auto"/>
        <w:ind w:left="0" w:firstLine="480"/>
        <w:rPr>
          <w:rFonts w:ascii="宋体" w:hAnsi="宋体"/>
          <w:sz w:val="24"/>
        </w:rPr>
      </w:pPr>
      <w:r>
        <w:rPr>
          <w:rFonts w:hint="eastAsia" w:ascii="宋体" w:hAnsi="宋体"/>
          <w:sz w:val="24"/>
        </w:rPr>
        <w:t>实质性要求响应表（格式见附件</w:t>
      </w:r>
      <w:r>
        <w:rPr>
          <w:rFonts w:ascii="宋体" w:hAnsi="宋体"/>
          <w:sz w:val="24"/>
        </w:rPr>
        <w:t>4</w:t>
      </w:r>
      <w:r>
        <w:rPr>
          <w:rFonts w:hint="eastAsia" w:ascii="宋体" w:hAnsi="宋体"/>
          <w:sz w:val="24"/>
        </w:rPr>
        <w:t>）。</w:t>
      </w:r>
    </w:p>
    <w:p>
      <w:pPr>
        <w:pStyle w:val="13"/>
        <w:numPr>
          <w:ilvl w:val="0"/>
          <w:numId w:val="7"/>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pPr>
        <w:pStyle w:val="13"/>
        <w:numPr>
          <w:ilvl w:val="255"/>
          <w:numId w:val="0"/>
        </w:numPr>
        <w:spacing w:line="360" w:lineRule="auto"/>
        <w:ind w:left="420" w:leftChars="200"/>
        <w:rPr>
          <w:rFonts w:ascii="宋体" w:hAnsi="宋体"/>
          <w:b/>
          <w:bCs/>
          <w:sz w:val="24"/>
        </w:rPr>
      </w:pPr>
      <w:r>
        <w:rPr>
          <w:rFonts w:hint="eastAsia" w:ascii="宋体" w:hAnsi="宋体"/>
          <w:b/>
          <w:bCs/>
          <w:sz w:val="24"/>
          <w:highlight w:val="yellow"/>
        </w:rPr>
        <w:t>（三）投标样品部分</w:t>
      </w:r>
    </w:p>
    <w:p>
      <w:pPr>
        <w:pStyle w:val="13"/>
        <w:numPr>
          <w:ilvl w:val="255"/>
          <w:numId w:val="0"/>
        </w:numPr>
        <w:spacing w:line="360" w:lineRule="auto"/>
        <w:ind w:left="420" w:leftChars="200"/>
        <w:rPr>
          <w:rFonts w:ascii="宋体" w:hAnsi="宋体"/>
          <w:sz w:val="24"/>
        </w:rPr>
      </w:pPr>
      <w:r>
        <w:rPr>
          <w:rFonts w:hint="eastAsia" w:ascii="宋体" w:hAnsi="宋体"/>
          <w:sz w:val="24"/>
        </w:rPr>
        <w:t>1、投标人提供所投品牌（生产厂家）介绍及产品说明书、合格证书；</w:t>
      </w:r>
    </w:p>
    <w:p>
      <w:pPr>
        <w:pStyle w:val="13"/>
        <w:numPr>
          <w:ilvl w:val="255"/>
          <w:numId w:val="0"/>
        </w:numPr>
        <w:spacing w:line="360" w:lineRule="auto"/>
        <w:ind w:left="420" w:leftChars="200"/>
        <w:rPr>
          <w:rFonts w:ascii="宋体" w:hAnsi="宋体"/>
          <w:sz w:val="24"/>
        </w:rPr>
      </w:pPr>
      <w:r>
        <w:rPr>
          <w:rFonts w:hint="eastAsia" w:ascii="宋体" w:hAnsi="宋体"/>
          <w:sz w:val="24"/>
        </w:rPr>
        <w:t>2、投标人应提供样品如下：</w:t>
      </w:r>
    </w:p>
    <w:p>
      <w:pPr>
        <w:pStyle w:val="13"/>
        <w:numPr>
          <w:ilvl w:val="255"/>
          <w:numId w:val="0"/>
        </w:numPr>
        <w:spacing w:line="360" w:lineRule="auto"/>
        <w:ind w:left="420" w:leftChars="200"/>
        <w:rPr>
          <w:rFonts w:ascii="宋体" w:hAnsi="宋体"/>
          <w:sz w:val="24"/>
        </w:rPr>
      </w:pPr>
      <w:r>
        <w:rPr>
          <w:rFonts w:hint="eastAsia" w:ascii="宋体" w:hAnsi="宋体"/>
          <w:sz w:val="24"/>
        </w:rPr>
        <w:t>黄铜闸阀样品：提供DN20、DN50黄铜闸阀样品各1个；</w:t>
      </w:r>
    </w:p>
    <w:p>
      <w:pPr>
        <w:pStyle w:val="13"/>
        <w:numPr>
          <w:ilvl w:val="255"/>
          <w:numId w:val="0"/>
        </w:numPr>
        <w:spacing w:line="360" w:lineRule="auto"/>
        <w:ind w:left="420" w:leftChars="200"/>
        <w:rPr>
          <w:rFonts w:ascii="宋体" w:hAnsi="宋体"/>
          <w:sz w:val="24"/>
        </w:rPr>
      </w:pPr>
      <w:r>
        <w:rPr>
          <w:rFonts w:hint="eastAsia" w:ascii="宋体" w:hAnsi="宋体"/>
          <w:sz w:val="24"/>
        </w:rPr>
        <w:t>波纹管样品：提供长5</w:t>
      </w:r>
      <w:r>
        <w:rPr>
          <w:rFonts w:ascii="宋体" w:hAnsi="宋体"/>
          <w:sz w:val="24"/>
        </w:rPr>
        <w:t>00</w:t>
      </w:r>
      <w:r>
        <w:rPr>
          <w:rFonts w:hint="eastAsia" w:ascii="宋体" w:hAnsi="宋体"/>
          <w:sz w:val="24"/>
        </w:rPr>
        <w:t>mm的DN20、DN32样品各1条；</w:t>
      </w:r>
    </w:p>
    <w:p>
      <w:pPr>
        <w:pStyle w:val="13"/>
        <w:numPr>
          <w:ilvl w:val="255"/>
          <w:numId w:val="0"/>
        </w:numPr>
        <w:spacing w:line="360" w:lineRule="auto"/>
        <w:ind w:left="420" w:leftChars="200"/>
        <w:rPr>
          <w:rFonts w:ascii="宋体" w:hAnsi="宋体"/>
          <w:sz w:val="24"/>
        </w:rPr>
      </w:pPr>
      <w:r>
        <w:rPr>
          <w:rFonts w:hint="eastAsia" w:ascii="宋体" w:hAnsi="宋体"/>
          <w:sz w:val="24"/>
        </w:rPr>
        <w:t>保温棉样品：板材25mm厚，管材DN25厚20mm样品各一份。</w:t>
      </w:r>
    </w:p>
    <w:p>
      <w:pPr>
        <w:pStyle w:val="13"/>
        <w:numPr>
          <w:ilvl w:val="255"/>
          <w:numId w:val="0"/>
        </w:numPr>
        <w:spacing w:line="360" w:lineRule="auto"/>
        <w:ind w:left="420" w:leftChars="200"/>
        <w:rPr>
          <w:rFonts w:ascii="宋体" w:hAnsi="宋体"/>
          <w:sz w:val="24"/>
        </w:rPr>
      </w:pPr>
      <w:r>
        <w:rPr>
          <w:rFonts w:hint="eastAsia" w:ascii="宋体" w:hAnsi="宋体"/>
          <w:sz w:val="24"/>
        </w:rPr>
        <w:t>3、非中标人样品，在确定项目中标人后可联系取回；中标人样品，需合同服务期限结束后取回。</w:t>
      </w:r>
    </w:p>
    <w:p>
      <w:pPr>
        <w:spacing w:line="360" w:lineRule="auto"/>
        <w:ind w:firstLine="480" w:firstLineChars="200"/>
        <w:rPr>
          <w:rFonts w:ascii="宋体" w:hAnsi="宋体"/>
          <w:sz w:val="24"/>
        </w:rPr>
      </w:pPr>
      <w:r>
        <w:rPr>
          <w:rFonts w:hint="eastAsia" w:ascii="宋体" w:hAnsi="宋体"/>
          <w:sz w:val="24"/>
        </w:rPr>
        <w:t>六、评标方法</w:t>
      </w:r>
    </w:p>
    <w:p>
      <w:pPr>
        <w:spacing w:line="360" w:lineRule="auto"/>
        <w:ind w:firstLine="480" w:firstLineChars="200"/>
        <w:rPr>
          <w:rFonts w:ascii="宋体" w:hAnsi="宋体"/>
          <w:sz w:val="24"/>
        </w:rPr>
      </w:pPr>
      <w:r>
        <w:rPr>
          <w:rFonts w:hint="eastAsia" w:ascii="宋体" w:hAnsi="宋体"/>
          <w:sz w:val="24"/>
        </w:rPr>
        <w:t>本项目采用综合评分法，对投标人进行价格和商务评审，其中价格评审部分占</w:t>
      </w:r>
      <w:r>
        <w:rPr>
          <w:rFonts w:ascii="宋体" w:hAnsi="宋体"/>
          <w:sz w:val="24"/>
        </w:rPr>
        <w:t>7</w:t>
      </w:r>
      <w:r>
        <w:rPr>
          <w:rFonts w:hint="eastAsia" w:ascii="宋体" w:hAnsi="宋体"/>
          <w:sz w:val="24"/>
        </w:rPr>
        <w:t>0</w:t>
      </w:r>
      <w:r>
        <w:rPr>
          <w:rFonts w:ascii="宋体" w:hAnsi="宋体"/>
          <w:sz w:val="24"/>
        </w:rPr>
        <w:t>%，</w:t>
      </w:r>
      <w:r>
        <w:rPr>
          <w:rFonts w:hint="eastAsia" w:ascii="宋体" w:hAnsi="宋体"/>
          <w:sz w:val="24"/>
        </w:rPr>
        <w:t>商务评审部分占</w:t>
      </w:r>
      <w:r>
        <w:rPr>
          <w:rFonts w:ascii="宋体" w:hAnsi="宋体"/>
          <w:sz w:val="24"/>
        </w:rPr>
        <w:t>12%</w:t>
      </w:r>
      <w:r>
        <w:rPr>
          <w:rFonts w:hint="eastAsia" w:ascii="宋体" w:hAnsi="宋体"/>
          <w:sz w:val="24"/>
        </w:rPr>
        <w:t>，样品评审部分占</w:t>
      </w:r>
      <w:r>
        <w:rPr>
          <w:rFonts w:ascii="宋体" w:hAnsi="宋体"/>
          <w:sz w:val="24"/>
        </w:rPr>
        <w:t>18</w:t>
      </w:r>
      <w:r>
        <w:rPr>
          <w:rFonts w:hint="eastAsia" w:ascii="宋体" w:hAnsi="宋体"/>
          <w:sz w:val="24"/>
        </w:rPr>
        <w:t>%，投标人评审得分</w:t>
      </w:r>
      <w:r>
        <w:rPr>
          <w:rFonts w:ascii="宋体" w:hAnsi="宋体"/>
          <w:sz w:val="24"/>
        </w:rPr>
        <w:t>=价格得分+</w:t>
      </w:r>
      <w:r>
        <w:rPr>
          <w:rFonts w:hint="eastAsia" w:ascii="宋体" w:hAnsi="宋体"/>
          <w:sz w:val="24"/>
        </w:rPr>
        <w:t>商务得分+样品评审得分，评分标准见附件</w:t>
      </w:r>
      <w:r>
        <w:rPr>
          <w:rFonts w:ascii="宋体" w:hAnsi="宋体"/>
          <w:sz w:val="24"/>
        </w:rPr>
        <w:t>6</w:t>
      </w:r>
      <w:r>
        <w:rPr>
          <w:rFonts w:hint="eastAsia" w:ascii="宋体" w:hAnsi="宋体"/>
          <w:sz w:val="24"/>
        </w:rPr>
        <w:t>。同时通过投标人资格和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
        <w:spacing w:line="360" w:lineRule="auto"/>
        <w:ind w:firstLine="480" w:firstLineChars="200"/>
        <w:rPr>
          <w:rFonts w:hint="eastAsia" w:ascii="宋体" w:hAnsi="宋体"/>
          <w:sz w:val="24"/>
        </w:rPr>
      </w:pPr>
      <w:r>
        <w:rPr>
          <w:rFonts w:hint="eastAsia" w:ascii="宋体" w:hAnsi="宋体"/>
        </w:rPr>
        <w:t xml:space="preserve"> </w:t>
      </w:r>
      <w:r>
        <w:rPr>
          <w:rFonts w:ascii="宋体" w:hAnsi="宋体"/>
        </w:rPr>
        <w:t xml:space="preserve">   </w:t>
      </w:r>
      <w:r>
        <w:rPr>
          <w:rFonts w:hint="eastAsia" w:ascii="宋体" w:hAnsi="宋体"/>
        </w:rPr>
        <w:t>采购人有权根据实际竞选情况与中标人签订全部或部分种类材料的年度供货合同。即使采购人与中标人签订年度供货合同，中标人</w:t>
      </w:r>
      <w:r>
        <w:rPr>
          <w:rFonts w:hint="eastAsia" w:ascii="宋体" w:hAnsi="宋体"/>
          <w:sz w:val="24"/>
        </w:rPr>
        <w:t>并非</w:t>
      </w:r>
      <w:r>
        <w:rPr>
          <w:rFonts w:hint="eastAsia" w:ascii="宋体" w:hAnsi="宋体"/>
        </w:rPr>
        <w:t>采购人</w:t>
      </w:r>
      <w:r>
        <w:rPr>
          <w:rFonts w:hint="eastAsia" w:ascii="宋体" w:hAnsi="宋体"/>
          <w:sz w:val="24"/>
        </w:rPr>
        <w:t>的唯一供货商，不得因</w:t>
      </w:r>
      <w:r>
        <w:rPr>
          <w:rFonts w:hint="eastAsia" w:ascii="宋体" w:hAnsi="宋体"/>
        </w:rPr>
        <w:t>采购人</w:t>
      </w:r>
      <w:r>
        <w:rPr>
          <w:rFonts w:hint="eastAsia" w:ascii="宋体" w:hAnsi="宋体"/>
          <w:sz w:val="24"/>
        </w:rPr>
        <w:t>采购数量的调整或多少而要求</w:t>
      </w:r>
      <w:r>
        <w:rPr>
          <w:rFonts w:hint="eastAsia" w:ascii="宋体" w:hAnsi="宋体"/>
        </w:rPr>
        <w:t>采购人</w:t>
      </w:r>
      <w:r>
        <w:rPr>
          <w:rFonts w:hint="eastAsia" w:ascii="宋体" w:hAnsi="宋体"/>
          <w:sz w:val="24"/>
        </w:rPr>
        <w:t>额外补偿。</w:t>
      </w:r>
    </w:p>
    <w:p>
      <w:pPr>
        <w:spacing w:line="360" w:lineRule="auto"/>
        <w:ind w:firstLine="482" w:firstLineChars="200"/>
        <w:rPr>
          <w:rFonts w:ascii="宋体" w:hAnsi="宋体"/>
          <w:b/>
          <w:sz w:val="24"/>
        </w:rPr>
      </w:pPr>
      <w:r>
        <w:rPr>
          <w:rFonts w:hint="eastAsia" w:ascii="宋体" w:hAnsi="宋体"/>
          <w:b/>
          <w:sz w:val="24"/>
        </w:rPr>
        <w:t>七、递交投标文件</w:t>
      </w:r>
    </w:p>
    <w:p>
      <w:pPr>
        <w:spacing w:line="360" w:lineRule="auto"/>
        <w:ind w:firstLine="480" w:firstLineChars="200"/>
        <w:rPr>
          <w:rFonts w:ascii="宋体" w:hAnsi="宋体"/>
          <w:sz w:val="24"/>
        </w:rPr>
      </w:pPr>
      <w:r>
        <w:rPr>
          <w:rFonts w:hint="eastAsia" w:ascii="宋体" w:hAnsi="宋体"/>
          <w:sz w:val="24"/>
        </w:rPr>
        <w:t>（一）投标文件及投标样品递交截止时间：</w:t>
      </w:r>
      <w:r>
        <w:rPr>
          <w:rFonts w:hint="eastAsia" w:ascii="宋体" w:hAnsi="宋体"/>
          <w:sz w:val="24"/>
          <w:u w:val="single"/>
        </w:rPr>
        <w:t>202</w:t>
      </w:r>
      <w:r>
        <w:rPr>
          <w:rFonts w:hint="eastAsia" w:ascii="宋体" w:hAnsi="宋体"/>
          <w:sz w:val="24"/>
          <w:u w:val="single"/>
          <w:lang w:val="en-US" w:eastAsia="zh-CN"/>
        </w:rPr>
        <w:t>4</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3</w:t>
      </w:r>
      <w:r>
        <w:rPr>
          <w:rFonts w:hint="eastAsia" w:ascii="宋体" w:hAnsi="宋体"/>
          <w:sz w:val="24"/>
          <w:u w:val="single"/>
        </w:rPr>
        <w:t>日</w:t>
      </w:r>
      <w:r>
        <w:rPr>
          <w:rFonts w:hint="eastAsia" w:ascii="宋体" w:hAnsi="宋体"/>
          <w:sz w:val="24"/>
        </w:rPr>
        <w:t>北京时间15时00分前。以密封的形式提供投标文件到：广州市番禺区大学城明志街1号信息枢纽楼9楼前台。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2024年保温棉、黄铜闸阀及波纹管材料采购</w:t>
      </w:r>
      <w:r>
        <w:rPr>
          <w:rFonts w:hint="eastAsia" w:ascii="宋体" w:hAnsi="宋体" w:eastAsia="宋体" w:cs="宋体"/>
          <w:sz w:val="24"/>
        </w:rPr>
        <w:t>”字样。投标供应商递交投标文件后，请联系采购人确认。</w:t>
      </w:r>
    </w:p>
    <w:p>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pPr>
        <w:spacing w:line="360" w:lineRule="auto"/>
        <w:ind w:firstLine="480" w:firstLineChars="200"/>
        <w:rPr>
          <w:rFonts w:ascii="宋体" w:hAnsi="宋体"/>
          <w:sz w:val="24"/>
        </w:rPr>
      </w:pPr>
      <w:r>
        <w:rPr>
          <w:rFonts w:hint="eastAsia" w:ascii="宋体" w:hAnsi="宋体"/>
          <w:sz w:val="24"/>
        </w:rPr>
        <w:t>八、采购人地址和联系方式</w:t>
      </w:r>
    </w:p>
    <w:p>
      <w:pPr>
        <w:pStyle w:val="16"/>
        <w:numPr>
          <w:ilvl w:val="0"/>
          <w:numId w:val="8"/>
        </w:numPr>
        <w:spacing w:line="360" w:lineRule="auto"/>
        <w:ind w:firstLineChars="0"/>
        <w:rPr>
          <w:rFonts w:ascii="宋体" w:hAnsi="宋体"/>
          <w:sz w:val="24"/>
        </w:rPr>
      </w:pPr>
      <w:r>
        <w:rPr>
          <w:rFonts w:hint="eastAsia" w:ascii="宋体" w:hAnsi="宋体"/>
          <w:sz w:val="24"/>
        </w:rPr>
        <w:t>采购单位：广州城投综合能源投资经营管理有限公司</w:t>
      </w:r>
    </w:p>
    <w:p>
      <w:pPr>
        <w:pStyle w:val="16"/>
        <w:numPr>
          <w:ilvl w:val="0"/>
          <w:numId w:val="8"/>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13"/>
        <w:numPr>
          <w:ilvl w:val="0"/>
          <w:numId w:val="8"/>
        </w:numPr>
        <w:spacing w:line="360" w:lineRule="auto"/>
        <w:ind w:firstLineChars="0"/>
        <w:rPr>
          <w:rFonts w:ascii="宋体" w:hAnsi="宋体"/>
          <w:sz w:val="24"/>
        </w:rPr>
      </w:pPr>
      <w:r>
        <w:rPr>
          <w:rFonts w:hint="eastAsia" w:ascii="宋体" w:hAnsi="宋体"/>
          <w:sz w:val="24"/>
        </w:rPr>
        <w:t>联系人：詹映静 ，联系电话：020-39302077，电子邮件：3280623452@qq.com</w:t>
      </w:r>
    </w:p>
    <w:p>
      <w:pPr>
        <w:pStyle w:val="13"/>
        <w:spacing w:line="360" w:lineRule="auto"/>
        <w:ind w:firstLine="480"/>
        <w:rPr>
          <w:rFonts w:ascii="宋体" w:hAnsi="宋体"/>
          <w:sz w:val="24"/>
        </w:rPr>
      </w:pPr>
      <w:r>
        <w:rPr>
          <w:rFonts w:hint="eastAsia" w:ascii="宋体" w:hAnsi="宋体"/>
          <w:sz w:val="24"/>
        </w:rPr>
        <w:t>附件1、采购需求</w:t>
      </w:r>
    </w:p>
    <w:p>
      <w:pPr>
        <w:pStyle w:val="13"/>
        <w:spacing w:line="360" w:lineRule="auto"/>
        <w:ind w:firstLine="480"/>
        <w:rPr>
          <w:rFonts w:ascii="宋体" w:hAnsi="宋体"/>
          <w:sz w:val="24"/>
        </w:rPr>
      </w:pPr>
      <w:r>
        <w:rPr>
          <w:rFonts w:hint="eastAsia" w:ascii="宋体" w:hAnsi="宋体"/>
          <w:sz w:val="24"/>
        </w:rPr>
        <w:t>附件2、报价明细表</w:t>
      </w:r>
    </w:p>
    <w:p>
      <w:pPr>
        <w:pStyle w:val="13"/>
        <w:spacing w:line="360" w:lineRule="auto"/>
        <w:ind w:firstLine="480"/>
        <w:rPr>
          <w:rFonts w:ascii="宋体" w:hAnsi="宋体"/>
          <w:sz w:val="24"/>
        </w:rPr>
      </w:pPr>
      <w:r>
        <w:rPr>
          <w:rFonts w:hint="eastAsia" w:ascii="宋体" w:hAnsi="宋体"/>
          <w:sz w:val="24"/>
        </w:rPr>
        <w:t>附件3、供应商调查表</w:t>
      </w:r>
    </w:p>
    <w:p>
      <w:pPr>
        <w:pStyle w:val="13"/>
        <w:spacing w:line="360" w:lineRule="auto"/>
        <w:ind w:firstLine="480"/>
        <w:rPr>
          <w:rFonts w:ascii="宋体" w:hAnsi="宋体"/>
          <w:sz w:val="24"/>
        </w:rPr>
      </w:pPr>
      <w:r>
        <w:rPr>
          <w:rFonts w:hint="eastAsia" w:ascii="宋体" w:hAnsi="宋体"/>
          <w:sz w:val="24"/>
        </w:rPr>
        <w:t>附件4、实质性要求响应表</w:t>
      </w:r>
    </w:p>
    <w:p>
      <w:pPr>
        <w:pStyle w:val="13"/>
        <w:spacing w:line="360" w:lineRule="auto"/>
        <w:ind w:firstLine="480"/>
        <w:rPr>
          <w:rFonts w:ascii="宋体" w:hAnsi="宋体"/>
          <w:sz w:val="24"/>
        </w:rPr>
      </w:pPr>
      <w:r>
        <w:rPr>
          <w:rFonts w:hint="eastAsia" w:ascii="宋体" w:hAnsi="宋体"/>
          <w:sz w:val="24"/>
        </w:rPr>
        <w:t>附件5、资格性和有效性审查表</w:t>
      </w:r>
    </w:p>
    <w:p>
      <w:pPr>
        <w:pStyle w:val="13"/>
        <w:spacing w:line="360" w:lineRule="auto"/>
        <w:ind w:firstLine="480"/>
        <w:rPr>
          <w:rFonts w:ascii="宋体" w:hAnsi="宋体"/>
          <w:sz w:val="24"/>
        </w:rPr>
      </w:pPr>
      <w:r>
        <w:rPr>
          <w:rFonts w:hint="eastAsia" w:ascii="宋体" w:hAnsi="宋体"/>
          <w:sz w:val="24"/>
        </w:rPr>
        <w:t>附件6：综合评分细则</w:t>
      </w:r>
    </w:p>
    <w:p>
      <w:pPr>
        <w:pStyle w:val="13"/>
        <w:spacing w:line="360" w:lineRule="auto"/>
        <w:ind w:firstLine="480"/>
        <w:jc w:val="center"/>
        <w:rPr>
          <w:rFonts w:ascii="宋体" w:hAnsi="宋体"/>
          <w:sz w:val="24"/>
        </w:rPr>
      </w:pPr>
      <w:r>
        <w:rPr>
          <w:rFonts w:hint="eastAsia" w:ascii="宋体" w:hAnsi="宋体"/>
          <w:sz w:val="24"/>
        </w:rPr>
        <w:t xml:space="preserve">             采购人：广州城投综合能源投资经营管理有限公司</w:t>
      </w:r>
    </w:p>
    <w:p>
      <w:pPr>
        <w:pStyle w:val="13"/>
        <w:spacing w:line="360" w:lineRule="auto"/>
        <w:ind w:right="960" w:firstLine="4260" w:firstLineChars="1775"/>
        <w:rPr>
          <w:rFonts w:ascii="宋体" w:hAnsi="宋体"/>
          <w:sz w:val="24"/>
        </w:rPr>
      </w:pPr>
      <w:r>
        <w:rPr>
          <w:rFonts w:hint="eastAsia" w:ascii="宋体" w:hAnsi="宋体"/>
          <w:sz w:val="24"/>
        </w:rPr>
        <w:t>2023年12月</w:t>
      </w:r>
      <w:r>
        <w:rPr>
          <w:rFonts w:hint="eastAsia" w:ascii="宋体" w:hAnsi="宋体"/>
          <w:sz w:val="24"/>
          <w:lang w:val="en-US" w:eastAsia="zh-CN"/>
        </w:rPr>
        <w:t>20</w:t>
      </w:r>
      <w:bookmarkStart w:id="1" w:name="_GoBack"/>
      <w:bookmarkEnd w:id="1"/>
      <w:r>
        <w:rPr>
          <w:rFonts w:hint="eastAsia" w:ascii="宋体" w:hAnsi="宋体"/>
          <w:sz w:val="24"/>
        </w:rPr>
        <w:t>日</w:t>
      </w:r>
    </w:p>
    <w:p>
      <w:pPr>
        <w:widowControl/>
        <w:jc w:val="left"/>
      </w:pPr>
    </w:p>
    <w:p>
      <w:pPr>
        <w:widowControl/>
        <w:jc w:val="left"/>
        <w:rPr>
          <w:rFonts w:ascii="宋体" w:hAnsi="宋体"/>
          <w:sz w:val="32"/>
        </w:rPr>
      </w:pPr>
      <w:r>
        <w:rPr>
          <w:rFonts w:ascii="宋体" w:hAnsi="宋体"/>
          <w:sz w:val="32"/>
        </w:rPr>
        <w:br w:type="page"/>
      </w:r>
    </w:p>
    <w:p>
      <w:pPr>
        <w:spacing w:line="360" w:lineRule="auto"/>
        <w:rPr>
          <w:rFonts w:ascii="宋体" w:hAnsi="宋体"/>
          <w:sz w:val="32"/>
        </w:rPr>
      </w:pPr>
      <w:r>
        <w:rPr>
          <w:rFonts w:hint="eastAsia" w:ascii="宋体" w:hAnsi="宋体"/>
          <w:sz w:val="32"/>
        </w:rPr>
        <w:t>附件1</w:t>
      </w:r>
    </w:p>
    <w:p>
      <w:pPr>
        <w:spacing w:line="360" w:lineRule="auto"/>
        <w:jc w:val="center"/>
        <w:rPr>
          <w:rFonts w:ascii="宋体" w:hAnsi="宋体"/>
          <w:sz w:val="32"/>
        </w:rPr>
      </w:pPr>
      <w:r>
        <w:rPr>
          <w:rFonts w:hint="eastAsia" w:ascii="宋体" w:hAnsi="宋体"/>
          <w:sz w:val="32"/>
        </w:rPr>
        <w:t>采购需求</w:t>
      </w:r>
    </w:p>
    <w:p>
      <w:pPr>
        <w:numPr>
          <w:ilvl w:val="0"/>
          <w:numId w:val="9"/>
        </w:numPr>
        <w:tabs>
          <w:tab w:val="left" w:pos="420"/>
        </w:tabs>
        <w:spacing w:line="360" w:lineRule="auto"/>
        <w:rPr>
          <w:rFonts w:ascii="宋体" w:hAnsi="宋体"/>
          <w:sz w:val="24"/>
        </w:rPr>
      </w:pPr>
      <w:r>
        <w:rPr>
          <w:rFonts w:hint="eastAsia" w:ascii="宋体" w:hAnsi="宋体"/>
          <w:sz w:val="24"/>
        </w:rPr>
        <w:t>总体说明</w:t>
      </w:r>
    </w:p>
    <w:p>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本采购需求中标有“★”的条款为必须完全满足的项目，任何负偏离将导致废标。</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rPr>
      </w:pPr>
      <w:r>
        <w:rPr>
          <w:rFonts w:hint="eastAsia" w:ascii="宋体" w:hAnsi="宋体"/>
          <w:sz w:val="24"/>
        </w:rPr>
        <w:t>采购内容及要求</w:t>
      </w:r>
    </w:p>
    <w:p>
      <w:pPr>
        <w:numPr>
          <w:ilvl w:val="0"/>
          <w:numId w:val="10"/>
        </w:numPr>
        <w:tabs>
          <w:tab w:val="left" w:pos="420"/>
        </w:tabs>
        <w:spacing w:line="360" w:lineRule="auto"/>
        <w:rPr>
          <w:sz w:val="24"/>
        </w:rPr>
      </w:pPr>
      <w:bookmarkStart w:id="0" w:name="_Hlk153442224"/>
      <w:r>
        <w:rPr>
          <w:rFonts w:hint="eastAsia" w:ascii="宋体" w:hAnsi="宋体"/>
          <w:sz w:val="24"/>
        </w:rPr>
        <w:t>2024年保温棉、黄铜闸阀及波纹管材料采购清单</w:t>
      </w:r>
      <w:bookmarkEnd w:id="0"/>
    </w:p>
    <w:tbl>
      <w:tblPr>
        <w:tblStyle w:val="11"/>
        <w:tblW w:w="8535" w:type="dxa"/>
        <w:tblInd w:w="0" w:type="dxa"/>
        <w:tblLayout w:type="fixed"/>
        <w:tblCellMar>
          <w:top w:w="0" w:type="dxa"/>
          <w:left w:w="108" w:type="dxa"/>
          <w:bottom w:w="0" w:type="dxa"/>
          <w:right w:w="108" w:type="dxa"/>
        </w:tblCellMar>
      </w:tblPr>
      <w:tblGrid>
        <w:gridCol w:w="686"/>
        <w:gridCol w:w="1479"/>
        <w:gridCol w:w="2576"/>
        <w:gridCol w:w="478"/>
        <w:gridCol w:w="578"/>
        <w:gridCol w:w="16"/>
        <w:gridCol w:w="1"/>
        <w:gridCol w:w="1352"/>
        <w:gridCol w:w="1"/>
        <w:gridCol w:w="1352"/>
        <w:gridCol w:w="1"/>
        <w:gridCol w:w="15"/>
      </w:tblGrid>
      <w:tr>
        <w:tblPrEx>
          <w:tblLayout w:type="fixed"/>
          <w:tblCellMar>
            <w:top w:w="0" w:type="dxa"/>
            <w:left w:w="108" w:type="dxa"/>
            <w:bottom w:w="0" w:type="dxa"/>
            <w:right w:w="108" w:type="dxa"/>
          </w:tblCellMar>
        </w:tblPrEx>
        <w:trPr>
          <w:gridAfter w:val="1"/>
          <w:wAfter w:w="15" w:type="dxa"/>
          <w:trHeight w:val="67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序号</w:t>
            </w:r>
          </w:p>
        </w:tc>
        <w:tc>
          <w:tcPr>
            <w:tcW w:w="14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材料名称</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型号、规格</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单位</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数量</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ascii="宋体" w:hAnsi="宋体" w:eastAsiaTheme="minorEastAsia"/>
                <w:b/>
                <w:kern w:val="0"/>
                <w:lang w:val="en-US" w:eastAsia="zh-CN"/>
              </w:rPr>
            </w:pPr>
            <w:r>
              <w:rPr>
                <w:rFonts w:hint="eastAsia" w:ascii="宋体" w:hAnsi="宋体"/>
                <w:b/>
                <w:bCs w:val="0"/>
                <w:kern w:val="0"/>
                <w:lang w:val="en-US" w:eastAsia="zh-CN"/>
              </w:rPr>
              <w:t>采购单价限价（元/个）</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备注</w:t>
            </w: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1</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黄铜闸阀</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1"/>
                <w:szCs w:val="21"/>
                <w:highlight w:val="yellow"/>
                <w:lang w:bidi="ar"/>
              </w:rPr>
            </w:pPr>
            <w:r>
              <w:rPr>
                <w:rFonts w:hint="eastAsia" w:ascii="宋体" w:hAnsi="宋体" w:eastAsia="宋体" w:cs="宋体"/>
                <w:color w:val="000000"/>
                <w:kern w:val="0"/>
                <w:sz w:val="21"/>
                <w:szCs w:val="21"/>
                <w:lang w:bidi="ar"/>
              </w:rPr>
              <w:t>规格：DN15 108型黄铜闸阀，公称压力1.6Mpa，工作温度-20℃≤T≤170℃适用于中央空调冷冻水，黄铜材质：59-1铜</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个</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4"/>
                <w:lang w:bidi="ar"/>
              </w:rPr>
              <w:t>200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4"/>
                <w:lang w:bidi="ar"/>
              </w:rPr>
            </w:pPr>
            <w:r>
              <w:rPr>
                <w:rFonts w:hint="eastAsia" w:ascii="宋体" w:hAnsi="宋体" w:eastAsia="宋体" w:cs="宋体"/>
                <w:b/>
                <w:i w:val="0"/>
                <w:color w:val="auto"/>
                <w:kern w:val="0"/>
                <w:sz w:val="22"/>
                <w:szCs w:val="22"/>
                <w:u w:val="none"/>
                <w:lang w:val="en-US" w:eastAsia="zh-CN" w:bidi="ar"/>
              </w:rPr>
              <w:t>23</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2</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黄铜闸阀</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1"/>
                <w:szCs w:val="21"/>
                <w:highlight w:val="yellow"/>
                <w:lang w:bidi="ar"/>
              </w:rPr>
            </w:pPr>
            <w:r>
              <w:rPr>
                <w:rFonts w:hint="eastAsia" w:ascii="宋体" w:hAnsi="宋体" w:eastAsia="宋体" w:cs="宋体"/>
                <w:color w:val="000000"/>
                <w:kern w:val="0"/>
                <w:sz w:val="21"/>
                <w:szCs w:val="21"/>
                <w:lang w:bidi="ar"/>
              </w:rPr>
              <w:t xml:space="preserve"> 规格：DN20 108型黄铜闸阀，公称压力1.6Mpa，工作温度-20℃≤T≤170℃适用于中央空调冷冻水，黄铜材质：59-1铜</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个</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4"/>
                <w:lang w:bidi="ar"/>
              </w:rPr>
              <w:t>260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4"/>
                <w:lang w:bidi="ar"/>
              </w:rPr>
            </w:pPr>
            <w:r>
              <w:rPr>
                <w:rFonts w:hint="eastAsia" w:ascii="宋体" w:hAnsi="宋体" w:eastAsia="宋体" w:cs="宋体"/>
                <w:b/>
                <w:i w:val="0"/>
                <w:color w:val="auto"/>
                <w:kern w:val="0"/>
                <w:sz w:val="22"/>
                <w:szCs w:val="22"/>
                <w:u w:val="none"/>
                <w:lang w:val="en-US" w:eastAsia="zh-CN" w:bidi="ar"/>
              </w:rPr>
              <w:t>30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3</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黄铜闸阀</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1"/>
                <w:szCs w:val="21"/>
                <w:highlight w:val="yellow"/>
                <w:lang w:bidi="ar"/>
              </w:rPr>
            </w:pPr>
            <w:r>
              <w:rPr>
                <w:rFonts w:hint="eastAsia" w:ascii="宋体" w:hAnsi="宋体" w:eastAsia="宋体" w:cs="宋体"/>
                <w:color w:val="000000"/>
                <w:kern w:val="0"/>
                <w:sz w:val="21"/>
                <w:szCs w:val="21"/>
                <w:lang w:bidi="ar"/>
              </w:rPr>
              <w:t xml:space="preserve"> 规格：DN25 108型黄铜闸阀，公称压力1.6Mpa，工作温度-20℃≤T≤170℃适用于中央空调冷冻水，黄铜材质：59-1铜</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个</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4"/>
                <w:lang w:bidi="ar"/>
              </w:rPr>
              <w:t>100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4"/>
                <w:lang w:bidi="ar"/>
              </w:rPr>
            </w:pPr>
            <w:r>
              <w:rPr>
                <w:rFonts w:hint="eastAsia" w:ascii="宋体" w:hAnsi="宋体" w:eastAsia="宋体" w:cs="宋体"/>
                <w:b/>
                <w:i w:val="0"/>
                <w:color w:val="auto"/>
                <w:kern w:val="0"/>
                <w:sz w:val="22"/>
                <w:szCs w:val="22"/>
                <w:u w:val="none"/>
                <w:lang w:val="en-US" w:eastAsia="zh-CN" w:bidi="ar"/>
              </w:rPr>
              <w:t>43</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4</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黄铜闸阀</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1"/>
                <w:szCs w:val="21"/>
                <w:highlight w:val="yellow"/>
                <w:lang w:bidi="ar"/>
              </w:rPr>
            </w:pPr>
            <w:r>
              <w:rPr>
                <w:rFonts w:hint="eastAsia" w:ascii="宋体" w:hAnsi="宋体" w:eastAsia="宋体" w:cs="宋体"/>
                <w:color w:val="000000"/>
                <w:kern w:val="0"/>
                <w:sz w:val="21"/>
                <w:szCs w:val="21"/>
                <w:lang w:bidi="ar"/>
              </w:rPr>
              <w:t xml:space="preserve"> 规格：DN32 108型黄铜闸阀，公称压力1.6Mpa，工作温度-20℃≤T≤170℃适用于中央空调冷冻水，黄铜材质：59-1铜</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个</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4"/>
                <w:lang w:bidi="ar"/>
              </w:rPr>
              <w:t>60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4"/>
                <w:lang w:bidi="ar"/>
              </w:rPr>
            </w:pPr>
            <w:r>
              <w:rPr>
                <w:rFonts w:hint="eastAsia" w:ascii="宋体" w:hAnsi="宋体" w:eastAsia="宋体" w:cs="宋体"/>
                <w:b/>
                <w:i w:val="0"/>
                <w:color w:val="auto"/>
                <w:kern w:val="0"/>
                <w:sz w:val="22"/>
                <w:szCs w:val="22"/>
                <w:u w:val="none"/>
                <w:lang w:val="en-US" w:eastAsia="zh-CN" w:bidi="ar"/>
              </w:rPr>
              <w:t>56</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910"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5</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黄铜闸阀</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1"/>
                <w:szCs w:val="21"/>
                <w:highlight w:val="yellow"/>
                <w:lang w:bidi="ar"/>
              </w:rPr>
            </w:pPr>
            <w:r>
              <w:rPr>
                <w:rFonts w:hint="eastAsia" w:ascii="宋体" w:hAnsi="宋体" w:eastAsia="宋体" w:cs="宋体"/>
                <w:color w:val="000000"/>
                <w:kern w:val="0"/>
                <w:sz w:val="21"/>
                <w:szCs w:val="21"/>
                <w:lang w:bidi="ar"/>
              </w:rPr>
              <w:t xml:space="preserve"> 规格：DN40 108型黄铜闸阀，公称压力1.6Mpa，工作温度-20℃≤T≤170℃适用于中央空调冷冻水，黄铜材质：59-1铜</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个</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4"/>
                <w:lang w:bidi="ar"/>
              </w:rPr>
              <w:t>20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4"/>
                <w:lang w:bidi="ar"/>
              </w:rPr>
            </w:pPr>
            <w:r>
              <w:rPr>
                <w:rFonts w:hint="eastAsia" w:ascii="宋体" w:hAnsi="宋体" w:eastAsia="宋体" w:cs="宋体"/>
                <w:b/>
                <w:i w:val="0"/>
                <w:color w:val="auto"/>
                <w:kern w:val="0"/>
                <w:sz w:val="22"/>
                <w:szCs w:val="22"/>
                <w:u w:val="none"/>
                <w:lang w:val="en-US" w:eastAsia="zh-CN" w:bidi="ar"/>
              </w:rPr>
              <w:t>75</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6</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黄铜闸阀</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1"/>
                <w:szCs w:val="21"/>
                <w:highlight w:val="yellow"/>
                <w:lang w:bidi="ar"/>
              </w:rPr>
            </w:pPr>
            <w:r>
              <w:rPr>
                <w:rFonts w:hint="eastAsia" w:ascii="宋体" w:hAnsi="宋体" w:eastAsia="宋体" w:cs="宋体"/>
                <w:color w:val="000000"/>
                <w:kern w:val="0"/>
                <w:sz w:val="21"/>
                <w:szCs w:val="21"/>
                <w:lang w:bidi="ar"/>
              </w:rPr>
              <w:t xml:space="preserve"> 规格：DN50 108型黄铜闸阀，公称压力1.6Mpa，工作温度-20℃≤T≤170℃适用于中央空调冷冻水，黄铜材质：59-1铜</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个</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4"/>
                <w:lang w:bidi="ar"/>
              </w:rPr>
              <w:t>10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4"/>
                <w:lang w:bidi="ar"/>
              </w:rPr>
            </w:pPr>
            <w:r>
              <w:rPr>
                <w:rFonts w:hint="eastAsia" w:ascii="宋体" w:hAnsi="宋体" w:eastAsia="宋体" w:cs="宋体"/>
                <w:b/>
                <w:i w:val="0"/>
                <w:color w:val="auto"/>
                <w:kern w:val="0"/>
                <w:sz w:val="22"/>
                <w:szCs w:val="22"/>
                <w:u w:val="none"/>
                <w:lang w:val="en-US" w:eastAsia="zh-CN" w:bidi="ar"/>
              </w:rPr>
              <w:t>110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7</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黄铜闸阀</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1"/>
                <w:szCs w:val="21"/>
                <w:highlight w:val="yellow"/>
                <w:lang w:bidi="ar"/>
              </w:rPr>
            </w:pPr>
            <w:r>
              <w:rPr>
                <w:rFonts w:hint="eastAsia" w:ascii="宋体" w:hAnsi="宋体" w:eastAsia="宋体" w:cs="宋体"/>
                <w:color w:val="000000"/>
                <w:kern w:val="0"/>
                <w:sz w:val="21"/>
                <w:szCs w:val="21"/>
                <w:lang w:bidi="ar"/>
              </w:rPr>
              <w:t xml:space="preserve"> 规格：DN65 108型黄铜闸阀，公称压力1.6Mpa，工作温度-20℃≤T≤170℃适用于中央空调冷冻水，黄铜材质：59-1铜</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个</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4"/>
                <w:lang w:bidi="ar"/>
              </w:rPr>
              <w:t>6</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default" w:ascii="宋体" w:hAnsi="宋体" w:eastAsia="宋体" w:cs="宋体"/>
                <w:color w:val="auto"/>
                <w:kern w:val="0"/>
                <w:sz w:val="24"/>
                <w:lang w:val="en-US" w:bidi="ar"/>
              </w:rPr>
            </w:pPr>
            <w:r>
              <w:rPr>
                <w:rFonts w:hint="eastAsia" w:ascii="宋体" w:hAnsi="宋体" w:eastAsia="宋体" w:cs="宋体"/>
                <w:b/>
                <w:i w:val="0"/>
                <w:color w:val="auto"/>
                <w:kern w:val="0"/>
                <w:sz w:val="22"/>
                <w:szCs w:val="22"/>
                <w:u w:val="none"/>
                <w:lang w:val="en-US" w:eastAsia="zh-CN" w:bidi="ar"/>
              </w:rPr>
              <w:t>260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2"/>
          <w:wAfter w:w="16"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b/>
                <w:color w:val="000000"/>
                <w:kern w:val="0"/>
                <w:sz w:val="22"/>
                <w:szCs w:val="22"/>
                <w:highlight w:val="yellow"/>
                <w:lang w:bidi="ar"/>
              </w:rPr>
            </w:pPr>
          </w:p>
        </w:tc>
        <w:tc>
          <w:tcPr>
            <w:tcW w:w="5127"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bCs/>
                <w:color w:val="auto"/>
                <w:kern w:val="0"/>
                <w:sz w:val="22"/>
                <w:szCs w:val="22"/>
                <w:lang w:bidi="ar"/>
              </w:rPr>
              <w:t>黄铜闸阀小计</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
                <w:bCs/>
                <w:color w:val="auto"/>
                <w:kern w:val="0"/>
                <w:sz w:val="22"/>
                <w:szCs w:val="22"/>
                <w:lang w:bidi="ar"/>
              </w:rPr>
            </w:pP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8</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DN15；净长200mm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6</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13</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9</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DN15；净长300mm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6</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15</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10</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DN20；净长100mm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15</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11</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DN20；净长200mm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85</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17</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15</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DN20；净长250mm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19</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13</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DN20；净长300mm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250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14</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DN20；净长320mm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21</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15</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DN20；净长350mm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60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22</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16</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DN20；净长400mm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200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22</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17</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DN20；净长500mm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23</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18</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DN20；净长600mm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23</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19</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DN20；净长650mm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24</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20</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DN20；净长700mm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24</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21</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DN20；净长800mm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100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25</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22</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DN20；净长1000mm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23</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 xml:space="preserve">DN20；净长1200mm  </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430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32</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24</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 xml:space="preserve">DN20；净长1300mm </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33</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25</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 xml:space="preserve">DN20；净长1400mm </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125</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34</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26</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 xml:space="preserve">DN20；净长1500mm </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910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35</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27</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DN20；净长1600mm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300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36</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28</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DN20；净长1700mm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300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37</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29</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DN20；净长1800mm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80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38</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30</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DN20；净长2000mm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330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40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31</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DN25；净长200mm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17</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32</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DN25；净长300mm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33</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DN25；净长400mm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22</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34</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DN25；净长500mm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22</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35</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DN25；净长600mm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22</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36</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DN32；净长500mm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35</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37</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DN32；净长600mm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30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38</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38</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DN40；净长500mm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20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58</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39</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DN50；净长300mm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20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58</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40</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DN50；净长500mm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20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62</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41</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波纹管</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0"/>
                <w:szCs w:val="20"/>
                <w:lang w:bidi="ar"/>
              </w:rPr>
              <w:t>DN50；净长600mm</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20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98</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2"/>
          <w:wAfter w:w="16"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b/>
                <w:color w:val="000000"/>
                <w:kern w:val="0"/>
                <w:sz w:val="22"/>
                <w:szCs w:val="22"/>
                <w:highlight w:val="yellow"/>
                <w:lang w:bidi="ar"/>
              </w:rPr>
            </w:pPr>
          </w:p>
        </w:tc>
        <w:tc>
          <w:tcPr>
            <w:tcW w:w="5127"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bCs/>
                <w:color w:val="auto"/>
                <w:kern w:val="0"/>
                <w:sz w:val="22"/>
                <w:szCs w:val="22"/>
                <w:lang w:bidi="ar"/>
              </w:rPr>
              <w:t>波纹管小计</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
                <w:bCs/>
                <w:color w:val="auto"/>
                <w:kern w:val="0"/>
                <w:sz w:val="22"/>
                <w:szCs w:val="22"/>
                <w:lang w:bidi="ar"/>
              </w:rPr>
            </w:pP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2"/>
                <w:szCs w:val="22"/>
                <w:lang w:bidi="ar"/>
              </w:rPr>
              <w:t>42</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橡塑保温棉板材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lang w:bidi="ar"/>
              </w:rPr>
              <w:t>实际下单按卷交货，按实际规格折算成立方结算。</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立方</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ascii="宋体" w:hAnsi="宋体" w:eastAsia="宋体" w:cs="宋体"/>
                <w:color w:val="auto"/>
                <w:kern w:val="0"/>
                <w:sz w:val="22"/>
                <w:szCs w:val="22"/>
                <w:lang w:bidi="ar"/>
              </w:rPr>
              <w:t>22</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2300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90"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43</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内径43mm</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厚10mm</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2米/条</w:t>
            </w:r>
          </w:p>
        </w:tc>
        <w:tc>
          <w:tcPr>
            <w:tcW w:w="47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
                <w:color w:val="auto"/>
                <w:kern w:val="0"/>
                <w:sz w:val="22"/>
                <w:szCs w:val="22"/>
                <w:lang w:bidi="ar"/>
              </w:rPr>
            </w:pPr>
            <w:r>
              <w:rPr>
                <w:rFonts w:hint="eastAsia" w:ascii="宋体" w:hAnsi="宋体" w:eastAsia="宋体" w:cs="宋体"/>
                <w:b/>
                <w:i w:val="0"/>
                <w:color w:val="auto"/>
                <w:kern w:val="0"/>
                <w:sz w:val="22"/>
                <w:szCs w:val="22"/>
                <w:u w:val="none"/>
                <w:lang w:val="en-US" w:eastAsia="zh-CN"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i w:val="0"/>
                <w:color w:val="auto"/>
                <w:kern w:val="0"/>
                <w:sz w:val="22"/>
                <w:szCs w:val="22"/>
                <w:u w:val="none"/>
                <w:lang w:val="en-US" w:eastAsia="zh-CN" w:bidi="ar"/>
              </w:rPr>
              <w:t>30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11</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
                <w:color w:val="000000"/>
                <w:kern w:val="0"/>
                <w:sz w:val="22"/>
                <w:szCs w:val="22"/>
                <w:highlight w:val="yellow"/>
                <w:lang w:eastAsia="zh-CN" w:bidi="ar"/>
              </w:rPr>
            </w:pP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val="en-US" w:eastAsia="zh-CN" w:bidi="ar"/>
              </w:rPr>
              <w:t>4</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内径38mm；厚10mm；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30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13</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
                <w:color w:val="000000"/>
                <w:kern w:val="0"/>
                <w:sz w:val="22"/>
                <w:szCs w:val="22"/>
                <w:highlight w:val="yellow"/>
                <w:lang w:eastAsia="zh-CN" w:bidi="ar"/>
              </w:rPr>
            </w:pP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val="en-US" w:eastAsia="zh-CN" w:bidi="ar"/>
              </w:rPr>
              <w:t>5</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内径22mm；厚20mm；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14</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
                <w:color w:val="000000"/>
                <w:kern w:val="0"/>
                <w:sz w:val="22"/>
                <w:szCs w:val="22"/>
                <w:highlight w:val="yellow"/>
                <w:lang w:eastAsia="zh-CN" w:bidi="ar"/>
              </w:rPr>
            </w:pPr>
            <w:r>
              <w:rPr>
                <w:rFonts w:hint="eastAsia" w:ascii="宋体" w:hAnsi="宋体" w:eastAsia="宋体" w:cs="宋体"/>
                <w:color w:val="000000"/>
                <w:kern w:val="0"/>
                <w:sz w:val="22"/>
                <w:szCs w:val="22"/>
                <w:lang w:val="en-US" w:eastAsia="zh-CN" w:bidi="ar"/>
              </w:rPr>
              <w:t>46</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内径25mm；厚20mm；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800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15</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
                <w:color w:val="000000"/>
                <w:kern w:val="0"/>
                <w:sz w:val="22"/>
                <w:szCs w:val="22"/>
                <w:highlight w:val="yellow"/>
                <w:lang w:val="en-US" w:bidi="ar"/>
              </w:rPr>
            </w:pPr>
            <w:r>
              <w:rPr>
                <w:rFonts w:hint="eastAsia" w:ascii="宋体" w:hAnsi="宋体" w:eastAsia="宋体" w:cs="宋体"/>
                <w:color w:val="000000"/>
                <w:kern w:val="0"/>
                <w:sz w:val="22"/>
                <w:szCs w:val="22"/>
                <w:lang w:val="en-US" w:eastAsia="zh-CN" w:bidi="ar"/>
              </w:rPr>
              <w:t>47</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内径28mm；厚20mm；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17</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
                <w:color w:val="000000"/>
                <w:kern w:val="0"/>
                <w:sz w:val="22"/>
                <w:szCs w:val="22"/>
                <w:highlight w:val="yellow"/>
                <w:lang w:val="en-US" w:eastAsia="zh-CN" w:bidi="ar"/>
              </w:rPr>
            </w:pPr>
            <w:r>
              <w:rPr>
                <w:rFonts w:hint="eastAsia" w:ascii="宋体" w:hAnsi="宋体" w:eastAsia="宋体" w:cs="宋体"/>
                <w:color w:val="000000"/>
                <w:kern w:val="0"/>
                <w:sz w:val="22"/>
                <w:szCs w:val="22"/>
                <w:lang w:val="en-US" w:eastAsia="zh-CN" w:bidi="ar"/>
              </w:rPr>
              <w:t>48</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内径32mm；厚20mm；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200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18</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
                <w:color w:val="000000"/>
                <w:kern w:val="0"/>
                <w:sz w:val="22"/>
                <w:szCs w:val="22"/>
                <w:highlight w:val="yellow"/>
                <w:lang w:val="en-US" w:eastAsia="zh-CN" w:bidi="ar"/>
              </w:rPr>
            </w:pPr>
            <w:r>
              <w:rPr>
                <w:rFonts w:hint="eastAsia" w:ascii="宋体" w:hAnsi="宋体" w:eastAsia="宋体" w:cs="宋体"/>
                <w:color w:val="000000"/>
                <w:kern w:val="0"/>
                <w:sz w:val="22"/>
                <w:szCs w:val="22"/>
                <w:lang w:val="en-US" w:eastAsia="zh-CN" w:bidi="ar"/>
              </w:rPr>
              <w:t>49</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内径38mm、厚20mm、2米/条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21</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
                <w:color w:val="000000"/>
                <w:kern w:val="0"/>
                <w:sz w:val="22"/>
                <w:szCs w:val="22"/>
                <w:highlight w:val="yellow"/>
                <w:lang w:val="en-US" w:eastAsia="zh-CN" w:bidi="ar"/>
              </w:rPr>
            </w:pPr>
            <w:r>
              <w:rPr>
                <w:rFonts w:hint="eastAsia" w:ascii="宋体" w:hAnsi="宋体" w:eastAsia="宋体" w:cs="宋体"/>
                <w:color w:val="000000"/>
                <w:kern w:val="0"/>
                <w:sz w:val="22"/>
                <w:szCs w:val="22"/>
                <w:lang w:val="en-US" w:eastAsia="zh-CN" w:bidi="ar"/>
              </w:rPr>
              <w:t>50</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 xml:space="preserve">内径40mm；厚20mm； 2米/条 </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22</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
                <w:color w:val="000000"/>
                <w:kern w:val="0"/>
                <w:sz w:val="22"/>
                <w:szCs w:val="22"/>
                <w:highlight w:val="yellow"/>
                <w:lang w:eastAsia="zh-CN" w:bidi="ar"/>
              </w:rPr>
            </w:pPr>
            <w:r>
              <w:rPr>
                <w:rFonts w:hint="eastAsia" w:ascii="宋体" w:hAnsi="宋体" w:eastAsia="宋体" w:cs="宋体"/>
                <w:color w:val="000000"/>
                <w:kern w:val="0"/>
                <w:sz w:val="22"/>
                <w:szCs w:val="22"/>
                <w:lang w:bidi="ar"/>
              </w:rPr>
              <w:t>5</w:t>
            </w:r>
            <w:r>
              <w:rPr>
                <w:rFonts w:hint="eastAsia" w:ascii="宋体" w:hAnsi="宋体" w:eastAsia="宋体" w:cs="宋体"/>
                <w:color w:val="000000"/>
                <w:kern w:val="0"/>
                <w:sz w:val="22"/>
                <w:szCs w:val="22"/>
                <w:lang w:val="en-US" w:eastAsia="zh-CN" w:bidi="ar"/>
              </w:rPr>
              <w:t>1</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内径48mm；厚24mm；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20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32</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
                <w:color w:val="000000"/>
                <w:kern w:val="0"/>
                <w:sz w:val="22"/>
                <w:szCs w:val="22"/>
                <w:highlight w:val="yellow"/>
                <w:lang w:eastAsia="zh-CN" w:bidi="ar"/>
              </w:rPr>
            </w:pPr>
            <w:r>
              <w:rPr>
                <w:rFonts w:hint="eastAsia" w:ascii="宋体" w:hAnsi="宋体" w:eastAsia="宋体" w:cs="宋体"/>
                <w:color w:val="000000"/>
                <w:kern w:val="0"/>
                <w:sz w:val="22"/>
                <w:szCs w:val="22"/>
                <w:lang w:bidi="ar"/>
              </w:rPr>
              <w:t>5</w:t>
            </w:r>
            <w:r>
              <w:rPr>
                <w:rFonts w:hint="eastAsia" w:ascii="宋体" w:hAnsi="宋体" w:eastAsia="宋体" w:cs="宋体"/>
                <w:color w:val="000000"/>
                <w:kern w:val="0"/>
                <w:sz w:val="22"/>
                <w:szCs w:val="22"/>
                <w:lang w:val="en-US" w:eastAsia="zh-CN" w:bidi="ar"/>
              </w:rPr>
              <w:t>2</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内径22mm；厚24mm；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17</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
                <w:color w:val="000000"/>
                <w:kern w:val="0"/>
                <w:sz w:val="22"/>
                <w:szCs w:val="22"/>
                <w:highlight w:val="yellow"/>
                <w:lang w:eastAsia="zh-CN" w:bidi="ar"/>
              </w:rPr>
            </w:pPr>
            <w:r>
              <w:rPr>
                <w:rFonts w:hint="eastAsia" w:ascii="宋体" w:hAnsi="宋体" w:eastAsia="宋体" w:cs="宋体"/>
                <w:color w:val="000000"/>
                <w:kern w:val="0"/>
                <w:sz w:val="22"/>
                <w:szCs w:val="22"/>
                <w:lang w:bidi="ar"/>
              </w:rPr>
              <w:t>5</w:t>
            </w:r>
            <w:r>
              <w:rPr>
                <w:rFonts w:hint="eastAsia" w:ascii="宋体" w:hAnsi="宋体" w:eastAsia="宋体" w:cs="宋体"/>
                <w:color w:val="000000"/>
                <w:kern w:val="0"/>
                <w:sz w:val="22"/>
                <w:szCs w:val="22"/>
                <w:lang w:val="en-US" w:eastAsia="zh-CN" w:bidi="ar"/>
              </w:rPr>
              <w:t>3</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内径28mm；厚24mm；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22</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
                <w:color w:val="000000"/>
                <w:kern w:val="0"/>
                <w:sz w:val="22"/>
                <w:szCs w:val="22"/>
                <w:highlight w:val="yellow"/>
                <w:lang w:val="en-US" w:eastAsia="zh-CN" w:bidi="ar"/>
              </w:rPr>
            </w:pPr>
            <w:r>
              <w:rPr>
                <w:rFonts w:hint="eastAsia" w:ascii="宋体" w:hAnsi="宋体" w:eastAsia="宋体" w:cs="宋体"/>
                <w:color w:val="000000"/>
                <w:kern w:val="0"/>
                <w:sz w:val="22"/>
                <w:szCs w:val="22"/>
                <w:lang w:val="en-US" w:eastAsia="zh-CN" w:bidi="ar"/>
              </w:rPr>
              <w:t>54</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内径42mm；厚26mm；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20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26</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
                <w:color w:val="000000"/>
                <w:kern w:val="0"/>
                <w:sz w:val="22"/>
                <w:szCs w:val="22"/>
                <w:highlight w:val="yellow"/>
                <w:lang w:val="en-US" w:eastAsia="zh-CN" w:bidi="ar"/>
              </w:rPr>
            </w:pPr>
            <w:r>
              <w:rPr>
                <w:rFonts w:hint="eastAsia" w:ascii="宋体" w:hAnsi="宋体" w:eastAsia="宋体" w:cs="宋体"/>
                <w:color w:val="000000"/>
                <w:kern w:val="0"/>
                <w:sz w:val="22"/>
                <w:szCs w:val="22"/>
                <w:lang w:val="en-US" w:eastAsia="zh-CN" w:bidi="ar"/>
              </w:rPr>
              <w:t>55</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内径89mm；厚30mm；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
                <w:color w:val="000000"/>
                <w:kern w:val="0"/>
                <w:sz w:val="22"/>
                <w:szCs w:val="22"/>
                <w:highlight w:val="yellow"/>
                <w:lang w:val="en-US" w:eastAsia="zh-CN" w:bidi="ar"/>
              </w:rPr>
            </w:pPr>
            <w:r>
              <w:rPr>
                <w:rFonts w:hint="eastAsia" w:ascii="宋体" w:hAnsi="宋体" w:eastAsia="宋体" w:cs="宋体"/>
                <w:color w:val="000000"/>
                <w:kern w:val="0"/>
                <w:sz w:val="22"/>
                <w:szCs w:val="22"/>
                <w:lang w:val="en-US" w:eastAsia="zh-CN" w:bidi="ar"/>
              </w:rPr>
              <w:t>56</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内径108mm；厚30mm；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30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65</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
                <w:color w:val="000000"/>
                <w:kern w:val="0"/>
                <w:sz w:val="22"/>
                <w:szCs w:val="22"/>
                <w:highlight w:val="yellow"/>
                <w:lang w:val="en-US" w:eastAsia="zh-CN" w:bidi="ar"/>
              </w:rPr>
            </w:pPr>
            <w:r>
              <w:rPr>
                <w:rFonts w:hint="eastAsia" w:ascii="宋体" w:hAnsi="宋体" w:eastAsia="宋体" w:cs="宋体"/>
                <w:color w:val="000000"/>
                <w:kern w:val="0"/>
                <w:sz w:val="22"/>
                <w:szCs w:val="22"/>
                <w:lang w:val="en-US" w:eastAsia="zh-CN" w:bidi="ar"/>
              </w:rPr>
              <w:t>57</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内径25mm；厚32mm；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150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33</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gridAfter w:val="1"/>
          <w:wAfter w:w="15" w:type="dxa"/>
          <w:trHeight w:val="685"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
                <w:color w:val="000000"/>
                <w:kern w:val="0"/>
                <w:sz w:val="22"/>
                <w:szCs w:val="22"/>
                <w:highlight w:val="yellow"/>
                <w:lang w:val="en-US" w:eastAsia="zh-CN" w:bidi="ar"/>
              </w:rPr>
            </w:pPr>
            <w:r>
              <w:rPr>
                <w:rFonts w:hint="eastAsia" w:ascii="宋体" w:hAnsi="宋体" w:eastAsia="宋体" w:cs="宋体"/>
                <w:color w:val="000000"/>
                <w:kern w:val="0"/>
                <w:sz w:val="22"/>
                <w:szCs w:val="22"/>
                <w:lang w:val="en-US" w:eastAsia="zh-CN" w:bidi="ar"/>
              </w:rPr>
              <w:t>58</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b/>
                <w:color w:val="000000"/>
                <w:kern w:val="0"/>
                <w:sz w:val="22"/>
                <w:szCs w:val="22"/>
                <w:highlight w:val="yellow"/>
                <w:lang w:bidi="ar"/>
              </w:rPr>
            </w:pPr>
            <w:r>
              <w:rPr>
                <w:rFonts w:hint="eastAsia" w:ascii="宋体" w:hAnsi="宋体" w:eastAsia="宋体" w:cs="宋体"/>
                <w:color w:val="000000"/>
                <w:kern w:val="0"/>
                <w:sz w:val="24"/>
                <w:lang w:bidi="ar"/>
              </w:rPr>
              <w:t>橡塑保温棉管材</w:t>
            </w:r>
          </w:p>
        </w:tc>
        <w:tc>
          <w:tcPr>
            <w:tcW w:w="257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内径48mm；厚40mm； 2米/条</w:t>
            </w:r>
          </w:p>
        </w:tc>
        <w:tc>
          <w:tcPr>
            <w:tcW w:w="478"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b/>
                <w:color w:val="auto"/>
                <w:kern w:val="0"/>
                <w:sz w:val="22"/>
                <w:szCs w:val="22"/>
                <w:lang w:bidi="ar"/>
              </w:rPr>
              <w:t>条</w:t>
            </w:r>
          </w:p>
        </w:tc>
        <w:tc>
          <w:tcPr>
            <w:tcW w:w="595" w:type="dxa"/>
            <w:gridSpan w:val="3"/>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lang w:bidi="ar"/>
              </w:rPr>
              <w:t>10</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b/>
                <w:i w:val="0"/>
                <w:color w:val="auto"/>
                <w:kern w:val="0"/>
                <w:sz w:val="22"/>
                <w:szCs w:val="22"/>
                <w:u w:val="none"/>
                <w:lang w:val="en-US" w:eastAsia="zh-CN" w:bidi="ar"/>
              </w:rPr>
              <w:t>48</w:t>
            </w:r>
          </w:p>
        </w:tc>
        <w:tc>
          <w:tcPr>
            <w:tcW w:w="135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yellow"/>
                <w:u w:val="single"/>
              </w:rPr>
            </w:pPr>
          </w:p>
        </w:tc>
      </w:tr>
      <w:tr>
        <w:tblPrEx>
          <w:tblLayout w:type="fixed"/>
          <w:tblCellMar>
            <w:top w:w="0" w:type="dxa"/>
            <w:left w:w="108" w:type="dxa"/>
            <w:bottom w:w="0" w:type="dxa"/>
            <w:right w:w="108" w:type="dxa"/>
          </w:tblCellMar>
        </w:tblPrEx>
        <w:trPr>
          <w:trHeight w:val="562" w:hRule="atLeast"/>
        </w:trPr>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yellow"/>
              </w:rPr>
            </w:pPr>
          </w:p>
        </w:tc>
        <w:tc>
          <w:tcPr>
            <w:tcW w:w="51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highlight w:val="yellow"/>
              </w:rPr>
            </w:pPr>
            <w:r>
              <w:rPr>
                <w:rFonts w:hint="eastAsia"/>
              </w:rPr>
              <w:t>保温棉管材小计</w:t>
            </w:r>
          </w:p>
        </w:tc>
        <w:tc>
          <w:tcPr>
            <w:tcW w:w="1369"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highlight w:val="yellow"/>
              </w:rPr>
            </w:pPr>
          </w:p>
        </w:tc>
        <w:tc>
          <w:tcPr>
            <w:tcW w:w="1369"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highlight w:val="yellow"/>
              </w:rPr>
            </w:pPr>
          </w:p>
        </w:tc>
      </w:tr>
      <w:tr>
        <w:tblPrEx>
          <w:tblLayout w:type="fixed"/>
          <w:tblCellMar>
            <w:top w:w="0" w:type="dxa"/>
            <w:left w:w="108" w:type="dxa"/>
            <w:bottom w:w="0" w:type="dxa"/>
            <w:right w:w="108" w:type="dxa"/>
          </w:tblCellMar>
        </w:tblPrEx>
        <w:trPr>
          <w:trHeight w:val="562" w:hRule="atLeast"/>
        </w:trPr>
        <w:tc>
          <w:tcPr>
            <w:tcW w:w="5797"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r>
              <w:rPr>
                <w:rFonts w:hint="eastAsia"/>
                <w:sz w:val="22"/>
                <w:szCs w:val="22"/>
              </w:rPr>
              <w:t>合计</w:t>
            </w:r>
          </w:p>
        </w:tc>
        <w:tc>
          <w:tcPr>
            <w:tcW w:w="1369"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1369"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r>
    </w:tbl>
    <w:p>
      <w:pPr>
        <w:spacing w:line="360" w:lineRule="auto"/>
        <w:rPr>
          <w:b/>
          <w:sz w:val="24"/>
          <w:highlight w:val="none"/>
        </w:rPr>
      </w:pPr>
      <w:r>
        <w:rPr>
          <w:rFonts w:hint="eastAsia"/>
          <w:b/>
          <w:sz w:val="24"/>
          <w:highlight w:val="none"/>
        </w:rPr>
        <w:t>注：</w:t>
      </w:r>
    </w:p>
    <w:p>
      <w:pPr>
        <w:pStyle w:val="16"/>
        <w:numPr>
          <w:ilvl w:val="0"/>
          <w:numId w:val="11"/>
        </w:numPr>
        <w:spacing w:line="360" w:lineRule="auto"/>
        <w:ind w:left="0" w:firstLine="0" w:firstLineChars="0"/>
        <w:rPr>
          <w:b/>
          <w:sz w:val="24"/>
          <w:highlight w:val="yellow"/>
        </w:rPr>
      </w:pPr>
      <w:r>
        <w:rPr>
          <w:rFonts w:hint="eastAsia" w:ascii="宋体" w:hAnsi="宋体" w:eastAsia="宋体" w:cs="宋体"/>
          <w:b/>
          <w:color w:val="000000"/>
          <w:kern w:val="0"/>
          <w:sz w:val="24"/>
          <w:szCs w:val="20"/>
          <w:highlight w:val="yellow"/>
          <w:lang w:bidi="ar"/>
        </w:rPr>
        <w:t>波纹管两头配螺帽、双头外丝转换直通和四氟平面密封密封垫片（平垫）。波纹管净长度为不含两头螺帽长度及双头外丝转换直通长度。波纹管、螺帽、双头外丝转换直通材质为304不锈钢、波纹管厚度</w:t>
      </w:r>
      <w:r>
        <w:rPr>
          <w:rFonts w:hint="eastAsia"/>
          <w:b/>
          <w:sz w:val="24"/>
          <w:highlight w:val="yellow"/>
        </w:rPr>
        <w:t>不低于</w:t>
      </w:r>
      <w:r>
        <w:rPr>
          <w:rFonts w:hint="eastAsia" w:ascii="宋体" w:hAnsi="宋体" w:eastAsia="宋体" w:cs="宋体"/>
          <w:b/>
          <w:color w:val="000000"/>
          <w:kern w:val="0"/>
          <w:sz w:val="24"/>
          <w:szCs w:val="20"/>
          <w:highlight w:val="yellow"/>
          <w:lang w:bidi="ar"/>
        </w:rPr>
        <w:t>0.28mm。公称压力≤1.6MPa；公称温度-20℃≤T≤163℃</w:t>
      </w:r>
      <w:r>
        <w:rPr>
          <w:rFonts w:hint="eastAsia"/>
          <w:b/>
          <w:sz w:val="24"/>
          <w:highlight w:val="yellow"/>
        </w:rPr>
        <w:t>。</w:t>
      </w:r>
    </w:p>
    <w:p>
      <w:pPr>
        <w:pStyle w:val="16"/>
        <w:numPr>
          <w:ilvl w:val="0"/>
          <w:numId w:val="11"/>
        </w:numPr>
        <w:spacing w:line="360" w:lineRule="auto"/>
        <w:ind w:left="0" w:firstLine="0" w:firstLineChars="0"/>
        <w:rPr>
          <w:rFonts w:hint="eastAsia"/>
          <w:b/>
          <w:sz w:val="24"/>
          <w:highlight w:val="yellow"/>
        </w:rPr>
      </w:pPr>
      <w:r>
        <w:rPr>
          <w:rFonts w:hint="eastAsia"/>
          <w:b/>
          <w:sz w:val="24"/>
          <w:highlight w:val="yellow"/>
        </w:rPr>
        <w:t>保温材料</w:t>
      </w:r>
      <w:r>
        <w:rPr>
          <w:rFonts w:ascii="宋体" w:hAnsi="宋体" w:eastAsia="宋体" w:cs="宋体"/>
          <w:b/>
          <w:color w:val="000000"/>
          <w:kern w:val="0"/>
          <w:sz w:val="24"/>
          <w:szCs w:val="20"/>
          <w:highlight w:val="yellow"/>
          <w:lang w:bidi="ar"/>
        </w:rPr>
        <w:t>燃烧性能等级满足GB8624-2012标准B1级</w:t>
      </w:r>
      <w:r>
        <w:rPr>
          <w:rFonts w:hint="eastAsia" w:ascii="宋体" w:hAnsi="宋体" w:eastAsia="宋体" w:cs="宋体"/>
          <w:b/>
          <w:color w:val="000000"/>
          <w:kern w:val="0"/>
          <w:sz w:val="24"/>
          <w:szCs w:val="20"/>
          <w:highlight w:val="yellow"/>
          <w:lang w:bidi="ar"/>
        </w:rPr>
        <w:t>；</w:t>
      </w:r>
      <w:r>
        <w:rPr>
          <w:rFonts w:ascii="宋体" w:hAnsi="宋体" w:eastAsia="宋体" w:cs="宋体"/>
          <w:b/>
          <w:color w:val="000000"/>
          <w:kern w:val="0"/>
          <w:sz w:val="24"/>
          <w:szCs w:val="20"/>
          <w:highlight w:val="yellow"/>
          <w:lang w:bidi="ar"/>
        </w:rPr>
        <w:t>表观密度≤50Kg/m3</w:t>
      </w:r>
      <w:r>
        <w:rPr>
          <w:rFonts w:hint="eastAsia" w:ascii="宋体" w:hAnsi="宋体" w:eastAsia="宋体" w:cs="宋体"/>
          <w:b/>
          <w:color w:val="000000"/>
          <w:kern w:val="0"/>
          <w:sz w:val="24"/>
          <w:szCs w:val="20"/>
          <w:highlight w:val="yellow"/>
          <w:lang w:bidi="ar"/>
        </w:rPr>
        <w:t>；</w:t>
      </w:r>
      <w:r>
        <w:rPr>
          <w:rFonts w:ascii="宋体" w:hAnsi="宋体" w:eastAsia="宋体" w:cs="宋体"/>
          <w:b/>
          <w:color w:val="000000"/>
          <w:kern w:val="0"/>
          <w:sz w:val="24"/>
          <w:szCs w:val="20"/>
          <w:highlight w:val="yellow"/>
          <w:lang w:bidi="ar"/>
        </w:rPr>
        <w:t>产品0</w:t>
      </w:r>
      <w:r>
        <w:rPr>
          <w:rFonts w:hint="eastAsia" w:ascii="微软雅黑" w:hAnsi="微软雅黑" w:eastAsia="微软雅黑" w:cs="微软雅黑"/>
          <w:b/>
          <w:color w:val="000000"/>
          <w:kern w:val="0"/>
          <w:sz w:val="24"/>
          <w:szCs w:val="20"/>
          <w:highlight w:val="yellow"/>
          <w:lang w:bidi="ar"/>
        </w:rPr>
        <w:t>℃</w:t>
      </w:r>
      <w:r>
        <w:rPr>
          <w:rFonts w:ascii="宋体" w:hAnsi="宋体" w:eastAsia="宋体" w:cs="宋体"/>
          <w:b/>
          <w:color w:val="000000"/>
          <w:kern w:val="0"/>
          <w:sz w:val="24"/>
          <w:szCs w:val="20"/>
          <w:highlight w:val="yellow"/>
          <w:lang w:bidi="ar"/>
        </w:rPr>
        <w:t>导热系数：≤0.034W/m·K；20</w:t>
      </w:r>
      <w:r>
        <w:rPr>
          <w:rFonts w:hint="eastAsia" w:ascii="微软雅黑" w:hAnsi="微软雅黑" w:eastAsia="微软雅黑" w:cs="微软雅黑"/>
          <w:b/>
          <w:color w:val="000000"/>
          <w:kern w:val="0"/>
          <w:sz w:val="24"/>
          <w:szCs w:val="20"/>
          <w:highlight w:val="yellow"/>
          <w:lang w:bidi="ar"/>
        </w:rPr>
        <w:t>℃</w:t>
      </w:r>
      <w:r>
        <w:rPr>
          <w:rFonts w:ascii="宋体" w:hAnsi="宋体" w:eastAsia="宋体" w:cs="宋体"/>
          <w:b/>
          <w:color w:val="000000"/>
          <w:kern w:val="0"/>
          <w:sz w:val="24"/>
          <w:szCs w:val="20"/>
          <w:highlight w:val="yellow"/>
          <w:lang w:bidi="ar"/>
        </w:rPr>
        <w:t>时≤0.036W/m·K；湿阻因子≥10000，容重40～65kg/m3,真空吸水率≤10%，闭孔发泡结构，需提供</w:t>
      </w:r>
      <w:r>
        <w:rPr>
          <w:rFonts w:hint="eastAsia"/>
          <w:b/>
          <w:sz w:val="24"/>
          <w:highlight w:val="yellow"/>
        </w:rPr>
        <w:t>具备</w:t>
      </w:r>
      <w:r>
        <w:rPr>
          <w:rFonts w:ascii="宋体" w:hAnsi="宋体" w:eastAsia="宋体" w:cs="宋体"/>
          <w:b/>
          <w:color w:val="000000"/>
          <w:kern w:val="0"/>
          <w:sz w:val="24"/>
          <w:szCs w:val="20"/>
          <w:highlight w:val="yellow"/>
          <w:lang w:bidi="ar"/>
        </w:rPr>
        <w:t>国家认可</w:t>
      </w:r>
      <w:r>
        <w:rPr>
          <w:rFonts w:hint="eastAsia"/>
          <w:b/>
          <w:sz w:val="24"/>
          <w:highlight w:val="yellow"/>
        </w:rPr>
        <w:t>资质的检测机构出具</w:t>
      </w:r>
      <w:r>
        <w:rPr>
          <w:rFonts w:ascii="宋体" w:hAnsi="宋体" w:eastAsia="宋体" w:cs="宋体"/>
          <w:b/>
          <w:color w:val="000000"/>
          <w:kern w:val="0"/>
          <w:sz w:val="24"/>
          <w:szCs w:val="20"/>
          <w:highlight w:val="yellow"/>
          <w:lang w:bidi="ar"/>
        </w:rPr>
        <w:t>的检验报告。</w:t>
      </w:r>
      <w:r>
        <w:rPr>
          <w:rFonts w:hint="eastAsia" w:ascii="宋体" w:hAnsi="宋体" w:eastAsia="宋体" w:cs="宋体"/>
          <w:b/>
          <w:color w:val="000000"/>
          <w:kern w:val="0"/>
          <w:sz w:val="24"/>
          <w:szCs w:val="20"/>
          <w:highlight w:val="yellow"/>
          <w:lang w:bidi="ar"/>
        </w:rPr>
        <w:t>优于或等同于以下品牌：阿乐斯、杜肯、力索兰特</w:t>
      </w:r>
      <w:r>
        <w:rPr>
          <w:rFonts w:hint="eastAsia"/>
          <w:b/>
          <w:sz w:val="24"/>
          <w:highlight w:val="yellow"/>
        </w:rPr>
        <w:t>。</w:t>
      </w:r>
    </w:p>
    <w:p>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pPr>
        <w:numPr>
          <w:ilvl w:val="0"/>
          <w:numId w:val="10"/>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pPr>
        <w:numPr>
          <w:ilvl w:val="0"/>
          <w:numId w:val="13"/>
        </w:numPr>
        <w:spacing w:line="360" w:lineRule="auto"/>
        <w:ind w:firstLine="480" w:firstLineChars="200"/>
        <w:rPr>
          <w:rFonts w:hint="eastAsia" w:ascii="宋体" w:hAnsi="宋体"/>
          <w:sz w:val="24"/>
        </w:rPr>
      </w:pPr>
      <w:r>
        <w:rPr>
          <w:rFonts w:hint="eastAsia" w:ascii="宋体" w:hAnsi="宋体"/>
          <w:sz w:val="24"/>
        </w:rPr>
        <w:t>供应商应提供所代表品牌厂商原装的、全新的、未使用过的、技术先进、性能优良、结构紧凑、便于安装和维护、符合国家、行业及采购需求书提出的有关质量标准的货物。</w:t>
      </w:r>
    </w:p>
    <w:p>
      <w:pPr>
        <w:pStyle w:val="2"/>
        <w:numPr>
          <w:ilvl w:val="-1"/>
          <w:numId w:val="0"/>
        </w:numPr>
        <w:rPr>
          <w:rFonts w:hint="default"/>
          <w:lang w:val="en-US" w:eastAsia="zh-CN"/>
        </w:rPr>
      </w:pPr>
      <w:r>
        <w:rPr>
          <w:rFonts w:hint="eastAsia"/>
          <w:lang w:val="en-US" w:eastAsia="zh-CN"/>
        </w:rPr>
        <w:t xml:space="preserve">     2、</w:t>
      </w:r>
      <w:r>
        <w:rPr>
          <w:rFonts w:hint="eastAsia"/>
        </w:rPr>
        <w:t>中标人就波纹管材质做出满足竞选需求的承诺，并于合同签订前提供该品牌材质检测证明。采购方有权对货品进行抽样检测（包括送样第三方专业检测机构检测）。如样品检测不达标，视作本批货品不达标退货，检测及退货产生的费用由中标人承担。</w:t>
      </w:r>
    </w:p>
    <w:p>
      <w:pPr>
        <w:numPr>
          <w:ilvl w:val="0"/>
          <w:numId w:val="10"/>
        </w:numPr>
        <w:tabs>
          <w:tab w:val="left" w:pos="420"/>
        </w:tabs>
        <w:spacing w:line="360" w:lineRule="auto"/>
        <w:rPr>
          <w:rFonts w:ascii="宋体" w:hAnsi="宋体"/>
          <w:sz w:val="24"/>
        </w:rPr>
      </w:pPr>
      <w:r>
        <w:rPr>
          <w:rFonts w:hint="eastAsia" w:ascii="宋体" w:hAnsi="宋体"/>
          <w:sz w:val="24"/>
        </w:rPr>
        <w:t>特别说明</w:t>
      </w:r>
    </w:p>
    <w:p>
      <w:pPr>
        <w:numPr>
          <w:ilvl w:val="0"/>
          <w:numId w:val="14"/>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rPr>
      </w:pPr>
      <w:r>
        <w:rPr>
          <w:rFonts w:hint="eastAsia" w:ascii="宋体" w:hAnsi="宋体"/>
          <w:kern w:val="0"/>
          <w:sz w:val="24"/>
        </w:rPr>
        <w:t>交货要求</w:t>
      </w:r>
    </w:p>
    <w:p>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1.需送货至指定地点：广州大学城西五路4#冷站旁边仓库（国家档案馆对面）</w:t>
      </w:r>
    </w:p>
    <w:p>
      <w:pPr>
        <w:tabs>
          <w:tab w:val="left" w:pos="420"/>
        </w:tabs>
        <w:spacing w:line="360" w:lineRule="auto"/>
        <w:ind w:firstLine="480" w:firstLineChars="200"/>
        <w:rPr>
          <w:rFonts w:ascii="宋体" w:hAnsi="宋体"/>
          <w:sz w:val="24"/>
        </w:rPr>
      </w:pPr>
      <w:r>
        <w:rPr>
          <w:rFonts w:hint="eastAsia" w:ascii="宋体" w:hAnsi="宋体"/>
          <w:sz w:val="24"/>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rPr>
      </w:pPr>
      <w:r>
        <w:rPr>
          <w:rFonts w:hint="eastAsia" w:ascii="宋体" w:hAnsi="宋体"/>
          <w:sz w:val="24"/>
        </w:rPr>
        <w:t xml:space="preserve">3. </w:t>
      </w:r>
      <w:r>
        <w:rPr>
          <w:rFonts w:hint="eastAsia" w:ascii="宋体" w:hAnsi="宋体"/>
          <w:b/>
          <w:bCs/>
          <w:sz w:val="24"/>
        </w:rPr>
        <w:t>★在合同签订</w:t>
      </w:r>
      <w:r>
        <w:rPr>
          <w:rFonts w:hint="eastAsia" w:ascii="宋体" w:hAnsi="宋体"/>
          <w:b/>
          <w:bCs/>
          <w:sz w:val="24"/>
          <w:lang w:val="en-US" w:eastAsia="zh-CN"/>
        </w:rPr>
        <w:t>前</w:t>
      </w:r>
      <w:r>
        <w:rPr>
          <w:rFonts w:hint="eastAsia" w:ascii="宋体" w:hAnsi="宋体"/>
          <w:b/>
          <w:bCs/>
          <w:sz w:val="24"/>
        </w:rPr>
        <w:t>，中标人提供本项目采购清单材料的货源证明原件，提供的证明文件能据此对所供货物溯源防伪，能核实其正规来源。如中标人不能按上述要求提供资料的，采购人有权解除合同或退货。</w:t>
      </w:r>
    </w:p>
    <w:p>
      <w:pPr>
        <w:tabs>
          <w:tab w:val="left" w:pos="420"/>
        </w:tabs>
        <w:spacing w:line="360" w:lineRule="auto"/>
        <w:ind w:firstLine="480" w:firstLineChars="200"/>
        <w:rPr>
          <w:rFonts w:ascii="宋体" w:hAnsi="宋体"/>
          <w:sz w:val="24"/>
        </w:rPr>
      </w:pPr>
      <w:r>
        <w:rPr>
          <w:rFonts w:hint="eastAsia" w:ascii="宋体" w:hAnsi="宋体"/>
          <w:sz w:val="24"/>
        </w:rPr>
        <w:t>4.到货日期：采购人实际需要订货，投标人按照报价响应所承诺的货期将货物安全、完整、按时送货到采购人指定地点。</w:t>
      </w:r>
    </w:p>
    <w:p>
      <w:pPr>
        <w:numPr>
          <w:ilvl w:val="0"/>
          <w:numId w:val="10"/>
        </w:numPr>
        <w:tabs>
          <w:tab w:val="left" w:pos="420"/>
        </w:tabs>
        <w:spacing w:line="360" w:lineRule="auto"/>
        <w:rPr>
          <w:rFonts w:ascii="宋体" w:hAnsi="宋体"/>
          <w:sz w:val="24"/>
        </w:rPr>
      </w:pPr>
      <w:r>
        <w:rPr>
          <w:rFonts w:hint="eastAsia" w:ascii="宋体" w:hAnsi="宋体"/>
          <w:sz w:val="24"/>
        </w:rPr>
        <w:t>包装和装运</w:t>
      </w:r>
    </w:p>
    <w:p>
      <w:pPr>
        <w:numPr>
          <w:ilvl w:val="0"/>
          <w:numId w:val="15"/>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rPr>
      </w:pPr>
      <w:r>
        <w:rPr>
          <w:rFonts w:hint="eastAsia" w:ascii="宋体" w:hAnsi="宋体"/>
          <w:sz w:val="24"/>
        </w:rPr>
        <w:t>验收要求</w:t>
      </w:r>
    </w:p>
    <w:p>
      <w:pPr>
        <w:numPr>
          <w:ilvl w:val="0"/>
          <w:numId w:val="16"/>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一次合格率1</w:t>
      </w:r>
      <w:r>
        <w:rPr>
          <w:rFonts w:ascii="宋体" w:hAnsi="宋体"/>
          <w:sz w:val="24"/>
        </w:rPr>
        <w:t>00%。</w:t>
      </w:r>
    </w:p>
    <w:p>
      <w:pPr>
        <w:numPr>
          <w:ilvl w:val="0"/>
          <w:numId w:val="10"/>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pPr>
        <w:numPr>
          <w:ilvl w:val="0"/>
          <w:numId w:val="17"/>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pPr>
        <w:pStyle w:val="3"/>
        <w:ind w:firstLine="480"/>
        <w:rPr>
          <w:rFonts w:eastAsia="宋体"/>
        </w:rPr>
      </w:pPr>
      <w:r>
        <w:rPr>
          <w:rFonts w:hint="eastAsia" w:ascii="宋体" w:hAnsi="宋体" w:eastAsia="宋体" w:cs="宋体"/>
          <w:sz w:val="24"/>
        </w:rPr>
        <w:t>2.★按国家有关产品“三包”规定执行“三包”服务。</w:t>
      </w:r>
    </w:p>
    <w:p>
      <w:pPr>
        <w:numPr>
          <w:ilvl w:val="255"/>
          <w:numId w:val="0"/>
        </w:numPr>
        <w:tabs>
          <w:tab w:val="left" w:pos="420"/>
        </w:tabs>
        <w:spacing w:line="360" w:lineRule="auto"/>
        <w:ind w:firstLine="480" w:firstLineChars="200"/>
        <w:rPr>
          <w:rFonts w:ascii="宋体" w:hAnsi="宋体"/>
          <w:sz w:val="24"/>
        </w:rPr>
      </w:pPr>
      <w:r>
        <w:rPr>
          <w:rFonts w:hint="eastAsia" w:ascii="宋体" w:hAnsi="宋体"/>
          <w:sz w:val="24"/>
        </w:rPr>
        <w:t>3.如出现严重质量问题或产品厂商推诿质量、服务责任时，供应商应承担责任并提供质量和服务保障。</w:t>
      </w:r>
    </w:p>
    <w:p>
      <w:pPr>
        <w:numPr>
          <w:ilvl w:val="255"/>
          <w:numId w:val="0"/>
        </w:numPr>
        <w:tabs>
          <w:tab w:val="left" w:pos="420"/>
        </w:tabs>
        <w:spacing w:line="360" w:lineRule="auto"/>
        <w:ind w:firstLine="480" w:firstLineChars="200"/>
        <w:rPr>
          <w:rFonts w:ascii="宋体" w:hAnsi="宋体"/>
          <w:sz w:val="24"/>
        </w:rPr>
      </w:pPr>
      <w:r>
        <w:rPr>
          <w:rFonts w:hint="eastAsia" w:ascii="宋体" w:hAnsi="宋体"/>
          <w:sz w:val="24"/>
        </w:rPr>
        <w:t>4.★供应商在投标文件中承诺提供的服务须能提供制造商的服务热线（如400电话等）查证。</w:t>
      </w:r>
    </w:p>
    <w:p>
      <w:pPr>
        <w:numPr>
          <w:ilvl w:val="0"/>
          <w:numId w:val="9"/>
        </w:numPr>
        <w:tabs>
          <w:tab w:val="left" w:pos="420"/>
        </w:tabs>
        <w:spacing w:line="360" w:lineRule="auto"/>
        <w:ind w:left="420" w:leftChars="200" w:firstLine="0"/>
        <w:rPr>
          <w:rFonts w:ascii="宋体" w:hAnsi="宋体"/>
          <w:sz w:val="24"/>
        </w:rPr>
      </w:pPr>
      <w:r>
        <w:rPr>
          <w:rFonts w:hint="eastAsia" w:ascii="宋体" w:hAnsi="宋体"/>
          <w:sz w:val="24"/>
        </w:rPr>
        <w:t>商务要求</w:t>
      </w:r>
    </w:p>
    <w:p>
      <w:pPr>
        <w:numPr>
          <w:ilvl w:val="0"/>
          <w:numId w:val="18"/>
        </w:numPr>
        <w:tabs>
          <w:tab w:val="left" w:pos="420"/>
        </w:tabs>
        <w:spacing w:line="360" w:lineRule="auto"/>
        <w:rPr>
          <w:rFonts w:ascii="宋体" w:hAnsi="宋体"/>
          <w:sz w:val="24"/>
        </w:rPr>
      </w:pPr>
      <w:r>
        <w:rPr>
          <w:rFonts w:hint="eastAsia" w:ascii="宋体" w:hAnsi="宋体"/>
          <w:sz w:val="24"/>
        </w:rPr>
        <w:t>★付款方式：项目每月结算，当期所有货物货到现场并经需方验收合格签字和收到供方相关的技术资料后15天内支付至结算价的100%款项。付款前供方开具相应金额增值税(含13%增值税)专用发票给需方。</w:t>
      </w:r>
    </w:p>
    <w:p>
      <w:pPr>
        <w:numPr>
          <w:ilvl w:val="0"/>
          <w:numId w:val="18"/>
        </w:numPr>
        <w:tabs>
          <w:tab w:val="left" w:pos="420"/>
        </w:tabs>
        <w:spacing w:line="360" w:lineRule="auto"/>
        <w:rPr>
          <w:rFonts w:ascii="宋体" w:hAnsi="宋体"/>
          <w:sz w:val="24"/>
        </w:rPr>
      </w:pPr>
      <w:r>
        <w:rPr>
          <w:rFonts w:hint="eastAsia" w:ascii="宋体" w:hAnsi="宋体"/>
          <w:sz w:val="24"/>
        </w:rPr>
        <w:t>违约责任</w:t>
      </w:r>
    </w:p>
    <w:p>
      <w:pPr>
        <w:numPr>
          <w:ilvl w:val="0"/>
          <w:numId w:val="19"/>
        </w:numPr>
        <w:tabs>
          <w:tab w:val="left" w:pos="420"/>
        </w:tabs>
        <w:spacing w:line="360" w:lineRule="auto"/>
        <w:rPr>
          <w:rFonts w:ascii="宋体" w:hAnsi="宋体"/>
          <w:sz w:val="24"/>
        </w:rPr>
      </w:pPr>
      <w:r>
        <w:rPr>
          <w:rFonts w:hint="eastAsia" w:ascii="宋体" w:hAnsi="宋体"/>
          <w:sz w:val="24"/>
        </w:rPr>
        <w:t>若因供应商原因不能及时按双方确定的数额和时间交付合格的货物或在采购人准许的任何延期时间内逾期交付货物而违约的，除应及时补足货物外，每逾期一天，供应商应向采购人支付不能按时交货部分货款的</w:t>
      </w:r>
      <w:r>
        <w:rPr>
          <w:rFonts w:ascii="宋体" w:hAnsi="宋体"/>
          <w:sz w:val="24"/>
        </w:rPr>
        <w:t xml:space="preserve"> 3%的违约金</w:t>
      </w:r>
      <w:r>
        <w:rPr>
          <w:rFonts w:hint="eastAsia" w:ascii="宋体" w:hAnsi="宋体"/>
          <w:sz w:val="24"/>
        </w:rPr>
        <w:t>。</w:t>
      </w:r>
      <w:r>
        <w:rPr>
          <w:rFonts w:ascii="宋体" w:hAnsi="宋体"/>
          <w:sz w:val="24"/>
        </w:rPr>
        <w:t>供应商逾期交货超过_10_天</w:t>
      </w:r>
      <w:r>
        <w:rPr>
          <w:rFonts w:hint="eastAsia" w:ascii="宋体" w:hAnsi="宋体"/>
          <w:sz w:val="24"/>
        </w:rPr>
        <w:t>的</w:t>
      </w:r>
      <w:r>
        <w:rPr>
          <w:rFonts w:ascii="宋体" w:hAnsi="宋体"/>
          <w:sz w:val="24"/>
        </w:rPr>
        <w:t>，采购人有权</w:t>
      </w:r>
      <w:r>
        <w:rPr>
          <w:rFonts w:hint="eastAsia" w:ascii="宋体" w:hAnsi="宋体"/>
          <w:sz w:val="24"/>
        </w:rPr>
        <w:t>解除合同</w:t>
      </w:r>
      <w:r>
        <w:rPr>
          <w:rFonts w:ascii="宋体" w:hAnsi="宋体"/>
          <w:sz w:val="24"/>
        </w:rPr>
        <w:t>，在此情况下采购人对供应商不承担任何责任</w:t>
      </w:r>
      <w:r>
        <w:rPr>
          <w:rFonts w:hint="eastAsia" w:ascii="宋体" w:hAnsi="宋体"/>
          <w:sz w:val="24"/>
        </w:rPr>
        <w:t>，</w:t>
      </w:r>
      <w:r>
        <w:rPr>
          <w:rFonts w:ascii="宋体" w:hAnsi="宋体"/>
          <w:sz w:val="24"/>
        </w:rPr>
        <w:t>且</w:t>
      </w:r>
      <w:r>
        <w:rPr>
          <w:rFonts w:hint="eastAsia" w:ascii="宋体" w:hAnsi="宋体"/>
          <w:sz w:val="24"/>
        </w:rPr>
        <w:t>采购人有权追究供应商的违约责任</w:t>
      </w:r>
      <w:r>
        <w:rPr>
          <w:rFonts w:ascii="宋体" w:hAnsi="宋体"/>
          <w:sz w:val="24"/>
        </w:rPr>
        <w:t>。</w:t>
      </w:r>
      <w:r>
        <w:rPr>
          <w:rFonts w:hint="eastAsia" w:ascii="宋体" w:hAnsi="宋体"/>
          <w:bCs/>
          <w:sz w:val="24"/>
        </w:rPr>
        <w:t>供应商出现</w:t>
      </w:r>
      <w:r>
        <w:rPr>
          <w:rFonts w:ascii="宋体" w:hAnsi="宋体"/>
          <w:bCs/>
          <w:sz w:val="24"/>
        </w:rPr>
        <w:t>3</w:t>
      </w:r>
      <w:r>
        <w:rPr>
          <w:rFonts w:hint="eastAsia" w:ascii="宋体" w:hAnsi="宋体"/>
          <w:bCs/>
          <w:sz w:val="24"/>
        </w:rPr>
        <w:t>次延迟供货违约的，采购人有权解除合同并要求供应商因此造成采购人经济损失。</w:t>
      </w:r>
    </w:p>
    <w:p>
      <w:pPr>
        <w:tabs>
          <w:tab w:val="left" w:pos="1"/>
        </w:tabs>
        <w:spacing w:line="360" w:lineRule="auto"/>
        <w:ind w:left="1" w:firstLine="424" w:firstLineChars="177"/>
        <w:rPr>
          <w:rFonts w:ascii="宋体" w:hAnsi="宋体"/>
          <w:bCs/>
          <w:sz w:val="24"/>
        </w:rPr>
      </w:pPr>
      <w:r>
        <w:rPr>
          <w:rFonts w:hint="eastAsia" w:ascii="宋体" w:hAnsi="宋体"/>
          <w:bCs/>
          <w:sz w:val="24"/>
        </w:rPr>
        <w:t>2</w:t>
      </w:r>
      <w:r>
        <w:rPr>
          <w:rFonts w:ascii="宋体" w:hAnsi="宋体"/>
          <w:bCs/>
          <w:sz w:val="24"/>
        </w:rPr>
        <w:t>.</w:t>
      </w:r>
      <w:r>
        <w:rPr>
          <w:rFonts w:hint="eastAsia" w:ascii="宋体" w:hAnsi="宋体"/>
          <w:bCs/>
          <w:sz w:val="24"/>
        </w:rPr>
        <w:t>供应商应提供与采购需求要求相符的合格货物，如发现所供保温棉存在质量问题或保温棉来源非正规渠道，采购人有权拒收，供应商须在规定的交货时间内更换合格的货物给采购人并承担一切费用和风险，且不得作为货期期限顺延的理由。供应商出现2次质量验收不合格的，采购人有权解除合同并要求供应商因此造成采购人经济损失。</w:t>
      </w:r>
    </w:p>
    <w:p>
      <w:pPr>
        <w:tabs>
          <w:tab w:val="left" w:pos="1"/>
        </w:tabs>
        <w:spacing w:line="360" w:lineRule="auto"/>
        <w:ind w:left="1" w:firstLine="424" w:firstLineChars="177"/>
        <w:rPr>
          <w:rFonts w:ascii="宋体" w:hAnsi="宋体"/>
          <w:bCs/>
          <w:sz w:val="24"/>
        </w:rPr>
      </w:pPr>
      <w:r>
        <w:rPr>
          <w:rFonts w:ascii="宋体" w:hAnsi="宋体"/>
          <w:bCs/>
          <w:sz w:val="24"/>
        </w:rPr>
        <w:t>3.</w:t>
      </w:r>
      <w:r>
        <w:rPr>
          <w:rFonts w:hint="eastAsia" w:ascii="宋体" w:hAnsi="宋体"/>
          <w:bCs/>
          <w:sz w:val="24"/>
        </w:rPr>
        <w:t>未经采购人同意，供应商拒不履行或部分不履行采购项目的，供应商按未履行部分采购项目金额的20%向采购人支付违约金。</w:t>
      </w:r>
    </w:p>
    <w:p>
      <w:pPr>
        <w:tabs>
          <w:tab w:val="left" w:pos="1"/>
        </w:tabs>
        <w:spacing w:line="360" w:lineRule="auto"/>
        <w:ind w:left="1" w:firstLine="424" w:firstLineChars="177"/>
        <w:rPr>
          <w:rFonts w:ascii="宋体" w:hAnsi="宋体"/>
          <w:bCs/>
          <w:sz w:val="24"/>
        </w:rPr>
      </w:pPr>
      <w:r>
        <w:rPr>
          <w:rFonts w:hint="eastAsia" w:ascii="宋体" w:hAnsi="宋体"/>
          <w:bCs/>
          <w:sz w:val="24"/>
        </w:rPr>
        <w:t>4</w:t>
      </w:r>
      <w:r>
        <w:rPr>
          <w:rFonts w:ascii="宋体" w:hAnsi="宋体"/>
          <w:bCs/>
          <w:sz w:val="24"/>
        </w:rPr>
        <w:t>.</w:t>
      </w:r>
      <w:r>
        <w:rPr>
          <w:rFonts w:hint="eastAsia" w:ascii="宋体" w:hAnsi="宋体"/>
          <w:bCs/>
          <w:sz w:val="24"/>
        </w:rPr>
        <w:t>不论供应商是否存在违约，采购人均有权根据其生产需要</w:t>
      </w:r>
      <w:r>
        <w:rPr>
          <w:rFonts w:ascii="宋体" w:hAnsi="宋体"/>
          <w:bCs/>
          <w:sz w:val="24"/>
        </w:rPr>
        <w:t>自行向任何第三方购买本采购项目下的产品，</w:t>
      </w:r>
      <w:r>
        <w:rPr>
          <w:rFonts w:hint="eastAsia" w:ascii="宋体" w:hAnsi="宋体"/>
          <w:bCs/>
          <w:sz w:val="24"/>
        </w:rPr>
        <w:t>且不构成违约责任。</w:t>
      </w:r>
    </w:p>
    <w:p>
      <w:pPr>
        <w:widowControl/>
        <w:jc w:val="left"/>
        <w:rPr>
          <w:rFonts w:ascii="宋体" w:hAnsi="宋体"/>
          <w:sz w:val="32"/>
        </w:rPr>
      </w:pPr>
      <w:r>
        <w:rPr>
          <w:rFonts w:ascii="宋体" w:hAnsi="宋体"/>
          <w:bCs/>
          <w:sz w:val="24"/>
        </w:rPr>
        <w:br w:type="page"/>
      </w:r>
    </w:p>
    <w:p>
      <w:pPr>
        <w:widowControl/>
        <w:jc w:val="left"/>
        <w:rPr>
          <w:rFonts w:hAnsi="宋体"/>
        </w:rPr>
      </w:pPr>
      <w:r>
        <w:rPr>
          <w:rFonts w:hint="eastAsia" w:ascii="宋体" w:hAnsi="宋体"/>
          <w:sz w:val="32"/>
        </w:rPr>
        <w:t>附件2</w:t>
      </w:r>
    </w:p>
    <w:p>
      <w:pPr>
        <w:spacing w:line="360" w:lineRule="auto"/>
        <w:jc w:val="center"/>
        <w:rPr>
          <w:rFonts w:ascii="宋体" w:hAnsi="宋体"/>
          <w:sz w:val="32"/>
        </w:rPr>
      </w:pPr>
      <w:r>
        <w:rPr>
          <w:rFonts w:hint="eastAsia" w:ascii="宋体" w:hAnsi="宋体"/>
          <w:sz w:val="32"/>
        </w:rPr>
        <w:t>报价明细表</w:t>
      </w:r>
    </w:p>
    <w:p>
      <w:pPr>
        <w:spacing w:line="360" w:lineRule="auto"/>
      </w:pPr>
      <w:r>
        <w:rPr>
          <w:rFonts w:hint="eastAsia" w:ascii="宋体" w:hAnsi="宋体"/>
        </w:rPr>
        <w:t>项目名称：2024年保温棉、黄铜闸阀及波纹管材料采购</w:t>
      </w:r>
    </w:p>
    <w:tbl>
      <w:tblPr>
        <w:tblStyle w:val="11"/>
        <w:tblW w:w="8519" w:type="dxa"/>
        <w:tblInd w:w="0" w:type="dxa"/>
        <w:tblLayout w:type="fixed"/>
        <w:tblCellMar>
          <w:top w:w="0" w:type="dxa"/>
          <w:left w:w="108" w:type="dxa"/>
          <w:bottom w:w="0" w:type="dxa"/>
          <w:right w:w="108" w:type="dxa"/>
        </w:tblCellMar>
      </w:tblPr>
      <w:tblGrid>
        <w:gridCol w:w="498"/>
        <w:gridCol w:w="1047"/>
        <w:gridCol w:w="1027"/>
        <w:gridCol w:w="308"/>
        <w:gridCol w:w="527"/>
        <w:gridCol w:w="459"/>
        <w:gridCol w:w="772"/>
        <w:gridCol w:w="1027"/>
        <w:gridCol w:w="520"/>
        <w:gridCol w:w="772"/>
        <w:gridCol w:w="769"/>
        <w:gridCol w:w="27"/>
        <w:gridCol w:w="739"/>
        <w:gridCol w:w="27"/>
      </w:tblGrid>
      <w:tr>
        <w:tblPrEx>
          <w:tblLayout w:type="fixed"/>
          <w:tblCellMar>
            <w:top w:w="0" w:type="dxa"/>
            <w:left w:w="108" w:type="dxa"/>
            <w:bottom w:w="0" w:type="dxa"/>
            <w:right w:w="108" w:type="dxa"/>
          </w:tblCellMar>
        </w:tblPrEx>
        <w:trPr>
          <w:trHeight w:val="675" w:hRule="atLeast"/>
        </w:trPr>
        <w:tc>
          <w:tcPr>
            <w:tcW w:w="49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序号</w:t>
            </w:r>
          </w:p>
        </w:tc>
        <w:tc>
          <w:tcPr>
            <w:tcW w:w="104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名称</w:t>
            </w:r>
          </w:p>
        </w:tc>
        <w:tc>
          <w:tcPr>
            <w:tcW w:w="1335"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型号、规格</w:t>
            </w:r>
          </w:p>
        </w:tc>
        <w:tc>
          <w:tcPr>
            <w:tcW w:w="5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单位</w:t>
            </w:r>
          </w:p>
        </w:tc>
        <w:tc>
          <w:tcPr>
            <w:tcW w:w="45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数量</w:t>
            </w: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含税单价（元）</w:t>
            </w:r>
          </w:p>
        </w:tc>
        <w:tc>
          <w:tcPr>
            <w:tcW w:w="10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含税金额（元）</w:t>
            </w:r>
          </w:p>
        </w:tc>
        <w:tc>
          <w:tcPr>
            <w:tcW w:w="5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税率</w:t>
            </w: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货期</w:t>
            </w:r>
          </w:p>
        </w:tc>
        <w:tc>
          <w:tcPr>
            <w:tcW w:w="796"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质保期</w:t>
            </w:r>
          </w:p>
        </w:tc>
        <w:tc>
          <w:tcPr>
            <w:tcW w:w="766"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品牌</w:t>
            </w:r>
          </w:p>
        </w:tc>
      </w:tr>
      <w:tr>
        <w:tblPrEx>
          <w:tblLayout w:type="fixed"/>
          <w:tblCellMar>
            <w:top w:w="0" w:type="dxa"/>
            <w:left w:w="108" w:type="dxa"/>
            <w:bottom w:w="0" w:type="dxa"/>
            <w:right w:w="108" w:type="dxa"/>
          </w:tblCellMar>
        </w:tblPrEx>
        <w:trPr>
          <w:gridAfter w:val="1"/>
          <w:wAfter w:w="27" w:type="dxa"/>
          <w:trHeight w:val="20" w:hRule="atLeast"/>
        </w:trPr>
        <w:tc>
          <w:tcPr>
            <w:tcW w:w="498"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335"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2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5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7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6"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7" w:type="dxa"/>
          <w:trHeight w:val="20" w:hRule="atLeast"/>
        </w:trPr>
        <w:tc>
          <w:tcPr>
            <w:tcW w:w="498"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335"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2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5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7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6"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7" w:type="dxa"/>
          <w:trHeight w:val="20" w:hRule="atLeast"/>
        </w:trPr>
        <w:tc>
          <w:tcPr>
            <w:tcW w:w="498"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3368"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r>
              <w:rPr>
                <w:rFonts w:hint="eastAsia"/>
                <w:sz w:val="20"/>
              </w:rPr>
              <w:t>黄铜闸阀小计</w:t>
            </w:r>
          </w:p>
        </w:tc>
        <w:tc>
          <w:tcPr>
            <w:tcW w:w="77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6"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7" w:type="dxa"/>
          <w:trHeight w:val="20" w:hRule="atLeast"/>
        </w:trPr>
        <w:tc>
          <w:tcPr>
            <w:tcW w:w="498"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335"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2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5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7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6"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7" w:type="dxa"/>
          <w:trHeight w:val="20" w:hRule="atLeast"/>
        </w:trPr>
        <w:tc>
          <w:tcPr>
            <w:tcW w:w="498"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335"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2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5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7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6"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7" w:type="dxa"/>
          <w:trHeight w:val="20" w:hRule="atLeast"/>
        </w:trPr>
        <w:tc>
          <w:tcPr>
            <w:tcW w:w="498"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335"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2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5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7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6"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7" w:type="dxa"/>
          <w:trHeight w:val="20" w:hRule="atLeast"/>
        </w:trPr>
        <w:tc>
          <w:tcPr>
            <w:tcW w:w="498"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2909"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r>
              <w:rPr>
                <w:rFonts w:hint="eastAsia"/>
                <w:sz w:val="20"/>
              </w:rPr>
              <w:t>波纹管小计</w:t>
            </w:r>
          </w:p>
        </w:tc>
        <w:tc>
          <w:tcPr>
            <w:tcW w:w="45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7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6"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7" w:type="dxa"/>
          <w:trHeight w:val="20" w:hRule="atLeast"/>
        </w:trPr>
        <w:tc>
          <w:tcPr>
            <w:tcW w:w="498"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335"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2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5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7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6"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7" w:type="dxa"/>
          <w:trHeight w:val="20" w:hRule="atLeast"/>
        </w:trPr>
        <w:tc>
          <w:tcPr>
            <w:tcW w:w="498"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335"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2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5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7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6"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7" w:type="dxa"/>
          <w:trHeight w:val="20" w:hRule="atLeast"/>
        </w:trPr>
        <w:tc>
          <w:tcPr>
            <w:tcW w:w="498"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3368"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r>
              <w:rPr>
                <w:rFonts w:hint="eastAsia"/>
                <w:sz w:val="20"/>
              </w:rPr>
              <w:t>保温棉管材小计</w:t>
            </w:r>
          </w:p>
        </w:tc>
        <w:tc>
          <w:tcPr>
            <w:tcW w:w="77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766"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2572"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rPr>
            </w:pPr>
            <w:r>
              <w:rPr>
                <w:rFonts w:hint="eastAsia" w:ascii="宋体" w:hAnsi="宋体"/>
                <w:kern w:val="0"/>
                <w:sz w:val="24"/>
              </w:rPr>
              <w:t>合计</w:t>
            </w:r>
          </w:p>
        </w:tc>
        <w:tc>
          <w:tcPr>
            <w:tcW w:w="5181" w:type="dxa"/>
            <w:gridSpan w:val="9"/>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rPr>
            </w:pPr>
            <w:r>
              <w:rPr>
                <w:rFonts w:hint="eastAsia" w:ascii="宋体" w:hAnsi="宋体"/>
                <w:kern w:val="0"/>
                <w:sz w:val="24"/>
              </w:rPr>
              <w:t>未含税：</w:t>
            </w:r>
          </w:p>
          <w:p>
            <w:pPr>
              <w:widowControl/>
              <w:jc w:val="left"/>
              <w:rPr>
                <w:rFonts w:ascii="宋体" w:hAnsi="宋体"/>
                <w:kern w:val="0"/>
                <w:sz w:val="24"/>
              </w:rPr>
            </w:pPr>
            <w:r>
              <w:rPr>
                <w:rFonts w:hint="eastAsia" w:ascii="宋体" w:hAnsi="宋体"/>
                <w:kern w:val="0"/>
                <w:sz w:val="24"/>
              </w:rPr>
              <w:t>含税：</w:t>
            </w:r>
          </w:p>
        </w:tc>
        <w:tc>
          <w:tcPr>
            <w:tcW w:w="766" w:type="dxa"/>
            <w:gridSpan w:val="2"/>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rPr>
            </w:pPr>
          </w:p>
        </w:tc>
      </w:tr>
    </w:tbl>
    <w:p>
      <w:pPr>
        <w:spacing w:line="360" w:lineRule="auto"/>
        <w:rPr>
          <w:sz w:val="24"/>
        </w:rPr>
      </w:pPr>
      <w:r>
        <w:rPr>
          <w:rFonts w:hint="eastAsia"/>
          <w:sz w:val="24"/>
        </w:rPr>
        <w:t>说明：</w:t>
      </w:r>
    </w:p>
    <w:p>
      <w:pPr>
        <w:widowControl/>
        <w:numPr>
          <w:ilvl w:val="0"/>
          <w:numId w:val="20"/>
        </w:numPr>
        <w:spacing w:line="360" w:lineRule="auto"/>
        <w:jc w:val="left"/>
        <w:rPr>
          <w:rFonts w:ascii="宋体" w:hAnsi="宋体"/>
          <w:b/>
          <w:kern w:val="0"/>
          <w:sz w:val="24"/>
        </w:rPr>
      </w:pPr>
      <w:r>
        <w:rPr>
          <w:rFonts w:hint="eastAsia" w:ascii="宋体" w:hAnsi="宋体"/>
          <w:kern w:val="0"/>
          <w:sz w:val="24"/>
        </w:rPr>
        <w:t>投标报价为人民币报价。</w:t>
      </w:r>
    </w:p>
    <w:p>
      <w:pPr>
        <w:widowControl/>
        <w:numPr>
          <w:ilvl w:val="0"/>
          <w:numId w:val="20"/>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pPr>
        <w:widowControl/>
        <w:numPr>
          <w:ilvl w:val="0"/>
          <w:numId w:val="20"/>
        </w:numPr>
        <w:spacing w:line="360" w:lineRule="auto"/>
        <w:jc w:val="left"/>
        <w:rPr>
          <w:rFonts w:ascii="宋体" w:hAnsi="宋体"/>
          <w:sz w:val="24"/>
        </w:rPr>
      </w:pPr>
      <w:r>
        <w:rPr>
          <w:rFonts w:hint="eastAsia" w:ascii="宋体" w:hAnsi="宋体"/>
          <w:sz w:val="24"/>
        </w:rPr>
        <w:t>本表中所有项目的价格必须填写（不能空白）。</w:t>
      </w:r>
    </w:p>
    <w:p>
      <w:pPr>
        <w:widowControl/>
        <w:numPr>
          <w:ilvl w:val="0"/>
          <w:numId w:val="20"/>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pPr>
        <w:spacing w:line="360" w:lineRule="auto"/>
        <w:jc w:val="left"/>
        <w:rPr>
          <w:sz w:val="24"/>
        </w:rPr>
      </w:pPr>
      <w:r>
        <w:rPr>
          <w:rFonts w:hint="eastAsia"/>
          <w:sz w:val="24"/>
        </w:rPr>
        <w:t>供应商名称：（盖章）</w:t>
      </w:r>
    </w:p>
    <w:p>
      <w:pPr>
        <w:spacing w:line="360" w:lineRule="auto"/>
        <w:jc w:val="left"/>
        <w:rPr>
          <w:sz w:val="24"/>
        </w:rPr>
      </w:pPr>
      <w:r>
        <w:rPr>
          <w:rFonts w:hint="eastAsia"/>
          <w:sz w:val="24"/>
        </w:rPr>
        <w:t>报价日期：</w:t>
      </w:r>
    </w:p>
    <w:p>
      <w:pPr>
        <w:widowControl/>
        <w:jc w:val="left"/>
        <w:rPr>
          <w:sz w:val="24"/>
        </w:rPr>
      </w:pPr>
      <w:r>
        <w:rPr>
          <w:rFonts w:hint="eastAsia"/>
          <w:sz w:val="24"/>
        </w:rPr>
        <w:t>报价有效期：</w:t>
      </w:r>
    </w:p>
    <w:p>
      <w:pPr>
        <w:spacing w:line="360" w:lineRule="auto"/>
        <w:jc w:val="center"/>
        <w:rPr>
          <w:rFonts w:ascii="宋体" w:hAnsi="宋体"/>
          <w:sz w:val="32"/>
        </w:rPr>
      </w:pPr>
    </w:p>
    <w:p>
      <w:pPr>
        <w:widowControl/>
        <w:jc w:val="left"/>
        <w:rPr>
          <w:rFonts w:ascii="宋体" w:hAnsi="宋体"/>
          <w:sz w:val="32"/>
        </w:rPr>
      </w:pPr>
      <w:r>
        <w:rPr>
          <w:rFonts w:hint="eastAsia" w:ascii="宋体" w:hAnsi="宋体"/>
          <w:sz w:val="32"/>
        </w:rPr>
        <w:t>附件3</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p>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pPr>
        <w:widowControl/>
        <w:jc w:val="center"/>
        <w:rPr>
          <w:rFonts w:ascii="宋体" w:hAnsi="宋体" w:eastAsia="宋体" w:cs="宋体"/>
          <w:kern w:val="0"/>
          <w:sz w:val="24"/>
        </w:rPr>
      </w:pPr>
      <w:r>
        <w:rPr>
          <w:rFonts w:hint="eastAsia" w:ascii="宋体" w:hAnsi="宋体" w:eastAsia="宋体" w:cs="宋体"/>
          <w:kern w:val="0"/>
          <w:sz w:val="24"/>
        </w:rPr>
        <w:t>(设备材料类)</w:t>
      </w:r>
    </w:p>
    <w:p>
      <w:pPr>
        <w:widowControl/>
        <w:rPr>
          <w:rFonts w:ascii="宋体" w:hAnsi="宋体" w:eastAsia="宋体" w:cs="宋体"/>
          <w:kern w:val="0"/>
          <w:sz w:val="24"/>
        </w:rPr>
      </w:pPr>
      <w:r>
        <w:rPr>
          <w:rFonts w:hint="eastAsia" w:ascii="宋体" w:hAnsi="宋体" w:eastAsia="宋体" w:cs="宋体"/>
          <w:kern w:val="0"/>
          <w:sz w:val="24"/>
        </w:rPr>
        <w:t>项目名称：</w:t>
      </w:r>
    </w:p>
    <w:tbl>
      <w:tblPr>
        <w:tblStyle w:val="11"/>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22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rPr>
            </w:pPr>
            <w:r>
              <w:br w:type="page"/>
            </w:r>
          </w:p>
          <w:p>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pPr>
              <w:widowControl/>
              <w:jc w:val="left"/>
              <w:rPr>
                <w:rFonts w:ascii="宋体" w:hAnsi="宋体" w:eastAsia="宋体" w:cs="宋体"/>
                <w:kern w:val="0"/>
                <w:szCs w:val="21"/>
              </w:rPr>
            </w:pPr>
          </w:p>
        </w:tc>
      </w:tr>
    </w:tbl>
    <w:p>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rPr>
      </w:pPr>
      <w:r>
        <w:rPr>
          <w:rFonts w:hint="eastAsia" w:ascii="宋体" w:hAnsi="宋体"/>
          <w:sz w:val="32"/>
        </w:rPr>
        <w:t>附件4</w:t>
      </w:r>
    </w:p>
    <w:p>
      <w:pPr>
        <w:widowControl/>
        <w:jc w:val="center"/>
        <w:rPr>
          <w:rFonts w:ascii="宋体" w:hAnsi="宋体"/>
          <w:b/>
          <w:sz w:val="30"/>
        </w:rPr>
      </w:pPr>
      <w:r>
        <w:rPr>
          <w:rFonts w:hint="eastAsia" w:ascii="宋体" w:hAnsi="宋体"/>
          <w:b/>
          <w:sz w:val="30"/>
        </w:rPr>
        <w:t>实质性要求响应表</w:t>
      </w:r>
    </w:p>
    <w:p>
      <w:pPr>
        <w:spacing w:line="360" w:lineRule="auto"/>
        <w:ind w:left="1050" w:hanging="1050" w:hangingChars="500"/>
        <w:rPr>
          <w:rFonts w:ascii="宋体" w:hAnsi="宋体"/>
        </w:rPr>
      </w:pPr>
      <w:r>
        <w:rPr>
          <w:rFonts w:hint="eastAsia" w:ascii="宋体" w:hAnsi="宋体"/>
        </w:rPr>
        <w:t>项目名称：</w:t>
      </w:r>
      <w:r>
        <w:rPr>
          <w:rFonts w:hint="eastAsia" w:ascii="宋体" w:hAnsi="宋体"/>
          <w:sz w:val="24"/>
        </w:rPr>
        <w:t>2024年保温棉、黄铜闸阀及波纹管材料采购</w:t>
      </w:r>
    </w:p>
    <w:tbl>
      <w:tblPr>
        <w:tblStyle w:val="11"/>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rPr>
            </w:pPr>
            <w:r>
              <w:rPr>
                <w:rFonts w:hint="eastAsia" w:ascii="宋体" w:hAnsi="宋体"/>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rPr>
            </w:pPr>
            <w:r>
              <w:rPr>
                <w:rFonts w:hint="eastAsia" w:ascii="宋体" w:hAnsi="宋体"/>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rPr>
            </w:pPr>
          </w:p>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pPr>
              <w:tabs>
                <w:tab w:val="left" w:pos="420"/>
              </w:tabs>
              <w:spacing w:line="360" w:lineRule="auto"/>
              <w:rPr>
                <w:rFonts w:hint="eastAsia" w:ascii="宋体" w:hAnsi="宋体"/>
                <w:sz w:val="18"/>
                <w:szCs w:val="18"/>
              </w:rPr>
            </w:pPr>
            <w:r>
              <w:rPr>
                <w:rFonts w:hint="eastAsia" w:ascii="宋体" w:hAnsi="宋体"/>
                <w:sz w:val="18"/>
                <w:szCs w:val="18"/>
              </w:rPr>
              <w:t>1、供应商应提供所代表品牌厂商原装的、全新的、未使用过的、技术先进、性能优良、结构紧凑、便于安装和维护、符合国家、行业及采购需求书提出的有关质量标准的货物。</w:t>
            </w:r>
          </w:p>
          <w:p>
            <w:pPr>
              <w:tabs>
                <w:tab w:val="left" w:pos="420"/>
              </w:tabs>
              <w:spacing w:line="360" w:lineRule="auto"/>
              <w:rPr>
                <w:rFonts w:ascii="宋体" w:hAnsi="宋体"/>
                <w:sz w:val="18"/>
                <w:szCs w:val="18"/>
              </w:rPr>
            </w:pPr>
            <w:r>
              <w:rPr>
                <w:rFonts w:hint="eastAsia" w:ascii="宋体" w:hAnsi="宋体"/>
                <w:sz w:val="18"/>
                <w:szCs w:val="18"/>
              </w:rPr>
              <w:t>2、中标人就波纹管材质做出满足竞选需求的承诺，并于合同签订前提供该品牌材质检测证明。采购方有权对货品进行抽样检测（包括送样第三方专业检测机构检测）。如样品检测不达标，视作本批货品不达标退货，检测及退货产生的费用由中标人承担。</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rPr>
            </w:pPr>
            <w:r>
              <w:rPr>
                <w:rFonts w:hint="eastAsia" w:ascii="宋体" w:hAnsi="宋体"/>
                <w:kern w:val="15"/>
                <w:sz w:val="18"/>
                <w:szCs w:val="18"/>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lang w:val="en-US" w:eastAsia="zh-CN"/>
              </w:rPr>
              <w:t>采</w:t>
            </w:r>
            <w:r>
              <w:rPr>
                <w:rFonts w:hint="eastAsia" w:ascii="宋体" w:hAnsi="宋体"/>
                <w:sz w:val="18"/>
                <w:szCs w:val="18"/>
              </w:rPr>
              <w:t>购需求四、需求内容（四）交货要求3、</w:t>
            </w:r>
            <w:r>
              <w:rPr>
                <w:rFonts w:hint="eastAsia" w:ascii="宋体" w:hAnsi="宋体"/>
                <w:b w:val="0"/>
                <w:bCs w:val="0"/>
                <w:sz w:val="18"/>
                <w:szCs w:val="18"/>
              </w:rPr>
              <w:t>★在合同签订后，中标人提供本项目采购清单材料的货源证明原件，提供的证明文件能据此对所供货物溯源防伪，能核实其正规来源。如中标人不能按上述要求提供资料的，采购人有权</w:t>
            </w:r>
            <w:r>
              <w:rPr>
                <w:rFonts w:hint="eastAsia" w:ascii="宋体" w:hAnsi="宋体"/>
                <w:sz w:val="18"/>
                <w:szCs w:val="18"/>
              </w:rPr>
              <w:t>解除合同</w:t>
            </w:r>
            <w:r>
              <w:rPr>
                <w:rFonts w:hint="eastAsia" w:ascii="宋体" w:hAnsi="宋体"/>
                <w:b w:val="0"/>
                <w:bCs w:val="0"/>
                <w:sz w:val="18"/>
                <w:szCs w:val="18"/>
              </w:rPr>
              <w:t>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7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rPr>
            </w:pPr>
            <w:r>
              <w:rPr>
                <w:rFonts w:hint="eastAsia" w:ascii="宋体" w:hAnsi="宋体"/>
                <w:kern w:val="15"/>
                <w:sz w:val="18"/>
                <w:szCs w:val="18"/>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3"/>
              <w:spacing w:line="360" w:lineRule="auto"/>
              <w:ind w:firstLine="0" w:firstLineChars="0"/>
              <w:rPr>
                <w:rFonts w:ascii="宋体" w:hAnsi="宋体"/>
                <w:sz w:val="18"/>
                <w:szCs w:val="18"/>
              </w:rPr>
            </w:pPr>
            <w:r>
              <w:rPr>
                <w:rFonts w:hint="eastAsia" w:ascii="宋体" w:hAnsi="宋体" w:eastAsiaTheme="minorEastAsia"/>
                <w:sz w:val="18"/>
                <w:szCs w:val="18"/>
              </w:rPr>
              <w:t>采购需求 四、需求内容 （七）2.★按国家有关产品“三包”规定执行“三包”服务</w:t>
            </w:r>
            <w:r>
              <w:rPr>
                <w:rFonts w:hint="eastAsia" w:ascii="宋体" w:hAnsi="宋体"/>
                <w:sz w:val="18"/>
                <w:szCs w:val="18"/>
              </w:rPr>
              <w:t>。</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rPr>
            </w:pPr>
            <w:r>
              <w:rPr>
                <w:rFonts w:hint="eastAsia" w:ascii="宋体" w:hAnsi="宋体"/>
                <w:kern w:val="15"/>
                <w:sz w:val="18"/>
                <w:szCs w:val="18"/>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w:t>
            </w:r>
            <w:r>
              <w:rPr>
                <w:rFonts w:hint="eastAsia" w:ascii="宋体" w:hAnsi="宋体"/>
                <w:sz w:val="18"/>
                <w:szCs w:val="18"/>
              </w:rPr>
              <w:t>四、需求内容</w:t>
            </w:r>
            <w:r>
              <w:rPr>
                <w:rFonts w:ascii="宋体" w:hAnsi="宋体"/>
                <w:sz w:val="18"/>
                <w:szCs w:val="18"/>
              </w:rPr>
              <w:t xml:space="preserve"> （七）</w:t>
            </w:r>
            <w:r>
              <w:rPr>
                <w:rFonts w:hint="eastAsia" w:ascii="宋体" w:hAnsi="宋体"/>
                <w:sz w:val="18"/>
                <w:szCs w:val="18"/>
              </w:rPr>
              <w:t>4</w:t>
            </w:r>
            <w:r>
              <w:rPr>
                <w:rFonts w:ascii="宋体" w:hAnsi="宋体"/>
                <w:sz w:val="18"/>
                <w:szCs w:val="18"/>
              </w:rPr>
              <w:t>、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rPr>
            </w:pPr>
            <w:r>
              <w:rPr>
                <w:rFonts w:hint="eastAsia" w:ascii="宋体" w:hAnsi="宋体"/>
                <w:kern w:val="15"/>
                <w:sz w:val="18"/>
                <w:szCs w:val="18"/>
              </w:rPr>
              <w:t>6</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ascii="宋体" w:hAnsi="宋体"/>
                <w:sz w:val="18"/>
                <w:szCs w:val="18"/>
              </w:rPr>
              <w:t>项目每月结算，当期所有货物货到现场并经需方验收合格签字和收到供方相关的技术资料后15天内支付至结算价的100%款项。付款前供方开具相应金额增值</w:t>
            </w:r>
            <w:r>
              <w:rPr>
                <w:rFonts w:hint="eastAsia" w:ascii="宋体" w:hAnsi="宋体"/>
                <w:sz w:val="18"/>
                <w:szCs w:val="18"/>
              </w:rPr>
              <w:t>税</w:t>
            </w:r>
            <w:r>
              <w:rPr>
                <w:rFonts w:ascii="宋体" w:hAnsi="宋体"/>
                <w:sz w:val="18"/>
                <w:szCs w:val="18"/>
              </w:rPr>
              <w:t>专用发票给需方。</w:t>
            </w:r>
            <w:r>
              <w:rPr>
                <w:rFonts w:hint="eastAsia" w:ascii="宋体" w:hAnsi="宋体"/>
                <w:sz w:val="18"/>
                <w:szCs w:val="18"/>
              </w:rPr>
              <w:t>。</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bl>
    <w:p>
      <w:pPr>
        <w:spacing w:line="360" w:lineRule="auto"/>
        <w:rPr>
          <w:rFonts w:ascii="宋体" w:hAnsi="宋体"/>
          <w:b/>
        </w:rPr>
      </w:pPr>
      <w:r>
        <w:rPr>
          <w:rFonts w:hint="eastAsia" w:ascii="宋体" w:hAnsi="宋体"/>
          <w:b/>
        </w:rPr>
        <w:t>供应商必须将对竞选文件中有关“★”号的实质性要求进行响应，响应详细内容填写此表。</w:t>
      </w:r>
    </w:p>
    <w:p>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rPr>
      </w:pPr>
      <w:r>
        <w:rPr>
          <w:rFonts w:hint="eastAsia" w:ascii="宋体" w:hAnsi="宋体"/>
        </w:rPr>
        <w:t>2、如竞选文件上无标有“★”实质性响应指标的，请在表格上填写“无”。</w:t>
      </w:r>
    </w:p>
    <w:p>
      <w:pPr>
        <w:spacing w:line="360" w:lineRule="auto"/>
        <w:ind w:firstLine="105" w:firstLineChars="50"/>
        <w:rPr>
          <w:rFonts w:ascii="宋体" w:hAnsi="宋体"/>
          <w:u w:val="single"/>
        </w:rPr>
      </w:pPr>
      <w:r>
        <w:rPr>
          <w:rFonts w:hint="eastAsia" w:ascii="宋体" w:hAnsi="宋体"/>
        </w:rPr>
        <w:t xml:space="preserve">                                              供应商名称（盖公章）：</w:t>
      </w:r>
    </w:p>
    <w:p>
      <w:pPr>
        <w:widowControl/>
        <w:jc w:val="left"/>
        <w:rPr>
          <w:rFonts w:ascii="宋体" w:hAnsi="宋体"/>
        </w:rPr>
      </w:pPr>
      <w:r>
        <w:rPr>
          <w:rFonts w:hint="eastAsia" w:ascii="宋体" w:hAnsi="宋体"/>
        </w:rPr>
        <w:t>日    期：2023年  月 日</w:t>
      </w:r>
    </w:p>
    <w:p>
      <w:pPr>
        <w:widowControl/>
        <w:jc w:val="left"/>
        <w:rPr>
          <w:rFonts w:ascii="宋体" w:hAnsi="宋体"/>
        </w:rPr>
      </w:pPr>
      <w:r>
        <w:rPr>
          <w:rFonts w:ascii="宋体" w:hAnsi="宋体"/>
        </w:rPr>
        <w:br w:type="page"/>
      </w:r>
    </w:p>
    <w:p>
      <w:pPr>
        <w:widowControl/>
        <w:jc w:val="left"/>
        <w:rPr>
          <w:rFonts w:ascii="宋体" w:hAnsi="宋体"/>
          <w:b/>
          <w:sz w:val="32"/>
        </w:rPr>
      </w:pPr>
      <w:r>
        <w:rPr>
          <w:rFonts w:hint="eastAsia" w:ascii="宋体" w:hAnsi="宋体"/>
          <w:b/>
          <w:sz w:val="32"/>
        </w:rPr>
        <w:t>附件5</w:t>
      </w:r>
    </w:p>
    <w:p>
      <w:pPr>
        <w:widowControl/>
        <w:jc w:val="center"/>
        <w:rPr>
          <w:rFonts w:ascii="宋体" w:hAnsi="宋体"/>
          <w:b/>
          <w:kern w:val="0"/>
          <w:sz w:val="24"/>
        </w:rPr>
      </w:pPr>
      <w:r>
        <w:rPr>
          <w:rFonts w:hint="eastAsia" w:ascii="宋体" w:hAnsi="宋体"/>
          <w:b/>
          <w:kern w:val="0"/>
          <w:sz w:val="36"/>
        </w:rPr>
        <w:t>资格性和有效性审查表</w:t>
      </w:r>
    </w:p>
    <w:p>
      <w:pPr>
        <w:ind w:firstLine="420" w:firstLineChars="200"/>
        <w:rPr>
          <w:rFonts w:ascii="宋体" w:hAnsi="宋体"/>
        </w:rPr>
      </w:pPr>
    </w:p>
    <w:p>
      <w:pPr>
        <w:spacing w:line="360" w:lineRule="auto"/>
        <w:ind w:left="420" w:leftChars="200" w:firstLine="420" w:firstLineChars="200"/>
        <w:rPr>
          <w:rFonts w:ascii="宋体" w:hAnsi="宋体"/>
        </w:rPr>
      </w:pPr>
      <w:r>
        <w:rPr>
          <w:rFonts w:hint="eastAsia" w:ascii="宋体" w:hAnsi="宋体"/>
        </w:rPr>
        <w:t>项目名称：</w:t>
      </w:r>
    </w:p>
    <w:tbl>
      <w:tblPr>
        <w:tblStyle w:val="11"/>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lang w:eastAsia="zh-CN"/>
              </w:rPr>
            </w:pPr>
            <w:r>
              <w:rPr>
                <w:rFonts w:hint="eastAsia" w:ascii="宋体" w:hAnsi="宋体"/>
              </w:rPr>
              <w:t>不具有独立法人资格，未持有工商行政管理部门核发的法人营业执照或事业单位登记机构核发的事业单位法人证书，</w:t>
            </w:r>
            <w:r>
              <w:rPr>
                <w:rFonts w:hint="eastAsia" w:ascii="宋体" w:hAnsi="宋体"/>
                <w:lang w:val="en-US" w:eastAsia="zh-CN"/>
              </w:rPr>
              <w:t>未</w:t>
            </w:r>
            <w:r>
              <w:rPr>
                <w:rFonts w:hint="eastAsia" w:ascii="宋体" w:hAnsi="宋体"/>
              </w:rPr>
              <w:t>按国家法律经营</w:t>
            </w:r>
            <w:r>
              <w:rPr>
                <w:rFonts w:hint="eastAsia" w:ascii="宋体" w:hAnsi="宋体"/>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lang w:val="en-US" w:eastAsia="zh-CN"/>
              </w:rPr>
            </w:pPr>
            <w:r>
              <w:rPr>
                <w:rFonts w:hint="eastAsia" w:ascii="宋体" w:hAnsi="宋体"/>
                <w:kern w:val="0"/>
                <w:lang w:val="en-US" w:eastAsia="zh-CN"/>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kern w:val="0"/>
                <w:lang w:val="en-US" w:eastAsia="zh-CN"/>
              </w:rPr>
            </w:pPr>
            <w:r>
              <w:rPr>
                <w:rFonts w:hint="eastAsia" w:ascii="宋体" w:hAnsi="宋体" w:eastAsiaTheme="minorEastAsia" w:cstheme="minorBidi"/>
                <w:kern w:val="0"/>
                <w:sz w:val="21"/>
              </w:rPr>
              <w:t>投标单价高于《</w:t>
            </w:r>
            <w:r>
              <w:rPr>
                <w:rFonts w:hint="eastAsia" w:ascii="宋体" w:hAnsi="宋体"/>
                <w:kern w:val="0"/>
                <w:sz w:val="21"/>
              </w:rPr>
              <w:t>2024年保温棉、黄铜闸阀及波纹管材料采购清单》明示的各项单价</w:t>
            </w:r>
            <w:r>
              <w:rPr>
                <w:rFonts w:hint="eastAsia" w:ascii="宋体" w:hAnsi="宋体"/>
                <w:kern w:val="0"/>
                <w:sz w:val="21"/>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lang w:eastAsia="zh-CN"/>
              </w:rPr>
            </w:pPr>
            <w:r>
              <w:rPr>
                <w:rFonts w:hint="eastAsia" w:ascii="宋体" w:hAnsi="宋体"/>
                <w:kern w:val="0"/>
                <w:lang w:val="en-US" w:eastAsia="zh-CN"/>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投标文件附有招标人不能接受的条件（</w:t>
            </w:r>
            <w:r>
              <w:rPr>
                <w:rFonts w:hint="eastAsia" w:ascii="宋体" w:hAnsi="宋体"/>
              </w:rPr>
              <w:t xml:space="preserve"> 不满足“★”的条款）</w:t>
            </w:r>
            <w:r>
              <w:rPr>
                <w:rFonts w:hint="eastAsia" w:ascii="宋体" w:hAnsi="宋体"/>
                <w:kern w:val="0"/>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lang w:eastAsia="zh-CN"/>
              </w:rPr>
            </w:pPr>
            <w:r>
              <w:rPr>
                <w:rFonts w:hint="eastAsia" w:ascii="宋体" w:hAnsi="宋体"/>
                <w:kern w:val="0"/>
                <w:lang w:val="en-US" w:eastAsia="zh-CN"/>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pStyle w:val="13"/>
              <w:widowControl/>
              <w:tabs>
                <w:tab w:val="left" w:pos="420"/>
              </w:tabs>
              <w:spacing w:line="360" w:lineRule="auto"/>
              <w:ind w:firstLine="0" w:firstLineChars="0"/>
              <w:jc w:val="left"/>
              <w:rPr>
                <w:rFonts w:ascii="宋体" w:hAnsi="宋体"/>
                <w:kern w:val="0"/>
              </w:rPr>
            </w:pPr>
            <w:r>
              <w:rPr>
                <w:rFonts w:hint="eastAsia" w:ascii="宋体" w:hAnsi="宋体"/>
                <w:kern w:val="0"/>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40"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lang w:eastAsia="zh-CN"/>
              </w:rPr>
            </w:pPr>
            <w:r>
              <w:rPr>
                <w:rFonts w:hint="eastAsia" w:ascii="宋体" w:hAnsi="宋体"/>
                <w:kern w:val="0"/>
                <w:lang w:val="en-US" w:eastAsia="zh-CN"/>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pStyle w:val="16"/>
              <w:widowControl/>
              <w:spacing w:before="156" w:beforeLines="50" w:after="156" w:afterLines="50" w:line="360" w:lineRule="auto"/>
              <w:ind w:firstLine="0" w:firstLineChars="0"/>
              <w:jc w:val="left"/>
              <w:rPr>
                <w:rFonts w:ascii="宋体" w:hAnsi="宋体"/>
                <w:kern w:val="0"/>
              </w:rPr>
            </w:pPr>
            <w:r>
              <w:rPr>
                <w:rFonts w:hint="eastAsia" w:ascii="宋体" w:hAnsi="宋体"/>
                <w:kern w:val="0"/>
              </w:rPr>
              <w:t>投标人没有处于被责令停业或破产状态，且资产未被重组、接管和冻结，声明在投标活动中3 年内没有重大违法活动和涉嫌违规行为。(格式自拟)</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lang w:eastAsia="zh-CN"/>
              </w:rPr>
            </w:pPr>
            <w:r>
              <w:rPr>
                <w:rFonts w:hint="eastAsia" w:ascii="宋体" w:hAnsi="宋体"/>
                <w:kern w:val="0"/>
                <w:lang w:val="en-US" w:eastAsia="zh-CN"/>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lang w:val="en-US" w:eastAsia="zh-CN"/>
              </w:rPr>
            </w:pPr>
            <w:r>
              <w:rPr>
                <w:rFonts w:hint="eastAsia" w:ascii="宋体" w:hAnsi="宋体"/>
                <w:kern w:val="0"/>
                <w:lang w:val="en-US" w:eastAsia="zh-CN"/>
              </w:rPr>
              <w:t>10</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lang w:val="en-US" w:eastAsia="zh-CN"/>
              </w:rPr>
            </w:pPr>
            <w:r>
              <w:rPr>
                <w:rFonts w:hint="eastAsia" w:ascii="宋体" w:hAnsi="宋体"/>
                <w:kern w:val="0"/>
                <w:lang w:val="en-US" w:eastAsia="zh-CN"/>
              </w:rPr>
              <w:t>11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lang w:eastAsia="zh-CN"/>
              </w:rPr>
            </w:pPr>
            <w:r>
              <w:rPr>
                <w:rFonts w:hint="eastAsia" w:ascii="宋体" w:hAnsi="宋体"/>
                <w:kern w:val="0"/>
              </w:rPr>
              <w:t>1</w:t>
            </w:r>
            <w:r>
              <w:rPr>
                <w:rFonts w:hint="eastAsia" w:ascii="宋体" w:hAnsi="宋体"/>
                <w:kern w:val="0"/>
                <w:lang w:val="en-US" w:eastAsia="zh-CN"/>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sz w:val="21"/>
              </w:rPr>
              <w:t>未按“采购清单”中的所有型号报齐价格，存在缺漏项。</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spacing w:line="400" w:lineRule="exact"/>
        <w:ind w:firstLine="440"/>
        <w:rPr>
          <w:rFonts w:ascii="宋体" w:hAnsi="宋体"/>
        </w:rPr>
      </w:pPr>
      <w:r>
        <w:rPr>
          <w:rFonts w:hint="eastAsia" w:ascii="宋体" w:hAnsi="宋体"/>
        </w:rPr>
        <w:t>注：</w:t>
      </w:r>
    </w:p>
    <w:p>
      <w:pPr>
        <w:numPr>
          <w:ilvl w:val="0"/>
          <w:numId w:val="21"/>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pPr>
        <w:numPr>
          <w:ilvl w:val="0"/>
          <w:numId w:val="21"/>
        </w:numPr>
        <w:adjustRightInd w:val="0"/>
        <w:snapToGrid w:val="0"/>
        <w:spacing w:line="400" w:lineRule="exact"/>
        <w:rPr>
          <w:rFonts w:ascii="宋体" w:hAnsi="宋体"/>
        </w:rPr>
      </w:pPr>
      <w:r>
        <w:rPr>
          <w:rFonts w:hint="eastAsia" w:ascii="宋体" w:hAnsi="宋体"/>
        </w:rPr>
        <w:t>经评标委员会审核后，出现一个“×”的结论为“不通过”，即按废标处理。</w:t>
      </w:r>
    </w:p>
    <w:p>
      <w:pPr>
        <w:numPr>
          <w:ilvl w:val="0"/>
          <w:numId w:val="21"/>
        </w:numPr>
        <w:adjustRightInd w:val="0"/>
        <w:snapToGrid w:val="0"/>
        <w:spacing w:line="400" w:lineRule="exact"/>
        <w:rPr>
          <w:rFonts w:ascii="宋体" w:hAnsi="宋体"/>
        </w:rPr>
      </w:pPr>
      <w:r>
        <w:rPr>
          <w:rFonts w:hint="eastAsia" w:ascii="宋体" w:hAnsi="宋体"/>
        </w:rPr>
        <w:t>表中全部条件满足为“通过”，同意进入下一阶段评审。</w:t>
      </w:r>
    </w:p>
    <w:p>
      <w:pPr>
        <w:numPr>
          <w:ilvl w:val="0"/>
          <w:numId w:val="21"/>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pPr>
        <w:spacing w:before="93" w:beforeLines="30" w:line="400" w:lineRule="exact"/>
        <w:ind w:left="420" w:hanging="420" w:hangingChars="200"/>
        <w:rPr>
          <w:rFonts w:ascii="宋体" w:hAnsi="宋体"/>
        </w:rPr>
      </w:pPr>
      <w:r>
        <w:rPr>
          <w:rFonts w:hint="eastAsia" w:ascii="宋体" w:hAnsi="宋体"/>
        </w:rPr>
        <w:t xml:space="preserve">评委签名：                                                                                </w:t>
      </w:r>
    </w:p>
    <w:p>
      <w:pPr>
        <w:spacing w:line="360" w:lineRule="auto"/>
      </w:pPr>
      <w:r>
        <w:rPr>
          <w:rFonts w:hint="eastAsia" w:ascii="宋体" w:hAnsi="宋体"/>
        </w:rPr>
        <w:t>日 期：    年   月   日</w:t>
      </w:r>
    </w:p>
    <w:p>
      <w:pPr>
        <w:spacing w:line="360" w:lineRule="auto"/>
      </w:pPr>
    </w:p>
    <w:p>
      <w:pPr>
        <w:sectPr>
          <w:pgSz w:w="11906" w:h="16838"/>
          <w:pgMar w:top="1440" w:right="1800" w:bottom="1440" w:left="1800" w:header="851" w:footer="992" w:gutter="0"/>
          <w:cols w:space="720" w:num="1"/>
          <w:docGrid w:type="lines" w:linePitch="312" w:charSpace="0"/>
        </w:sectPr>
      </w:pPr>
    </w:p>
    <w:p>
      <w:pPr>
        <w:pStyle w:val="3"/>
        <w:ind w:firstLine="560"/>
        <w:rPr>
          <w:sz w:val="28"/>
          <w:szCs w:val="28"/>
        </w:rPr>
      </w:pPr>
      <w:r>
        <w:rPr>
          <w:rFonts w:hint="eastAsia"/>
          <w:sz w:val="28"/>
          <w:szCs w:val="28"/>
        </w:rPr>
        <w:t>附件6</w:t>
      </w:r>
    </w:p>
    <w:p>
      <w:pPr>
        <w:pStyle w:val="3"/>
        <w:ind w:firstLine="560"/>
        <w:jc w:val="center"/>
        <w:rPr>
          <w:sz w:val="28"/>
          <w:szCs w:val="28"/>
        </w:rPr>
      </w:pPr>
      <w:r>
        <w:rPr>
          <w:rFonts w:hint="eastAsia"/>
          <w:sz w:val="28"/>
          <w:szCs w:val="28"/>
        </w:rPr>
        <w:t>综合评分细则</w:t>
      </w:r>
    </w:p>
    <w:p>
      <w:pPr>
        <w:pStyle w:val="3"/>
        <w:ind w:firstLine="480"/>
        <w:jc w:val="left"/>
        <w:outlineLvl w:val="0"/>
        <w:rPr>
          <w:rFonts w:hAnsi="Times New Roman" w:eastAsia="宋体"/>
          <w:b/>
          <w:bCs/>
          <w:sz w:val="24"/>
          <w:szCs w:val="24"/>
        </w:rPr>
      </w:pPr>
      <w:r>
        <w:rPr>
          <w:rFonts w:hAnsi="Times New Roman" w:eastAsia="宋体"/>
          <w:sz w:val="24"/>
          <w:szCs w:val="24"/>
        </w:rPr>
        <w:t>本项目按综合评分法对</w:t>
      </w:r>
      <w:r>
        <w:rPr>
          <w:rFonts w:hint="eastAsia" w:hAnsi="Times New Roman" w:eastAsia="宋体"/>
          <w:sz w:val="24"/>
          <w:szCs w:val="24"/>
        </w:rPr>
        <w:t>投标单位投标报价</w:t>
      </w:r>
      <w:r>
        <w:rPr>
          <w:rFonts w:hAnsi="Times New Roman" w:eastAsia="宋体"/>
          <w:sz w:val="24"/>
          <w:szCs w:val="24"/>
        </w:rPr>
        <w:t>综合评分</w:t>
      </w:r>
      <w:r>
        <w:rPr>
          <w:rFonts w:hint="eastAsia" w:hAnsi="Times New Roman" w:eastAsia="宋体"/>
          <w:sz w:val="24"/>
          <w:szCs w:val="24"/>
        </w:rPr>
        <w:t>，</w:t>
      </w:r>
      <w:r>
        <w:rPr>
          <w:rFonts w:hAnsi="Times New Roman" w:eastAsia="宋体"/>
          <w:sz w:val="24"/>
          <w:szCs w:val="24"/>
        </w:rPr>
        <w:t>对所有投标供应商的报价等</w:t>
      </w:r>
      <w:r>
        <w:rPr>
          <w:rFonts w:hint="eastAsia" w:hAnsi="Times New Roman" w:eastAsia="宋体"/>
          <w:sz w:val="24"/>
          <w:szCs w:val="24"/>
        </w:rPr>
        <w:t>文件</w:t>
      </w:r>
      <w:r>
        <w:rPr>
          <w:rFonts w:hAnsi="Times New Roman" w:eastAsia="宋体"/>
          <w:sz w:val="24"/>
          <w:szCs w:val="24"/>
        </w:rPr>
        <w:t>进行排名并列入计算分值</w:t>
      </w:r>
      <w:r>
        <w:rPr>
          <w:rFonts w:hint="eastAsia" w:hAnsi="Times New Roman" w:eastAsia="宋体"/>
          <w:sz w:val="24"/>
          <w:szCs w:val="24"/>
        </w:rPr>
        <w:t>，</w:t>
      </w:r>
      <w:r>
        <w:rPr>
          <w:rFonts w:hAnsi="Times New Roman" w:eastAsia="宋体"/>
          <w:sz w:val="24"/>
          <w:szCs w:val="24"/>
        </w:rPr>
        <w:t>具体评分细则如下</w:t>
      </w:r>
      <w:r>
        <w:rPr>
          <w:rFonts w:hint="eastAsia" w:hAnsi="Times New Roman" w:eastAsia="宋体"/>
          <w:sz w:val="24"/>
          <w:szCs w:val="24"/>
        </w:rPr>
        <w:t>：</w:t>
      </w:r>
    </w:p>
    <w:tbl>
      <w:tblPr>
        <w:tblStyle w:val="11"/>
        <w:tblW w:w="8518"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70"/>
        <w:gridCol w:w="1208"/>
        <w:gridCol w:w="840"/>
        <w:gridCol w:w="3784"/>
        <w:gridCol w:w="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70" w:type="dxa"/>
            <w:vAlign w:val="center"/>
          </w:tcPr>
          <w:p>
            <w:pPr>
              <w:pStyle w:val="3"/>
              <w:spacing w:line="240" w:lineRule="exact"/>
              <w:ind w:firstLine="0" w:firstLineChars="0"/>
              <w:jc w:val="center"/>
              <w:rPr>
                <w:rFonts w:hAnsi="Times New Roman" w:eastAsia="宋体"/>
                <w:b/>
                <w:bCs/>
                <w:sz w:val="18"/>
                <w:szCs w:val="18"/>
              </w:rPr>
            </w:pPr>
            <w:r>
              <w:rPr>
                <w:rFonts w:hint="eastAsia" w:hAnsi="Times New Roman" w:eastAsia="宋体"/>
                <w:b/>
                <w:bCs/>
                <w:sz w:val="18"/>
                <w:szCs w:val="18"/>
              </w:rPr>
              <w:t>序号</w:t>
            </w:r>
          </w:p>
        </w:tc>
        <w:tc>
          <w:tcPr>
            <w:tcW w:w="1070" w:type="dxa"/>
            <w:vAlign w:val="center"/>
          </w:tcPr>
          <w:p>
            <w:pPr>
              <w:pStyle w:val="3"/>
              <w:spacing w:line="240" w:lineRule="exact"/>
              <w:ind w:firstLine="0" w:firstLineChars="0"/>
              <w:jc w:val="center"/>
              <w:rPr>
                <w:rFonts w:hAnsi="Times New Roman" w:eastAsia="宋体"/>
                <w:b/>
                <w:bCs/>
                <w:sz w:val="18"/>
                <w:szCs w:val="18"/>
              </w:rPr>
            </w:pPr>
          </w:p>
        </w:tc>
        <w:tc>
          <w:tcPr>
            <w:tcW w:w="1208" w:type="dxa"/>
            <w:vAlign w:val="center"/>
          </w:tcPr>
          <w:p>
            <w:pPr>
              <w:pStyle w:val="3"/>
              <w:spacing w:line="240" w:lineRule="exact"/>
              <w:ind w:firstLine="0" w:firstLineChars="0"/>
              <w:jc w:val="center"/>
              <w:rPr>
                <w:rFonts w:hAnsi="Times New Roman" w:eastAsia="宋体"/>
                <w:b/>
                <w:bCs/>
                <w:sz w:val="18"/>
                <w:szCs w:val="18"/>
              </w:rPr>
            </w:pPr>
            <w:r>
              <w:rPr>
                <w:rFonts w:hAnsi="Times New Roman" w:eastAsia="宋体"/>
                <w:b/>
                <w:bCs/>
                <w:sz w:val="18"/>
                <w:szCs w:val="18"/>
              </w:rPr>
              <w:t>评分</w:t>
            </w:r>
          </w:p>
          <w:p>
            <w:pPr>
              <w:pStyle w:val="3"/>
              <w:spacing w:line="240" w:lineRule="exact"/>
              <w:ind w:firstLine="0" w:firstLineChars="0"/>
              <w:jc w:val="center"/>
              <w:rPr>
                <w:rFonts w:hAnsi="Times New Roman" w:eastAsia="宋体"/>
                <w:b/>
                <w:bCs/>
                <w:sz w:val="18"/>
                <w:szCs w:val="18"/>
              </w:rPr>
            </w:pPr>
            <w:r>
              <w:rPr>
                <w:rFonts w:hAnsi="Times New Roman" w:eastAsia="宋体"/>
                <w:b/>
                <w:bCs/>
                <w:sz w:val="18"/>
                <w:szCs w:val="18"/>
              </w:rPr>
              <w:t>因子</w:t>
            </w:r>
          </w:p>
        </w:tc>
        <w:tc>
          <w:tcPr>
            <w:tcW w:w="840" w:type="dxa"/>
            <w:vAlign w:val="center"/>
          </w:tcPr>
          <w:p>
            <w:pPr>
              <w:pStyle w:val="3"/>
              <w:ind w:firstLine="0" w:firstLineChars="0"/>
              <w:jc w:val="center"/>
              <w:rPr>
                <w:rFonts w:hAnsi="Times New Roman" w:eastAsia="宋体"/>
                <w:b/>
                <w:bCs/>
                <w:sz w:val="18"/>
                <w:szCs w:val="18"/>
              </w:rPr>
            </w:pPr>
            <w:r>
              <w:rPr>
                <w:rFonts w:hAnsi="Times New Roman" w:eastAsia="宋体"/>
                <w:b/>
                <w:bCs/>
                <w:sz w:val="18"/>
                <w:szCs w:val="18"/>
              </w:rPr>
              <w:t>分值</w:t>
            </w:r>
          </w:p>
        </w:tc>
        <w:tc>
          <w:tcPr>
            <w:tcW w:w="3784" w:type="dxa"/>
            <w:vAlign w:val="center"/>
          </w:tcPr>
          <w:p>
            <w:pPr>
              <w:pStyle w:val="3"/>
              <w:ind w:firstLine="0" w:firstLineChars="0"/>
              <w:jc w:val="center"/>
              <w:rPr>
                <w:rFonts w:hAnsi="Times New Roman" w:eastAsia="宋体"/>
                <w:b/>
                <w:bCs/>
                <w:sz w:val="18"/>
                <w:szCs w:val="18"/>
              </w:rPr>
            </w:pPr>
            <w:r>
              <w:rPr>
                <w:rFonts w:hAnsi="Times New Roman" w:eastAsia="宋体"/>
                <w:b/>
                <w:bCs/>
                <w:sz w:val="18"/>
                <w:szCs w:val="18"/>
              </w:rPr>
              <w:t>评分标准</w:t>
            </w:r>
          </w:p>
        </w:tc>
        <w:tc>
          <w:tcPr>
            <w:tcW w:w="546" w:type="dxa"/>
            <w:vAlign w:val="center"/>
          </w:tcPr>
          <w:p>
            <w:pPr>
              <w:pStyle w:val="3"/>
              <w:ind w:firstLine="0" w:firstLineChars="0"/>
              <w:jc w:val="center"/>
              <w:rPr>
                <w:rFonts w:hAnsi="Times New Roman" w:eastAsia="宋体"/>
                <w:b/>
                <w:bCs/>
                <w:sz w:val="18"/>
                <w:szCs w:val="18"/>
              </w:rPr>
            </w:pPr>
            <w:r>
              <w:rPr>
                <w:rFonts w:hAnsi="Times New Roman" w:eastAsia="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 w:type="dxa"/>
            <w:vAlign w:val="center"/>
          </w:tcPr>
          <w:p>
            <w:pPr>
              <w:widowControl/>
              <w:jc w:val="center"/>
              <w:textAlignment w:val="center"/>
              <w:rPr>
                <w:rFonts w:ascii="宋体" w:hAnsi="宋体" w:eastAsia="宋体" w:cs="宋体"/>
                <w:b/>
                <w:kern w:val="0"/>
                <w:sz w:val="22"/>
                <w:szCs w:val="22"/>
                <w:lang w:bidi="ar"/>
              </w:rPr>
            </w:pPr>
            <w:r>
              <w:rPr>
                <w:rFonts w:ascii="宋体" w:hAnsi="宋体" w:eastAsia="宋体" w:cs="宋体"/>
                <w:b/>
                <w:kern w:val="0"/>
                <w:sz w:val="22"/>
                <w:szCs w:val="22"/>
                <w:lang w:bidi="ar"/>
              </w:rPr>
              <w:t>1</w:t>
            </w:r>
          </w:p>
        </w:tc>
        <w:tc>
          <w:tcPr>
            <w:tcW w:w="1070" w:type="dxa"/>
            <w:vMerge w:val="restart"/>
            <w:shd w:val="clear" w:color="auto" w:fill="auto"/>
            <w:vAlign w:val="center"/>
          </w:tcPr>
          <w:p>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商务技术评审</w:t>
            </w:r>
          </w:p>
          <w:p>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（1</w:t>
            </w:r>
            <w:r>
              <w:rPr>
                <w:rFonts w:ascii="宋体" w:hAnsi="宋体" w:eastAsia="宋体" w:cs="宋体"/>
                <w:b/>
                <w:kern w:val="0"/>
                <w:sz w:val="22"/>
                <w:szCs w:val="22"/>
                <w:lang w:bidi="ar"/>
              </w:rPr>
              <w:t>2</w:t>
            </w:r>
            <w:r>
              <w:rPr>
                <w:rFonts w:hint="eastAsia" w:ascii="宋体" w:hAnsi="宋体" w:eastAsia="宋体" w:cs="宋体"/>
                <w:b/>
                <w:kern w:val="0"/>
                <w:sz w:val="22"/>
                <w:szCs w:val="22"/>
                <w:lang w:bidi="ar"/>
              </w:rPr>
              <w:t>分）</w:t>
            </w:r>
          </w:p>
        </w:tc>
        <w:tc>
          <w:tcPr>
            <w:tcW w:w="1208" w:type="dxa"/>
            <w:vAlign w:val="center"/>
          </w:tcPr>
          <w:p>
            <w:pPr>
              <w:pStyle w:val="3"/>
              <w:ind w:firstLine="0" w:firstLineChars="0"/>
              <w:jc w:val="center"/>
              <w:rPr>
                <w:rFonts w:asciiTheme="minorEastAsia" w:hAnsiTheme="minorEastAsia" w:eastAsiaTheme="minorEastAsia" w:cstheme="minorEastAsia"/>
                <w:szCs w:val="21"/>
              </w:rPr>
            </w:pPr>
            <w:r>
              <w:rPr>
                <w:rFonts w:hint="eastAsia" w:ascii="宋体" w:hAnsi="宋体" w:cs="宋体"/>
                <w:color w:val="000000"/>
                <w:lang w:val="zh-CN"/>
              </w:rPr>
              <w:t>企业信誉</w:t>
            </w:r>
          </w:p>
        </w:tc>
        <w:tc>
          <w:tcPr>
            <w:tcW w:w="840" w:type="dxa"/>
            <w:vAlign w:val="center"/>
          </w:tcPr>
          <w:p>
            <w:pPr>
              <w:pStyle w:val="3"/>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3784" w:type="dxa"/>
            <w:vAlign w:val="center"/>
          </w:tcPr>
          <w:p>
            <w:pPr>
              <w:jc w:val="left"/>
              <w:rPr>
                <w:rFonts w:ascii="宋体" w:hAnsi="宋体"/>
                <w:szCs w:val="21"/>
              </w:rPr>
            </w:pPr>
            <w:r>
              <w:rPr>
                <w:rFonts w:hint="eastAsia" w:ascii="宋体" w:hAnsi="宋体"/>
                <w:szCs w:val="21"/>
              </w:rPr>
              <w:t>投标人自最新可查到的（2</w:t>
            </w:r>
            <w:r>
              <w:rPr>
                <w:rFonts w:ascii="宋体" w:hAnsi="宋体"/>
                <w:szCs w:val="21"/>
              </w:rPr>
              <w:t>020</w:t>
            </w:r>
            <w:r>
              <w:rPr>
                <w:rFonts w:hint="eastAsia" w:ascii="宋体" w:hAnsi="宋体"/>
                <w:szCs w:val="21"/>
              </w:rPr>
              <w:t>年-</w:t>
            </w:r>
            <w:r>
              <w:rPr>
                <w:rFonts w:ascii="宋体" w:hAnsi="宋体"/>
                <w:szCs w:val="21"/>
              </w:rPr>
              <w:t>2022</w:t>
            </w:r>
            <w:r>
              <w:rPr>
                <w:rFonts w:hint="eastAsia" w:ascii="宋体" w:hAnsi="宋体"/>
                <w:szCs w:val="21"/>
              </w:rPr>
              <w:t>年）被税务机关评定为“A级纳税人”的纳税信用等级。投标人连续</w:t>
            </w:r>
            <w:r>
              <w:rPr>
                <w:rFonts w:ascii="宋体" w:hAnsi="宋体"/>
                <w:szCs w:val="21"/>
              </w:rPr>
              <w:t>3</w:t>
            </w:r>
            <w:r>
              <w:rPr>
                <w:rFonts w:hint="eastAsia" w:ascii="宋体" w:hAnsi="宋体"/>
                <w:szCs w:val="21"/>
              </w:rPr>
              <w:t>年被评定为评定“A级纳税人”为得3分；连续</w:t>
            </w:r>
            <w:r>
              <w:rPr>
                <w:rFonts w:ascii="宋体" w:hAnsi="宋体"/>
                <w:szCs w:val="21"/>
              </w:rPr>
              <w:t>2</w:t>
            </w:r>
            <w:r>
              <w:rPr>
                <w:rFonts w:hint="eastAsia" w:ascii="宋体" w:hAnsi="宋体"/>
                <w:szCs w:val="21"/>
              </w:rPr>
              <w:t>年被评定为评定“A级纳税人”为得</w:t>
            </w:r>
            <w:r>
              <w:rPr>
                <w:rFonts w:ascii="宋体" w:hAnsi="宋体"/>
                <w:szCs w:val="21"/>
              </w:rPr>
              <w:t>2</w:t>
            </w:r>
            <w:r>
              <w:rPr>
                <w:rFonts w:hint="eastAsia" w:ascii="宋体" w:hAnsi="宋体"/>
                <w:szCs w:val="21"/>
              </w:rPr>
              <w:t>分；1年被评定为评定“A级纳税人”为得</w:t>
            </w:r>
            <w:r>
              <w:rPr>
                <w:rFonts w:ascii="宋体" w:hAnsi="宋体"/>
                <w:szCs w:val="21"/>
              </w:rPr>
              <w:t>1</w:t>
            </w:r>
            <w:r>
              <w:rPr>
                <w:rFonts w:hint="eastAsia" w:ascii="宋体" w:hAnsi="宋体"/>
                <w:szCs w:val="21"/>
              </w:rPr>
              <w:t>分；其余不得分。</w:t>
            </w:r>
          </w:p>
          <w:p>
            <w:pPr>
              <w:jc w:val="left"/>
              <w:rPr>
                <w:rFonts w:asciiTheme="minorEastAsia" w:hAnsiTheme="minorEastAsia" w:cstheme="minorEastAsia"/>
                <w:szCs w:val="21"/>
              </w:rPr>
            </w:pPr>
            <w:r>
              <w:rPr>
                <w:rFonts w:hint="eastAsia" w:ascii="宋体" w:hAnsi="宋体"/>
                <w:szCs w:val="21"/>
              </w:rPr>
              <w:t>说明：不计算子公司和分公司；A级纳税人以“国家税务总局”官网 （http://www.chinatax.gov.cn）查询结果为准，应提交在上述官网的查询结果截图，否则不得分。</w:t>
            </w:r>
          </w:p>
        </w:tc>
        <w:tc>
          <w:tcPr>
            <w:tcW w:w="546" w:type="dxa"/>
            <w:vAlign w:val="center"/>
          </w:tcPr>
          <w:p>
            <w:pPr>
              <w:pStyle w:val="3"/>
              <w:spacing w:line="240" w:lineRule="exact"/>
              <w:ind w:firstLine="0" w:firstLineChars="0"/>
              <w:jc w:val="center"/>
              <w:rPr>
                <w:rFonts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 w:type="dxa"/>
            <w:vAlign w:val="center"/>
          </w:tcPr>
          <w:p>
            <w:pPr>
              <w:widowControl/>
              <w:jc w:val="center"/>
              <w:textAlignment w:val="center"/>
              <w:rPr>
                <w:rFonts w:ascii="宋体" w:hAnsi="宋体" w:eastAsia="宋体" w:cs="宋体"/>
                <w:b/>
                <w:kern w:val="0"/>
                <w:sz w:val="22"/>
                <w:szCs w:val="22"/>
                <w:lang w:bidi="ar"/>
              </w:rPr>
            </w:pPr>
            <w:r>
              <w:rPr>
                <w:rFonts w:ascii="宋体" w:hAnsi="宋体" w:eastAsia="宋体" w:cs="宋体"/>
                <w:b/>
                <w:kern w:val="0"/>
                <w:sz w:val="22"/>
                <w:szCs w:val="22"/>
                <w:lang w:bidi="ar"/>
              </w:rPr>
              <w:t>2</w:t>
            </w:r>
          </w:p>
        </w:tc>
        <w:tc>
          <w:tcPr>
            <w:tcW w:w="1070" w:type="dxa"/>
            <w:vMerge w:val="continue"/>
            <w:shd w:val="clear" w:color="auto" w:fill="auto"/>
            <w:vAlign w:val="center"/>
          </w:tcPr>
          <w:p>
            <w:pPr>
              <w:widowControl/>
              <w:jc w:val="center"/>
              <w:textAlignment w:val="center"/>
              <w:rPr>
                <w:rFonts w:ascii="宋体" w:hAnsi="宋体" w:eastAsia="宋体" w:cs="宋体"/>
                <w:b/>
                <w:kern w:val="0"/>
                <w:sz w:val="22"/>
                <w:szCs w:val="22"/>
                <w:lang w:bidi="ar"/>
              </w:rPr>
            </w:pPr>
          </w:p>
        </w:tc>
        <w:tc>
          <w:tcPr>
            <w:tcW w:w="1208" w:type="dxa"/>
            <w:vAlign w:val="center"/>
          </w:tcPr>
          <w:p>
            <w:pPr>
              <w:pStyle w:val="3"/>
              <w:ind w:firstLine="0" w:firstLineChars="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bidi="ar"/>
              </w:rPr>
              <w:t>类似业绩</w:t>
            </w:r>
          </w:p>
        </w:tc>
        <w:tc>
          <w:tcPr>
            <w:tcW w:w="840" w:type="dxa"/>
            <w:vAlign w:val="center"/>
          </w:tcPr>
          <w:p>
            <w:pPr>
              <w:pStyle w:val="3"/>
              <w:ind w:firstLine="0" w:firstLineChars="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w:t>
            </w:r>
            <w:r>
              <w:rPr>
                <w:rFonts w:hint="eastAsia" w:asciiTheme="minorEastAsia" w:hAnsiTheme="minorEastAsia" w:eastAsiaTheme="minorEastAsia" w:cstheme="minorEastAsia"/>
                <w:szCs w:val="21"/>
              </w:rPr>
              <w:t>分</w:t>
            </w:r>
          </w:p>
        </w:tc>
        <w:tc>
          <w:tcPr>
            <w:tcW w:w="3784" w:type="dxa"/>
            <w:vAlign w:val="center"/>
          </w:tcPr>
          <w:p>
            <w:pPr>
              <w:widowControl/>
              <w:jc w:val="left"/>
              <w:rPr>
                <w:rFonts w:asciiTheme="minorEastAsia" w:hAnsiTheme="minorEastAsia" w:cstheme="minorEastAsia"/>
                <w:kern w:val="0"/>
                <w:szCs w:val="21"/>
              </w:rPr>
            </w:pPr>
            <w:r>
              <w:rPr>
                <w:rFonts w:hint="eastAsia" w:asciiTheme="minorEastAsia" w:hAnsiTheme="minorEastAsia" w:cstheme="minorEastAsia"/>
                <w:kern w:val="0"/>
                <w:szCs w:val="21"/>
              </w:rPr>
              <w:t>自2022年1月1日至投标截止日前，投标人的类似供货业绩，每提供一个业绩得</w:t>
            </w:r>
            <w:r>
              <w:rPr>
                <w:rFonts w:asciiTheme="minorEastAsia" w:hAnsiTheme="minorEastAsia" w:cstheme="minorEastAsia"/>
                <w:kern w:val="0"/>
                <w:szCs w:val="21"/>
              </w:rPr>
              <w:t>1</w:t>
            </w:r>
            <w:r>
              <w:rPr>
                <w:rFonts w:hint="eastAsia" w:asciiTheme="minorEastAsia" w:hAnsiTheme="minorEastAsia" w:cstheme="minorEastAsia"/>
                <w:kern w:val="0"/>
                <w:szCs w:val="21"/>
              </w:rPr>
              <w:t>分， 本项累计最高得</w:t>
            </w:r>
            <w:r>
              <w:rPr>
                <w:rFonts w:asciiTheme="minorEastAsia" w:hAnsiTheme="minorEastAsia" w:cstheme="minorEastAsia"/>
                <w:kern w:val="0"/>
                <w:szCs w:val="21"/>
              </w:rPr>
              <w:t>3</w:t>
            </w:r>
            <w:r>
              <w:rPr>
                <w:rFonts w:hint="eastAsia" w:asciiTheme="minorEastAsia" w:hAnsiTheme="minorEastAsia" w:cstheme="minorEastAsia"/>
                <w:kern w:val="0"/>
                <w:szCs w:val="21"/>
              </w:rPr>
              <w:t>分。</w:t>
            </w:r>
          </w:p>
          <w:p>
            <w:pPr>
              <w:pStyle w:val="3"/>
              <w:numPr>
                <w:ilvl w:val="255"/>
                <w:numId w:val="0"/>
              </w:num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注：类似业绩是指材料年度供货合同，提供合同复印件，不提供者不得分。</w:t>
            </w:r>
          </w:p>
        </w:tc>
        <w:tc>
          <w:tcPr>
            <w:tcW w:w="546" w:type="dxa"/>
            <w:vAlign w:val="center"/>
          </w:tcPr>
          <w:p>
            <w:pPr>
              <w:pStyle w:val="3"/>
              <w:spacing w:line="240" w:lineRule="exact"/>
              <w:ind w:firstLine="0" w:firstLineChars="0"/>
              <w:jc w:val="center"/>
              <w:rPr>
                <w:rFonts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 w:type="dxa"/>
            <w:vAlign w:val="center"/>
          </w:tcPr>
          <w:p>
            <w:pPr>
              <w:widowControl/>
              <w:jc w:val="center"/>
              <w:textAlignment w:val="center"/>
              <w:rPr>
                <w:rFonts w:ascii="宋体" w:hAnsi="宋体" w:eastAsia="宋体" w:cs="宋体"/>
                <w:b/>
                <w:kern w:val="0"/>
                <w:sz w:val="22"/>
                <w:szCs w:val="22"/>
                <w:lang w:bidi="ar"/>
              </w:rPr>
            </w:pPr>
            <w:r>
              <w:rPr>
                <w:rFonts w:ascii="宋体" w:hAnsi="宋体" w:eastAsia="宋体" w:cs="宋体"/>
                <w:b/>
                <w:kern w:val="0"/>
                <w:sz w:val="22"/>
                <w:szCs w:val="22"/>
                <w:lang w:bidi="ar"/>
              </w:rPr>
              <w:t>3</w:t>
            </w:r>
          </w:p>
        </w:tc>
        <w:tc>
          <w:tcPr>
            <w:tcW w:w="1070" w:type="dxa"/>
            <w:vMerge w:val="continue"/>
            <w:shd w:val="clear" w:color="auto" w:fill="auto"/>
            <w:vAlign w:val="center"/>
          </w:tcPr>
          <w:p>
            <w:pPr>
              <w:widowControl/>
              <w:jc w:val="center"/>
              <w:textAlignment w:val="center"/>
              <w:rPr>
                <w:rFonts w:ascii="宋体" w:hAnsi="宋体" w:eastAsia="宋体" w:cs="宋体"/>
                <w:b/>
                <w:kern w:val="0"/>
                <w:sz w:val="22"/>
                <w:szCs w:val="22"/>
                <w:lang w:bidi="ar"/>
              </w:rPr>
            </w:pPr>
          </w:p>
        </w:tc>
        <w:tc>
          <w:tcPr>
            <w:tcW w:w="1208" w:type="dxa"/>
            <w:vAlign w:val="center"/>
          </w:tcPr>
          <w:p>
            <w:pPr>
              <w:pStyle w:val="3"/>
              <w:ind w:firstLine="0" w:firstLineChars="0"/>
              <w:jc w:val="center"/>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货期</w:t>
            </w:r>
          </w:p>
        </w:tc>
        <w:tc>
          <w:tcPr>
            <w:tcW w:w="840" w:type="dxa"/>
            <w:vAlign w:val="center"/>
          </w:tcPr>
          <w:p>
            <w:pPr>
              <w:pStyle w:val="3"/>
              <w:ind w:firstLine="0" w:firstLineChars="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w:t>
            </w:r>
            <w:r>
              <w:rPr>
                <w:rFonts w:hint="eastAsia" w:asciiTheme="minorEastAsia" w:hAnsiTheme="minorEastAsia" w:eastAsiaTheme="minorEastAsia" w:cstheme="minorEastAsia"/>
                <w:szCs w:val="21"/>
              </w:rPr>
              <w:t>分</w:t>
            </w:r>
          </w:p>
        </w:tc>
        <w:tc>
          <w:tcPr>
            <w:tcW w:w="3784" w:type="dxa"/>
            <w:vAlign w:val="center"/>
          </w:tcPr>
          <w:p>
            <w:pPr>
              <w:pStyle w:val="3"/>
              <w:numPr>
                <w:ilvl w:val="255"/>
                <w:numId w:val="0"/>
              </w:numPr>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货期优于采购需求要求（7天），货期每少一天得</w:t>
            </w:r>
            <w:r>
              <w:rPr>
                <w:rFonts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rPr>
              <w:t>分，本项最高得</w:t>
            </w:r>
            <w:r>
              <w:rPr>
                <w:rFonts w:asciiTheme="minorEastAsia" w:hAnsiTheme="minorEastAsia" w:eastAsiaTheme="minorEastAsia" w:cstheme="minorEastAsia"/>
                <w:kern w:val="0"/>
                <w:szCs w:val="21"/>
              </w:rPr>
              <w:t>3</w:t>
            </w:r>
            <w:r>
              <w:rPr>
                <w:rFonts w:hint="eastAsia" w:asciiTheme="minorEastAsia" w:hAnsiTheme="minorEastAsia" w:eastAsiaTheme="minorEastAsia" w:cstheme="minorEastAsia"/>
                <w:kern w:val="0"/>
                <w:szCs w:val="21"/>
              </w:rPr>
              <w:t>分。</w:t>
            </w:r>
          </w:p>
        </w:tc>
        <w:tc>
          <w:tcPr>
            <w:tcW w:w="546" w:type="dxa"/>
            <w:vAlign w:val="center"/>
          </w:tcPr>
          <w:p>
            <w:pPr>
              <w:pStyle w:val="3"/>
              <w:spacing w:line="240" w:lineRule="exact"/>
              <w:ind w:firstLine="0" w:firstLineChars="0"/>
              <w:jc w:val="center"/>
              <w:rPr>
                <w:rFonts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 w:type="dxa"/>
            <w:vAlign w:val="center"/>
          </w:tcPr>
          <w:p>
            <w:pPr>
              <w:widowControl/>
              <w:jc w:val="center"/>
              <w:textAlignment w:val="center"/>
              <w:rPr>
                <w:rFonts w:ascii="宋体" w:hAnsi="宋体" w:eastAsia="宋体" w:cs="宋体"/>
                <w:b/>
                <w:kern w:val="0"/>
                <w:sz w:val="22"/>
                <w:szCs w:val="22"/>
                <w:lang w:bidi="ar"/>
              </w:rPr>
            </w:pPr>
            <w:r>
              <w:rPr>
                <w:rFonts w:ascii="宋体" w:hAnsi="宋体" w:eastAsia="宋体" w:cs="宋体"/>
                <w:b/>
                <w:kern w:val="0"/>
                <w:sz w:val="22"/>
                <w:szCs w:val="22"/>
                <w:lang w:bidi="ar"/>
              </w:rPr>
              <w:t>4</w:t>
            </w:r>
          </w:p>
        </w:tc>
        <w:tc>
          <w:tcPr>
            <w:tcW w:w="1070" w:type="dxa"/>
            <w:vMerge w:val="continue"/>
            <w:shd w:val="clear" w:color="auto" w:fill="auto"/>
            <w:vAlign w:val="center"/>
          </w:tcPr>
          <w:p>
            <w:pPr>
              <w:widowControl/>
              <w:jc w:val="center"/>
              <w:textAlignment w:val="center"/>
              <w:rPr>
                <w:rFonts w:ascii="宋体" w:hAnsi="宋体" w:eastAsia="宋体" w:cs="宋体"/>
                <w:b/>
                <w:kern w:val="0"/>
                <w:sz w:val="22"/>
                <w:szCs w:val="22"/>
                <w:lang w:bidi="ar"/>
              </w:rPr>
            </w:pPr>
          </w:p>
        </w:tc>
        <w:tc>
          <w:tcPr>
            <w:tcW w:w="1208" w:type="dxa"/>
            <w:vAlign w:val="center"/>
          </w:tcPr>
          <w:p>
            <w:pPr>
              <w:pStyle w:val="3"/>
              <w:ind w:firstLine="0" w:firstLineChars="0"/>
              <w:jc w:val="center"/>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售后服务</w:t>
            </w:r>
          </w:p>
        </w:tc>
        <w:tc>
          <w:tcPr>
            <w:tcW w:w="840" w:type="dxa"/>
            <w:vAlign w:val="center"/>
          </w:tcPr>
          <w:p>
            <w:pPr>
              <w:pStyle w:val="3"/>
              <w:ind w:firstLine="0" w:firstLineChars="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w:t>
            </w:r>
            <w:r>
              <w:rPr>
                <w:rFonts w:hint="eastAsia" w:asciiTheme="minorEastAsia" w:hAnsiTheme="minorEastAsia" w:eastAsiaTheme="minorEastAsia" w:cstheme="minorEastAsia"/>
                <w:szCs w:val="21"/>
              </w:rPr>
              <w:t>分</w:t>
            </w:r>
          </w:p>
        </w:tc>
        <w:tc>
          <w:tcPr>
            <w:tcW w:w="3784" w:type="dxa"/>
            <w:vAlign w:val="center"/>
          </w:tcPr>
          <w:p>
            <w:pPr>
              <w:pStyle w:val="3"/>
              <w:numPr>
                <w:ilvl w:val="255"/>
                <w:numId w:val="0"/>
              </w:numPr>
              <w:ind w:firstLine="420" w:firstLineChars="200"/>
              <w:jc w:val="left"/>
              <w:rPr>
                <w:rFonts w:ascii="宋体" w:hAnsi="宋体" w:eastAsia="宋体" w:cs="宋体"/>
                <w:kern w:val="0"/>
                <w:sz w:val="18"/>
                <w:szCs w:val="18"/>
              </w:rPr>
            </w:pPr>
            <w:r>
              <w:rPr>
                <w:rFonts w:hint="eastAsia" w:asciiTheme="minorEastAsia" w:hAnsiTheme="minorEastAsia" w:eastAsiaTheme="minorEastAsia" w:cstheme="minorEastAsia"/>
                <w:kern w:val="0"/>
                <w:szCs w:val="21"/>
              </w:rPr>
              <w:t>提供售后服务方案和承诺，对质量、货期保障措施，退换货的承诺、更换货响应效率、质保期服务等进行综合评比，优的得</w:t>
            </w:r>
            <w:r>
              <w:rPr>
                <w:rFonts w:asciiTheme="minorEastAsia" w:hAnsiTheme="minorEastAsia" w:eastAsiaTheme="minorEastAsia" w:cstheme="minorEastAsia"/>
                <w:kern w:val="0"/>
                <w:szCs w:val="21"/>
              </w:rPr>
              <w:t>3</w:t>
            </w:r>
            <w:r>
              <w:rPr>
                <w:rFonts w:hint="eastAsia" w:asciiTheme="minorEastAsia" w:hAnsiTheme="minorEastAsia" w:eastAsiaTheme="minorEastAsia" w:cstheme="minorEastAsia"/>
                <w:kern w:val="0"/>
                <w:szCs w:val="21"/>
              </w:rPr>
              <w:t>分，良好的得</w:t>
            </w:r>
            <w:r>
              <w:rPr>
                <w:rFonts w:asciiTheme="minorEastAsia" w:hAnsiTheme="minorEastAsia" w:eastAsiaTheme="minorEastAsia" w:cstheme="minorEastAsia"/>
                <w:kern w:val="0"/>
                <w:szCs w:val="21"/>
              </w:rPr>
              <w:t>2</w:t>
            </w:r>
            <w:r>
              <w:rPr>
                <w:rFonts w:hint="eastAsia" w:asciiTheme="minorEastAsia" w:hAnsiTheme="minorEastAsia" w:eastAsiaTheme="minorEastAsia" w:cstheme="minorEastAsia"/>
                <w:kern w:val="0"/>
                <w:szCs w:val="21"/>
              </w:rPr>
              <w:t>分，一般的得1分。不提供不得分。</w:t>
            </w:r>
          </w:p>
        </w:tc>
        <w:tc>
          <w:tcPr>
            <w:tcW w:w="546" w:type="dxa"/>
            <w:vAlign w:val="center"/>
          </w:tcPr>
          <w:p>
            <w:pPr>
              <w:pStyle w:val="3"/>
              <w:spacing w:line="240" w:lineRule="exact"/>
              <w:ind w:firstLine="0" w:firstLineChars="0"/>
              <w:jc w:val="center"/>
              <w:rPr>
                <w:rFonts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 w:type="dxa"/>
            <w:vAlign w:val="center"/>
          </w:tcPr>
          <w:p>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7</w:t>
            </w:r>
          </w:p>
        </w:tc>
        <w:tc>
          <w:tcPr>
            <w:tcW w:w="1070" w:type="dxa"/>
            <w:vMerge w:val="restart"/>
            <w:vAlign w:val="center"/>
          </w:tcPr>
          <w:p>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投标样品评审（</w:t>
            </w:r>
            <w:r>
              <w:rPr>
                <w:rFonts w:ascii="宋体" w:hAnsi="宋体" w:eastAsia="宋体" w:cs="宋体"/>
                <w:b/>
                <w:kern w:val="0"/>
                <w:sz w:val="22"/>
                <w:szCs w:val="22"/>
                <w:lang w:bidi="ar"/>
              </w:rPr>
              <w:t>18</w:t>
            </w:r>
            <w:r>
              <w:rPr>
                <w:rFonts w:hint="eastAsia" w:ascii="宋体" w:hAnsi="宋体" w:eastAsia="宋体" w:cs="宋体"/>
                <w:b/>
                <w:kern w:val="0"/>
                <w:sz w:val="22"/>
                <w:szCs w:val="22"/>
                <w:lang w:bidi="ar"/>
              </w:rPr>
              <w:t>分）</w:t>
            </w:r>
          </w:p>
        </w:tc>
        <w:tc>
          <w:tcPr>
            <w:tcW w:w="1208" w:type="dxa"/>
            <w:vAlign w:val="center"/>
          </w:tcPr>
          <w:p>
            <w:pPr>
              <w:widowControl/>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产品商誉</w:t>
            </w:r>
          </w:p>
        </w:tc>
        <w:tc>
          <w:tcPr>
            <w:tcW w:w="840" w:type="dxa"/>
            <w:vAlign w:val="center"/>
          </w:tcPr>
          <w:p>
            <w:pPr>
              <w:pStyle w:val="3"/>
              <w:ind w:firstLine="0" w:firstLineChars="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6</w:t>
            </w:r>
            <w:r>
              <w:rPr>
                <w:rFonts w:hint="eastAsia" w:asciiTheme="minorEastAsia" w:hAnsiTheme="minorEastAsia" w:eastAsiaTheme="minorEastAsia" w:cstheme="minorEastAsia"/>
                <w:szCs w:val="21"/>
              </w:rPr>
              <w:t>分</w:t>
            </w:r>
          </w:p>
        </w:tc>
        <w:tc>
          <w:tcPr>
            <w:tcW w:w="3784" w:type="dxa"/>
            <w:vAlign w:val="center"/>
          </w:tcPr>
          <w:p>
            <w:pPr>
              <w:pStyle w:val="3"/>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提供产品生产厂家简介及产品说明书、合格证明、检验检测报告等，综合产品生产厂家实力、质量管控、产品的市场知名度及口碑等进行比较：</w:t>
            </w:r>
          </w:p>
          <w:p>
            <w:pPr>
              <w:pStyle w:val="3"/>
              <w:numPr>
                <w:ilvl w:val="0"/>
                <w:numId w:val="22"/>
              </w:numPr>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黄铜闸阀</w:t>
            </w:r>
          </w:p>
          <w:p>
            <w:pPr>
              <w:pStyle w:val="3"/>
              <w:numPr>
                <w:ilvl w:val="0"/>
                <w:numId w:val="0"/>
              </w:numPr>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优得</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分，良得</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分。</w:t>
            </w:r>
          </w:p>
          <w:p>
            <w:pPr>
              <w:pStyle w:val="3"/>
              <w:numPr>
                <w:ilvl w:val="0"/>
                <w:numId w:val="22"/>
              </w:numPr>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波纹管</w:t>
            </w:r>
          </w:p>
          <w:p>
            <w:pPr>
              <w:pStyle w:val="3"/>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优得</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分，良得</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分。</w:t>
            </w:r>
          </w:p>
          <w:p>
            <w:pPr>
              <w:pStyle w:val="3"/>
              <w:numPr>
                <w:ilvl w:val="0"/>
                <w:numId w:val="22"/>
              </w:numPr>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保温棉</w:t>
            </w:r>
          </w:p>
          <w:p>
            <w:pPr>
              <w:pStyle w:val="3"/>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优得</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分，良得</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分。</w:t>
            </w:r>
          </w:p>
          <w:p>
            <w:pPr>
              <w:pStyle w:val="3"/>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本项最高得</w:t>
            </w:r>
            <w:r>
              <w:rPr>
                <w:rFonts w:asciiTheme="minorEastAsia" w:hAnsiTheme="minorEastAsia" w:eastAsiaTheme="minorEastAsia" w:cstheme="minorEastAsia"/>
                <w:szCs w:val="21"/>
              </w:rPr>
              <w:t>6</w:t>
            </w:r>
            <w:r>
              <w:rPr>
                <w:rFonts w:hint="eastAsia" w:asciiTheme="minorEastAsia" w:hAnsiTheme="minorEastAsia" w:eastAsiaTheme="minorEastAsia" w:cstheme="minorEastAsia"/>
                <w:szCs w:val="21"/>
              </w:rPr>
              <w:t>分。</w:t>
            </w:r>
          </w:p>
        </w:tc>
        <w:tc>
          <w:tcPr>
            <w:tcW w:w="546" w:type="dxa"/>
            <w:vAlign w:val="center"/>
          </w:tcPr>
          <w:p>
            <w:pPr>
              <w:pStyle w:val="3"/>
              <w:spacing w:line="240" w:lineRule="exact"/>
              <w:ind w:firstLine="0" w:firstLineChars="0"/>
              <w:jc w:val="center"/>
              <w:rPr>
                <w:rFonts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 w:type="dxa"/>
            <w:vAlign w:val="center"/>
          </w:tcPr>
          <w:p>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8</w:t>
            </w:r>
          </w:p>
        </w:tc>
        <w:tc>
          <w:tcPr>
            <w:tcW w:w="1070" w:type="dxa"/>
            <w:vMerge w:val="continue"/>
            <w:vAlign w:val="center"/>
          </w:tcPr>
          <w:p>
            <w:pPr>
              <w:widowControl/>
              <w:jc w:val="center"/>
              <w:textAlignment w:val="center"/>
              <w:rPr>
                <w:rFonts w:ascii="宋体" w:hAnsi="宋体" w:eastAsia="宋体" w:cs="宋体"/>
                <w:b/>
                <w:kern w:val="0"/>
                <w:sz w:val="22"/>
                <w:szCs w:val="22"/>
                <w:lang w:bidi="ar"/>
              </w:rPr>
            </w:pPr>
          </w:p>
        </w:tc>
        <w:tc>
          <w:tcPr>
            <w:tcW w:w="1208" w:type="dxa"/>
            <w:vAlign w:val="center"/>
          </w:tcPr>
          <w:p>
            <w:pPr>
              <w:widowControl/>
              <w:jc w:val="center"/>
              <w:textAlignment w:val="center"/>
              <w:rPr>
                <w:rFonts w:asciiTheme="minorEastAsia" w:hAnsiTheme="minorEastAsia" w:cstheme="minorEastAsia"/>
                <w:kern w:val="0"/>
                <w:szCs w:val="21"/>
                <w:lang w:bidi="ar"/>
              </w:rPr>
            </w:pPr>
          </w:p>
          <w:p>
            <w:pPr>
              <w:widowControl/>
              <w:jc w:val="center"/>
              <w:textAlignment w:val="center"/>
              <w:rPr>
                <w:rFonts w:asciiTheme="minorEastAsia" w:hAnsiTheme="minorEastAsia" w:cstheme="minorEastAsia"/>
                <w:kern w:val="0"/>
                <w:szCs w:val="21"/>
                <w:lang w:bidi="ar"/>
              </w:rPr>
            </w:pPr>
          </w:p>
          <w:p>
            <w:pPr>
              <w:widowControl/>
              <w:jc w:val="center"/>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质量</w:t>
            </w:r>
          </w:p>
        </w:tc>
        <w:tc>
          <w:tcPr>
            <w:tcW w:w="840" w:type="dxa"/>
            <w:vAlign w:val="center"/>
          </w:tcPr>
          <w:p>
            <w:pPr>
              <w:pStyle w:val="3"/>
              <w:ind w:firstLine="0" w:firstLineChars="0"/>
              <w:jc w:val="center"/>
              <w:rPr>
                <w:rFonts w:asciiTheme="minorEastAsia" w:hAnsiTheme="minorEastAsia" w:eastAsiaTheme="minorEastAsia" w:cstheme="minorEastAsia"/>
                <w:szCs w:val="21"/>
              </w:rPr>
            </w:pPr>
          </w:p>
          <w:p>
            <w:pPr>
              <w:pStyle w:val="3"/>
              <w:ind w:firstLine="0" w:firstLineChars="0"/>
              <w:jc w:val="center"/>
              <w:rPr>
                <w:rFonts w:asciiTheme="minorEastAsia" w:hAnsiTheme="minorEastAsia" w:eastAsiaTheme="minorEastAsia" w:cstheme="minorEastAsia"/>
                <w:szCs w:val="21"/>
              </w:rPr>
            </w:pPr>
          </w:p>
          <w:p>
            <w:pPr>
              <w:pStyle w:val="3"/>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w:t>
            </w:r>
          </w:p>
        </w:tc>
        <w:tc>
          <w:tcPr>
            <w:tcW w:w="3784" w:type="dxa"/>
            <w:vAlign w:val="center"/>
          </w:tcPr>
          <w:p>
            <w:pPr>
              <w:pStyle w:val="3"/>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从外观、厚度、密实度、工艺细节等综合比较：</w:t>
            </w:r>
          </w:p>
          <w:p>
            <w:pPr>
              <w:pStyle w:val="3"/>
              <w:numPr>
                <w:ilvl w:val="0"/>
                <w:numId w:val="23"/>
              </w:numPr>
              <w:ind w:hanging="36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黄铜闸阀</w:t>
            </w:r>
          </w:p>
          <w:p>
            <w:pPr>
              <w:pStyle w:val="3"/>
              <w:numPr>
                <w:ilvl w:val="0"/>
                <w:numId w:val="0"/>
              </w:numPr>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优得</w:t>
            </w:r>
            <w:r>
              <w:rPr>
                <w:rFonts w:asciiTheme="minorEastAsia" w:hAnsiTheme="minorEastAsia" w:eastAsiaTheme="minorEastAsia" w:cstheme="minorEastAsia"/>
                <w:szCs w:val="21"/>
              </w:rPr>
              <w:t>4</w:t>
            </w:r>
            <w:r>
              <w:rPr>
                <w:rFonts w:hint="eastAsia" w:asciiTheme="minorEastAsia" w:hAnsiTheme="minorEastAsia" w:eastAsiaTheme="minorEastAsia" w:cstheme="minorEastAsia"/>
                <w:szCs w:val="21"/>
              </w:rPr>
              <w:t>分，良好得</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分，一般得1分。</w:t>
            </w:r>
          </w:p>
          <w:p>
            <w:pPr>
              <w:pStyle w:val="3"/>
              <w:numPr>
                <w:ilvl w:val="0"/>
                <w:numId w:val="23"/>
              </w:numPr>
              <w:ind w:hanging="36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波纹管</w:t>
            </w:r>
          </w:p>
          <w:p>
            <w:pPr>
              <w:pStyle w:val="3"/>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优得</w:t>
            </w:r>
            <w:r>
              <w:rPr>
                <w:rFonts w:asciiTheme="minorEastAsia" w:hAnsiTheme="minorEastAsia" w:eastAsiaTheme="minorEastAsia" w:cstheme="minorEastAsia"/>
                <w:szCs w:val="21"/>
              </w:rPr>
              <w:t>4</w:t>
            </w:r>
            <w:r>
              <w:rPr>
                <w:rFonts w:hint="eastAsia" w:asciiTheme="minorEastAsia" w:hAnsiTheme="minorEastAsia" w:eastAsiaTheme="minorEastAsia" w:cstheme="minorEastAsia"/>
                <w:szCs w:val="21"/>
              </w:rPr>
              <w:t>分，良得</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分，一般得</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分。</w:t>
            </w:r>
          </w:p>
          <w:p>
            <w:pPr>
              <w:pStyle w:val="3"/>
              <w:numPr>
                <w:ilvl w:val="0"/>
                <w:numId w:val="23"/>
              </w:numPr>
              <w:ind w:hanging="36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保温棉</w:t>
            </w:r>
          </w:p>
          <w:p>
            <w:pPr>
              <w:pStyle w:val="3"/>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优得4分，良得</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分，一般得1分。</w:t>
            </w:r>
          </w:p>
          <w:p>
            <w:pPr>
              <w:pStyle w:val="3"/>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本项最高得1</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w:t>
            </w:r>
          </w:p>
        </w:tc>
        <w:tc>
          <w:tcPr>
            <w:tcW w:w="546" w:type="dxa"/>
            <w:vAlign w:val="center"/>
          </w:tcPr>
          <w:p>
            <w:pPr>
              <w:pStyle w:val="3"/>
              <w:spacing w:line="240" w:lineRule="exact"/>
              <w:ind w:firstLine="0" w:firstLineChars="0"/>
              <w:jc w:val="center"/>
              <w:rPr>
                <w:rFonts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 w:type="dxa"/>
            <w:vAlign w:val="center"/>
          </w:tcPr>
          <w:p>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9</w:t>
            </w:r>
          </w:p>
        </w:tc>
        <w:tc>
          <w:tcPr>
            <w:tcW w:w="1070" w:type="dxa"/>
            <w:vMerge w:val="restart"/>
            <w:vAlign w:val="center"/>
          </w:tcPr>
          <w:p>
            <w:pPr>
              <w:widowControl/>
              <w:jc w:val="center"/>
              <w:textAlignment w:val="center"/>
              <w:rPr>
                <w:rFonts w:ascii="Times New Roman" w:hAnsi="Times New Roman" w:eastAsia="宋体" w:cs="Times New Roman"/>
                <w:szCs w:val="21"/>
                <w:lang w:bidi="ar"/>
              </w:rPr>
            </w:pPr>
            <w:r>
              <w:rPr>
                <w:rFonts w:hint="eastAsia" w:ascii="宋体" w:hAnsi="宋体" w:eastAsia="宋体" w:cs="宋体"/>
                <w:b/>
                <w:kern w:val="0"/>
                <w:sz w:val="22"/>
                <w:szCs w:val="22"/>
                <w:lang w:bidi="ar"/>
              </w:rPr>
              <w:t>价格部分（</w:t>
            </w:r>
            <w:r>
              <w:rPr>
                <w:rFonts w:ascii="宋体" w:hAnsi="宋体" w:eastAsia="宋体" w:cs="宋体"/>
                <w:b/>
                <w:kern w:val="0"/>
                <w:sz w:val="22"/>
                <w:szCs w:val="22"/>
                <w:lang w:bidi="ar"/>
              </w:rPr>
              <w:t>7</w:t>
            </w:r>
            <w:r>
              <w:rPr>
                <w:rFonts w:hint="eastAsia" w:ascii="宋体" w:hAnsi="宋体" w:eastAsia="宋体" w:cs="宋体"/>
                <w:b/>
                <w:kern w:val="0"/>
                <w:sz w:val="22"/>
                <w:szCs w:val="22"/>
                <w:lang w:bidi="ar"/>
              </w:rPr>
              <w:t>0分）</w:t>
            </w:r>
          </w:p>
        </w:tc>
        <w:tc>
          <w:tcPr>
            <w:tcW w:w="1208" w:type="dxa"/>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lang w:bidi="ar"/>
              </w:rPr>
              <w:t>黄铜闸阀</w:t>
            </w:r>
          </w:p>
        </w:tc>
        <w:tc>
          <w:tcPr>
            <w:tcW w:w="840" w:type="dxa"/>
            <w:vAlign w:val="center"/>
          </w:tcPr>
          <w:p>
            <w:pPr>
              <w:pStyle w:val="3"/>
              <w:ind w:firstLine="0" w:firstLineChars="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10</w:t>
            </w:r>
            <w:r>
              <w:rPr>
                <w:rFonts w:hint="eastAsia" w:asciiTheme="minorEastAsia" w:hAnsiTheme="minorEastAsia" w:eastAsiaTheme="minorEastAsia" w:cstheme="minorEastAsia"/>
                <w:szCs w:val="21"/>
              </w:rPr>
              <w:t>分</w:t>
            </w:r>
          </w:p>
        </w:tc>
        <w:tc>
          <w:tcPr>
            <w:tcW w:w="3784" w:type="dxa"/>
            <w:vAlign w:val="center"/>
          </w:tcPr>
          <w:p>
            <w:pPr>
              <w:widowControl/>
              <w:ind w:firstLine="0" w:firstLineChars="0"/>
              <w:jc w:val="left"/>
              <w:textAlignment w:val="center"/>
              <w:rPr>
                <w:rFonts w:asciiTheme="minorEastAsia" w:hAnsiTheme="minorEastAsia" w:eastAsiaTheme="minorEastAsia" w:cstheme="minorEastAsia"/>
                <w:kern w:val="0"/>
                <w:szCs w:val="21"/>
                <w:lang w:bidi="ar"/>
              </w:rPr>
            </w:pPr>
            <w:r>
              <w:rPr>
                <w:rFonts w:hint="eastAsia" w:asciiTheme="minorEastAsia" w:hAnsiTheme="minorEastAsia" w:cstheme="minorEastAsia"/>
                <w:b/>
                <w:kern w:val="0"/>
                <w:sz w:val="24"/>
                <w:szCs w:val="21"/>
                <w:lang w:bidi="ar"/>
              </w:rPr>
              <w:t>以该项最低有效报价为评标基准价，</w:t>
            </w:r>
            <w:r>
              <w:rPr>
                <w:rFonts w:hint="eastAsia" w:ascii="宋体" w:hAnsi="宋体"/>
                <w:iCs/>
                <w:szCs w:val="21"/>
              </w:rPr>
              <w:t>当投标报价等于基准价时得满分</w:t>
            </w:r>
            <w:r>
              <w:rPr>
                <w:rFonts w:ascii="宋体" w:hAnsi="宋体"/>
                <w:iCs/>
                <w:szCs w:val="21"/>
              </w:rPr>
              <w:t>1</w:t>
            </w:r>
            <w:r>
              <w:rPr>
                <w:rFonts w:hint="eastAsia" w:ascii="宋体" w:hAnsi="宋体"/>
                <w:iCs/>
                <w:szCs w:val="21"/>
              </w:rPr>
              <w:t>0分；以评标基准价为基准，投标报价绝对值每高出1%扣</w:t>
            </w:r>
            <w:r>
              <w:rPr>
                <w:rFonts w:ascii="宋体" w:hAnsi="宋体"/>
                <w:iCs/>
                <w:szCs w:val="21"/>
              </w:rPr>
              <w:t>0.3</w:t>
            </w:r>
            <w:r>
              <w:rPr>
                <w:rFonts w:hint="eastAsia" w:ascii="宋体" w:hAnsi="宋体"/>
                <w:iCs/>
                <w:szCs w:val="21"/>
              </w:rPr>
              <w:t>分，扣到0分为止。（</w:t>
            </w:r>
            <w:r>
              <w:rPr>
                <w:rFonts w:hint="eastAsia" w:ascii="宋体" w:hAnsi="宋体"/>
                <w:b/>
                <w:iCs/>
                <w:sz w:val="24"/>
                <w:szCs w:val="21"/>
              </w:rPr>
              <w:t>偏差率</w:t>
            </w:r>
            <w:r>
              <w:rPr>
                <w:rFonts w:ascii="宋体" w:hAnsi="宋体"/>
                <w:b/>
                <w:iCs/>
                <w:sz w:val="24"/>
                <w:szCs w:val="21"/>
              </w:rPr>
              <w:t>=</w:t>
            </w:r>
            <w:r>
              <w:rPr>
                <w:rFonts w:hint="eastAsia" w:ascii="宋体" w:hAnsi="宋体"/>
                <w:b/>
                <w:iCs/>
                <w:sz w:val="24"/>
                <w:szCs w:val="21"/>
              </w:rPr>
              <w:t>（投标报价</w:t>
            </w:r>
            <w:r>
              <w:rPr>
                <w:rFonts w:ascii="宋体" w:hAnsi="宋体"/>
                <w:b/>
                <w:iCs/>
                <w:sz w:val="24"/>
                <w:szCs w:val="21"/>
              </w:rPr>
              <w:t>-</w:t>
            </w:r>
            <w:r>
              <w:rPr>
                <w:rFonts w:hint="eastAsia" w:ascii="宋体" w:hAnsi="宋体"/>
                <w:b/>
                <w:iCs/>
                <w:sz w:val="24"/>
                <w:szCs w:val="21"/>
              </w:rPr>
              <w:t>评标基准价）</w:t>
            </w:r>
            <w:r>
              <w:rPr>
                <w:rFonts w:ascii="宋体" w:hAnsi="宋体"/>
                <w:b/>
                <w:iCs/>
                <w:sz w:val="24"/>
                <w:szCs w:val="21"/>
              </w:rPr>
              <w:t>/</w:t>
            </w:r>
            <w:r>
              <w:rPr>
                <w:rFonts w:hint="eastAsia" w:ascii="宋体" w:hAnsi="宋体"/>
                <w:b/>
                <w:iCs/>
                <w:sz w:val="24"/>
                <w:szCs w:val="21"/>
              </w:rPr>
              <w:t>评标基准价</w:t>
            </w:r>
            <w:r>
              <w:rPr>
                <w:rFonts w:ascii="宋体" w:hAnsi="宋体"/>
                <w:b/>
                <w:iCs/>
                <w:sz w:val="24"/>
                <w:szCs w:val="21"/>
              </w:rPr>
              <w:t>*100%</w:t>
            </w:r>
            <w:r>
              <w:rPr>
                <w:rFonts w:hint="eastAsia" w:ascii="宋体" w:hAnsi="宋体"/>
                <w:b/>
                <w:iCs/>
                <w:sz w:val="24"/>
                <w:szCs w:val="21"/>
              </w:rPr>
              <w:t>，偏差率四舍五入保留</w:t>
            </w:r>
            <w:r>
              <w:rPr>
                <w:rFonts w:ascii="宋体" w:hAnsi="宋体"/>
                <w:b/>
                <w:iCs/>
                <w:sz w:val="24"/>
                <w:szCs w:val="21"/>
              </w:rPr>
              <w:t>2</w:t>
            </w:r>
            <w:r>
              <w:rPr>
                <w:rFonts w:hint="eastAsia" w:ascii="宋体" w:hAnsi="宋体"/>
                <w:b/>
                <w:iCs/>
                <w:sz w:val="24"/>
                <w:szCs w:val="21"/>
              </w:rPr>
              <w:t>位小数，所有不足</w:t>
            </w:r>
            <w:r>
              <w:rPr>
                <w:rFonts w:ascii="宋体" w:hAnsi="宋体"/>
                <w:b/>
                <w:iCs/>
                <w:sz w:val="24"/>
                <w:szCs w:val="21"/>
              </w:rPr>
              <w:t>1%</w:t>
            </w:r>
            <w:r>
              <w:rPr>
                <w:rFonts w:hint="eastAsia" w:ascii="宋体" w:hAnsi="宋体"/>
                <w:b/>
                <w:iCs/>
                <w:sz w:val="24"/>
                <w:szCs w:val="21"/>
              </w:rPr>
              <w:t>的差价按插值法计算。）</w:t>
            </w:r>
          </w:p>
        </w:tc>
        <w:tc>
          <w:tcPr>
            <w:tcW w:w="546" w:type="dxa"/>
            <w:vAlign w:val="center"/>
          </w:tcPr>
          <w:p>
            <w:pPr>
              <w:pStyle w:val="3"/>
              <w:spacing w:line="240" w:lineRule="exact"/>
              <w:ind w:firstLine="0" w:firstLineChars="0"/>
              <w:jc w:val="center"/>
              <w:rPr>
                <w:rFonts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 w:type="dxa"/>
            <w:vAlign w:val="center"/>
          </w:tcPr>
          <w:p>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10</w:t>
            </w:r>
          </w:p>
        </w:tc>
        <w:tc>
          <w:tcPr>
            <w:tcW w:w="1070" w:type="dxa"/>
            <w:vMerge w:val="continue"/>
            <w:vAlign w:val="center"/>
          </w:tcPr>
          <w:p>
            <w:pPr>
              <w:widowControl/>
              <w:jc w:val="center"/>
              <w:textAlignment w:val="center"/>
              <w:rPr>
                <w:rFonts w:hAnsi="Times New Roman" w:eastAsia="宋体"/>
                <w:szCs w:val="21"/>
              </w:rPr>
            </w:pPr>
          </w:p>
        </w:tc>
        <w:tc>
          <w:tcPr>
            <w:tcW w:w="1208" w:type="dxa"/>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lang w:bidi="ar"/>
              </w:rPr>
              <w:t>波纹管</w:t>
            </w:r>
          </w:p>
        </w:tc>
        <w:tc>
          <w:tcPr>
            <w:tcW w:w="840" w:type="dxa"/>
            <w:vAlign w:val="center"/>
          </w:tcPr>
          <w:p>
            <w:pPr>
              <w:pStyle w:val="3"/>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35分</w:t>
            </w:r>
          </w:p>
        </w:tc>
        <w:tc>
          <w:tcPr>
            <w:tcW w:w="3784" w:type="dxa"/>
            <w:vAlign w:val="center"/>
          </w:tcPr>
          <w:p>
            <w:pPr>
              <w:widowControl/>
              <w:ind w:firstLine="0" w:firstLineChars="0"/>
              <w:jc w:val="left"/>
              <w:textAlignment w:val="center"/>
              <w:rPr>
                <w:rFonts w:asciiTheme="minorEastAsia" w:hAnsiTheme="minorEastAsia" w:cstheme="minorEastAsia"/>
                <w:szCs w:val="21"/>
              </w:rPr>
            </w:pPr>
            <w:r>
              <w:rPr>
                <w:rFonts w:hint="eastAsia" w:asciiTheme="minorEastAsia" w:hAnsiTheme="minorEastAsia" w:cstheme="minorEastAsia"/>
                <w:kern w:val="0"/>
                <w:szCs w:val="21"/>
                <w:lang w:bidi="ar"/>
              </w:rPr>
              <w:t>以该项最低有效报价为评标基准价，</w:t>
            </w:r>
            <w:r>
              <w:rPr>
                <w:rFonts w:hint="eastAsia" w:asciiTheme="minorEastAsia" w:hAnsiTheme="minorEastAsia" w:cstheme="minorEastAsia"/>
                <w:iCs/>
                <w:kern w:val="0"/>
                <w:szCs w:val="21"/>
                <w:lang w:bidi="ar"/>
              </w:rPr>
              <w:t>当投标报价等于基准价时得满分</w:t>
            </w:r>
            <w:r>
              <w:rPr>
                <w:rFonts w:asciiTheme="minorEastAsia" w:hAnsiTheme="minorEastAsia" w:cstheme="minorEastAsia"/>
                <w:kern w:val="0"/>
                <w:szCs w:val="21"/>
                <w:lang w:bidi="ar"/>
              </w:rPr>
              <w:t>35</w:t>
            </w:r>
            <w:r>
              <w:rPr>
                <w:rFonts w:hint="eastAsia" w:asciiTheme="minorEastAsia" w:hAnsiTheme="minorEastAsia" w:cstheme="minorEastAsia"/>
                <w:iCs/>
                <w:kern w:val="0"/>
                <w:szCs w:val="21"/>
                <w:lang w:bidi="ar"/>
              </w:rPr>
              <w:t>分；以评标基准价为基准，投标报价绝对值每高出1%扣</w:t>
            </w:r>
            <w:r>
              <w:rPr>
                <w:rFonts w:asciiTheme="minorEastAsia" w:hAnsiTheme="minorEastAsia" w:cstheme="minorEastAsia"/>
                <w:iCs/>
                <w:kern w:val="0"/>
                <w:szCs w:val="21"/>
                <w:lang w:bidi="ar"/>
              </w:rPr>
              <w:t>0.3</w:t>
            </w:r>
            <w:r>
              <w:rPr>
                <w:rFonts w:hint="eastAsia" w:asciiTheme="minorEastAsia" w:hAnsiTheme="minorEastAsia" w:cstheme="minorEastAsia"/>
                <w:iCs/>
                <w:kern w:val="0"/>
                <w:szCs w:val="21"/>
                <w:lang w:bidi="ar"/>
              </w:rPr>
              <w:t>分，扣到0分为止。（偏差率</w:t>
            </w:r>
            <w:r>
              <w:rPr>
                <w:rFonts w:asciiTheme="minorEastAsia" w:hAnsiTheme="minorEastAsia" w:cstheme="minorEastAsia"/>
                <w:iCs/>
                <w:kern w:val="0"/>
                <w:szCs w:val="21"/>
                <w:lang w:bidi="ar"/>
              </w:rPr>
              <w:t>=</w:t>
            </w:r>
            <w:r>
              <w:rPr>
                <w:rFonts w:hint="eastAsia" w:asciiTheme="minorEastAsia" w:hAnsiTheme="minorEastAsia" w:cstheme="minorEastAsia"/>
                <w:iCs/>
                <w:kern w:val="0"/>
                <w:szCs w:val="21"/>
                <w:lang w:bidi="ar"/>
              </w:rPr>
              <w:t>（投标报价</w:t>
            </w:r>
            <w:r>
              <w:rPr>
                <w:rFonts w:asciiTheme="minorEastAsia" w:hAnsiTheme="minorEastAsia" w:cstheme="minorEastAsia"/>
                <w:iCs/>
                <w:kern w:val="0"/>
                <w:szCs w:val="21"/>
                <w:lang w:bidi="ar"/>
              </w:rPr>
              <w:t>-</w:t>
            </w:r>
            <w:r>
              <w:rPr>
                <w:rFonts w:hint="eastAsia" w:asciiTheme="minorEastAsia" w:hAnsiTheme="minorEastAsia" w:cstheme="minorEastAsia"/>
                <w:iCs/>
                <w:kern w:val="0"/>
                <w:szCs w:val="21"/>
                <w:lang w:bidi="ar"/>
              </w:rPr>
              <w:t>评标基准价）</w:t>
            </w:r>
            <w:r>
              <w:rPr>
                <w:rFonts w:asciiTheme="minorEastAsia" w:hAnsiTheme="minorEastAsia" w:cstheme="minorEastAsia"/>
                <w:iCs/>
                <w:kern w:val="0"/>
                <w:szCs w:val="21"/>
                <w:lang w:bidi="ar"/>
              </w:rPr>
              <w:t>/</w:t>
            </w:r>
            <w:r>
              <w:rPr>
                <w:rFonts w:hint="eastAsia" w:asciiTheme="minorEastAsia" w:hAnsiTheme="minorEastAsia" w:cstheme="minorEastAsia"/>
                <w:iCs/>
                <w:kern w:val="0"/>
                <w:szCs w:val="21"/>
                <w:lang w:bidi="ar"/>
              </w:rPr>
              <w:t>评标基准价</w:t>
            </w:r>
            <w:r>
              <w:rPr>
                <w:rFonts w:asciiTheme="minorEastAsia" w:hAnsiTheme="minorEastAsia" w:cstheme="minorEastAsia"/>
                <w:iCs/>
                <w:kern w:val="0"/>
                <w:szCs w:val="21"/>
                <w:lang w:bidi="ar"/>
              </w:rPr>
              <w:t>*100%</w:t>
            </w:r>
            <w:r>
              <w:rPr>
                <w:rFonts w:hint="eastAsia" w:asciiTheme="minorEastAsia" w:hAnsiTheme="minorEastAsia" w:cstheme="minorEastAsia"/>
                <w:iCs/>
                <w:kern w:val="0"/>
                <w:szCs w:val="21"/>
                <w:lang w:bidi="ar"/>
              </w:rPr>
              <w:t>，偏差率四舍五入保留</w:t>
            </w:r>
            <w:r>
              <w:rPr>
                <w:rFonts w:asciiTheme="minorEastAsia" w:hAnsiTheme="minorEastAsia" w:cstheme="minorEastAsia"/>
                <w:iCs/>
                <w:kern w:val="0"/>
                <w:szCs w:val="21"/>
                <w:lang w:bidi="ar"/>
              </w:rPr>
              <w:t>2</w:t>
            </w:r>
            <w:r>
              <w:rPr>
                <w:rFonts w:hint="eastAsia" w:asciiTheme="minorEastAsia" w:hAnsiTheme="minorEastAsia" w:cstheme="minorEastAsia"/>
                <w:iCs/>
                <w:kern w:val="0"/>
                <w:szCs w:val="21"/>
                <w:lang w:bidi="ar"/>
              </w:rPr>
              <w:t>位小数，所有不足</w:t>
            </w:r>
            <w:r>
              <w:rPr>
                <w:rFonts w:asciiTheme="minorEastAsia" w:hAnsiTheme="minorEastAsia" w:cstheme="minorEastAsia"/>
                <w:iCs/>
                <w:kern w:val="0"/>
                <w:szCs w:val="21"/>
                <w:lang w:bidi="ar"/>
              </w:rPr>
              <w:t>1%</w:t>
            </w:r>
            <w:r>
              <w:rPr>
                <w:rFonts w:hint="eastAsia" w:asciiTheme="minorEastAsia" w:hAnsiTheme="minorEastAsia" w:cstheme="minorEastAsia"/>
                <w:iCs/>
                <w:kern w:val="0"/>
                <w:szCs w:val="21"/>
                <w:lang w:bidi="ar"/>
              </w:rPr>
              <w:t>的差价按插值法计算。）</w:t>
            </w:r>
          </w:p>
        </w:tc>
        <w:tc>
          <w:tcPr>
            <w:tcW w:w="546" w:type="dxa"/>
            <w:vAlign w:val="center"/>
          </w:tcPr>
          <w:p>
            <w:pPr>
              <w:pStyle w:val="3"/>
              <w:spacing w:line="240" w:lineRule="exact"/>
              <w:ind w:firstLine="0" w:firstLineChars="0"/>
              <w:jc w:val="center"/>
              <w:rPr>
                <w:rFonts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 w:type="dxa"/>
            <w:vAlign w:val="center"/>
          </w:tcPr>
          <w:p>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11</w:t>
            </w:r>
          </w:p>
        </w:tc>
        <w:tc>
          <w:tcPr>
            <w:tcW w:w="1070" w:type="dxa"/>
            <w:vMerge w:val="continue"/>
            <w:vAlign w:val="center"/>
          </w:tcPr>
          <w:p>
            <w:pPr>
              <w:widowControl/>
              <w:jc w:val="center"/>
              <w:textAlignment w:val="center"/>
              <w:rPr>
                <w:rFonts w:hAnsi="Times New Roman" w:eastAsia="宋体"/>
                <w:szCs w:val="21"/>
              </w:rPr>
            </w:pPr>
          </w:p>
        </w:tc>
        <w:tc>
          <w:tcPr>
            <w:tcW w:w="1208" w:type="dxa"/>
            <w:vAlign w:val="center"/>
          </w:tcPr>
          <w:p>
            <w:pPr>
              <w:widowControl/>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保温棉</w:t>
            </w:r>
          </w:p>
        </w:tc>
        <w:tc>
          <w:tcPr>
            <w:tcW w:w="840" w:type="dxa"/>
            <w:vAlign w:val="center"/>
          </w:tcPr>
          <w:p>
            <w:pPr>
              <w:pStyle w:val="3"/>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分</w:t>
            </w:r>
          </w:p>
        </w:tc>
        <w:tc>
          <w:tcPr>
            <w:tcW w:w="3784" w:type="dxa"/>
            <w:vAlign w:val="center"/>
          </w:tcPr>
          <w:p>
            <w:pPr>
              <w:widowControl/>
              <w:ind w:firstLine="0" w:firstLineChars="0"/>
              <w:jc w:val="left"/>
              <w:textAlignment w:val="center"/>
              <w:rPr>
                <w:rFonts w:asciiTheme="minorEastAsia" w:hAnsiTheme="minorEastAsia" w:cstheme="minorEastAsia"/>
                <w:szCs w:val="21"/>
              </w:rPr>
            </w:pPr>
            <w:r>
              <w:rPr>
                <w:rFonts w:hint="eastAsia" w:asciiTheme="minorEastAsia" w:hAnsiTheme="minorEastAsia" w:cstheme="minorEastAsia"/>
                <w:kern w:val="0"/>
                <w:szCs w:val="21"/>
                <w:lang w:bidi="ar"/>
              </w:rPr>
              <w:t>以该项最低有效报价为评标基准价，</w:t>
            </w:r>
            <w:r>
              <w:rPr>
                <w:rFonts w:hint="eastAsia" w:asciiTheme="minorEastAsia" w:hAnsiTheme="minorEastAsia" w:cstheme="minorEastAsia"/>
                <w:iCs/>
                <w:kern w:val="0"/>
                <w:szCs w:val="21"/>
                <w:lang w:bidi="ar"/>
              </w:rPr>
              <w:t>当投标报价等于基准价时得满分</w:t>
            </w:r>
            <w:r>
              <w:rPr>
                <w:rFonts w:asciiTheme="minorEastAsia" w:hAnsiTheme="minorEastAsia" w:cstheme="minorEastAsia"/>
                <w:kern w:val="0"/>
                <w:szCs w:val="21"/>
                <w:lang w:bidi="ar"/>
              </w:rPr>
              <w:t>25</w:t>
            </w:r>
            <w:r>
              <w:rPr>
                <w:rFonts w:hint="eastAsia" w:asciiTheme="minorEastAsia" w:hAnsiTheme="minorEastAsia" w:cstheme="minorEastAsia"/>
                <w:iCs/>
                <w:kern w:val="0"/>
                <w:szCs w:val="21"/>
                <w:lang w:bidi="ar"/>
              </w:rPr>
              <w:t>分；以评标基准价为基准，投标报价绝对值每高出1%扣</w:t>
            </w:r>
            <w:r>
              <w:rPr>
                <w:rFonts w:asciiTheme="minorEastAsia" w:hAnsiTheme="minorEastAsia" w:cstheme="minorEastAsia"/>
                <w:iCs/>
                <w:kern w:val="0"/>
                <w:szCs w:val="21"/>
                <w:lang w:bidi="ar"/>
              </w:rPr>
              <w:t>0.3</w:t>
            </w:r>
            <w:r>
              <w:rPr>
                <w:rFonts w:hint="eastAsia" w:asciiTheme="minorEastAsia" w:hAnsiTheme="minorEastAsia" w:cstheme="minorEastAsia"/>
                <w:iCs/>
                <w:kern w:val="0"/>
                <w:szCs w:val="21"/>
                <w:lang w:bidi="ar"/>
              </w:rPr>
              <w:t>分，扣到0分为止。（偏差率</w:t>
            </w:r>
            <w:r>
              <w:rPr>
                <w:rFonts w:asciiTheme="minorEastAsia" w:hAnsiTheme="minorEastAsia" w:cstheme="minorEastAsia"/>
                <w:iCs/>
                <w:kern w:val="0"/>
                <w:szCs w:val="21"/>
                <w:lang w:bidi="ar"/>
              </w:rPr>
              <w:t>=</w:t>
            </w:r>
            <w:r>
              <w:rPr>
                <w:rFonts w:hint="eastAsia" w:asciiTheme="minorEastAsia" w:hAnsiTheme="minorEastAsia" w:cstheme="minorEastAsia"/>
                <w:iCs/>
                <w:kern w:val="0"/>
                <w:szCs w:val="21"/>
                <w:lang w:bidi="ar"/>
              </w:rPr>
              <w:t>（投标报价</w:t>
            </w:r>
            <w:r>
              <w:rPr>
                <w:rFonts w:asciiTheme="minorEastAsia" w:hAnsiTheme="minorEastAsia" w:cstheme="minorEastAsia"/>
                <w:iCs/>
                <w:kern w:val="0"/>
                <w:szCs w:val="21"/>
                <w:lang w:bidi="ar"/>
              </w:rPr>
              <w:t>-</w:t>
            </w:r>
            <w:r>
              <w:rPr>
                <w:rFonts w:hint="eastAsia" w:asciiTheme="minorEastAsia" w:hAnsiTheme="minorEastAsia" w:cstheme="minorEastAsia"/>
                <w:iCs/>
                <w:kern w:val="0"/>
                <w:szCs w:val="21"/>
                <w:lang w:bidi="ar"/>
              </w:rPr>
              <w:t>评标基准价）</w:t>
            </w:r>
            <w:r>
              <w:rPr>
                <w:rFonts w:asciiTheme="minorEastAsia" w:hAnsiTheme="minorEastAsia" w:cstheme="minorEastAsia"/>
                <w:iCs/>
                <w:kern w:val="0"/>
                <w:szCs w:val="21"/>
                <w:lang w:bidi="ar"/>
              </w:rPr>
              <w:t>/</w:t>
            </w:r>
            <w:r>
              <w:rPr>
                <w:rFonts w:hint="eastAsia" w:asciiTheme="minorEastAsia" w:hAnsiTheme="minorEastAsia" w:cstheme="minorEastAsia"/>
                <w:iCs/>
                <w:kern w:val="0"/>
                <w:szCs w:val="21"/>
                <w:lang w:bidi="ar"/>
              </w:rPr>
              <w:t>评标基准价</w:t>
            </w:r>
            <w:r>
              <w:rPr>
                <w:rFonts w:asciiTheme="minorEastAsia" w:hAnsiTheme="minorEastAsia" w:cstheme="minorEastAsia"/>
                <w:iCs/>
                <w:kern w:val="0"/>
                <w:szCs w:val="21"/>
                <w:lang w:bidi="ar"/>
              </w:rPr>
              <w:t>*100%</w:t>
            </w:r>
            <w:r>
              <w:rPr>
                <w:rFonts w:hint="eastAsia" w:asciiTheme="minorEastAsia" w:hAnsiTheme="minorEastAsia" w:cstheme="minorEastAsia"/>
                <w:iCs/>
                <w:kern w:val="0"/>
                <w:szCs w:val="21"/>
                <w:lang w:bidi="ar"/>
              </w:rPr>
              <w:t>，偏差率四舍五入保留</w:t>
            </w:r>
            <w:r>
              <w:rPr>
                <w:rFonts w:asciiTheme="minorEastAsia" w:hAnsiTheme="minorEastAsia" w:cstheme="minorEastAsia"/>
                <w:iCs/>
                <w:kern w:val="0"/>
                <w:szCs w:val="21"/>
                <w:lang w:bidi="ar"/>
              </w:rPr>
              <w:t>2</w:t>
            </w:r>
            <w:r>
              <w:rPr>
                <w:rFonts w:hint="eastAsia" w:asciiTheme="minorEastAsia" w:hAnsiTheme="minorEastAsia" w:cstheme="minorEastAsia"/>
                <w:iCs/>
                <w:kern w:val="0"/>
                <w:szCs w:val="21"/>
                <w:lang w:bidi="ar"/>
              </w:rPr>
              <w:t>位小数，所有不足</w:t>
            </w:r>
            <w:r>
              <w:rPr>
                <w:rFonts w:asciiTheme="minorEastAsia" w:hAnsiTheme="minorEastAsia" w:cstheme="minorEastAsia"/>
                <w:iCs/>
                <w:kern w:val="0"/>
                <w:szCs w:val="21"/>
                <w:lang w:bidi="ar"/>
              </w:rPr>
              <w:t>1%</w:t>
            </w:r>
            <w:r>
              <w:rPr>
                <w:rFonts w:hint="eastAsia" w:asciiTheme="minorEastAsia" w:hAnsiTheme="minorEastAsia" w:cstheme="minorEastAsia"/>
                <w:iCs/>
                <w:kern w:val="0"/>
                <w:szCs w:val="21"/>
                <w:lang w:bidi="ar"/>
              </w:rPr>
              <w:t>的差价按插值法计算。）</w:t>
            </w:r>
          </w:p>
        </w:tc>
        <w:tc>
          <w:tcPr>
            <w:tcW w:w="546" w:type="dxa"/>
            <w:vAlign w:val="center"/>
          </w:tcPr>
          <w:p>
            <w:pPr>
              <w:pStyle w:val="3"/>
              <w:spacing w:line="240" w:lineRule="exact"/>
              <w:ind w:firstLine="0" w:firstLineChars="0"/>
              <w:jc w:val="center"/>
              <w:rPr>
                <w:rFonts w:hAnsi="Times New Roman" w:eastAsia="宋体"/>
                <w:szCs w:val="21"/>
              </w:rPr>
            </w:pPr>
          </w:p>
        </w:tc>
      </w:tr>
    </w:tbl>
    <w:p>
      <w:pPr>
        <w:spacing w:line="40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rPr>
        <w:lang w:val="zh-CN"/>
      </w:rPr>
      <w:t>2</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EC091D"/>
    <w:multiLevelType w:val="singleLevel"/>
    <w:tmpl w:val="A9EC091D"/>
    <w:lvl w:ilvl="0" w:tentative="0">
      <w:start w:val="1"/>
      <w:numFmt w:val="decimal"/>
      <w:suff w:val="nothing"/>
      <w:lvlText w:val="%1、"/>
      <w:lvlJc w:val="left"/>
    </w:lvl>
  </w:abstractNum>
  <w:abstractNum w:abstractNumId="1">
    <w:nsid w:val="B24B9000"/>
    <w:multiLevelType w:val="singleLevel"/>
    <w:tmpl w:val="B24B9000"/>
    <w:lvl w:ilvl="0" w:tentative="0">
      <w:start w:val="1"/>
      <w:numFmt w:val="decimal"/>
      <w:suff w:val="nothing"/>
      <w:lvlText w:val="%1、"/>
      <w:lvlJc w:val="left"/>
    </w:lvl>
  </w:abstractNum>
  <w:abstractNum w:abstractNumId="2">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3">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6">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7">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8">
    <w:nsid w:val="2B9CA986"/>
    <w:multiLevelType w:val="singleLevel"/>
    <w:tmpl w:val="2B9CA986"/>
    <w:lvl w:ilvl="0" w:tentative="0">
      <w:start w:val="1"/>
      <w:numFmt w:val="chineseCounting"/>
      <w:suff w:val="nothing"/>
      <w:lvlText w:val="（%1）"/>
      <w:lvlJc w:val="left"/>
      <w:rPr>
        <w:rFonts w:hint="eastAsia"/>
      </w:rPr>
    </w:lvl>
  </w:abstractNum>
  <w:abstractNum w:abstractNumId="9">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0">
    <w:nsid w:val="32CE4F7B"/>
    <w:multiLevelType w:val="multilevel"/>
    <w:tmpl w:val="32CE4F7B"/>
    <w:lvl w:ilvl="0" w:tentative="0">
      <w:start w:val="1"/>
      <w:numFmt w:val="decimalEnclosedCircle"/>
      <w:lvlText w:val="%1"/>
      <w:lvlJc w:val="left"/>
      <w:pPr>
        <w:ind w:left="360" w:hanging="360"/>
      </w:pPr>
      <w:rPr>
        <w:rFonts w:hint="default" w:ascii="仿宋" w:hAnsi="仿宋" w:eastAsia="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2">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3">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6">
    <w:nsid w:val="658D1746"/>
    <w:multiLevelType w:val="multilevel"/>
    <w:tmpl w:val="658D17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8">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9">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0">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1">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2">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7"/>
  </w:num>
  <w:num w:numId="2">
    <w:abstractNumId w:val="8"/>
  </w:num>
  <w:num w:numId="3">
    <w:abstractNumId w:val="5"/>
  </w:num>
  <w:num w:numId="4">
    <w:abstractNumId w:val="19"/>
  </w:num>
  <w:num w:numId="5">
    <w:abstractNumId w:val="9"/>
  </w:num>
  <w:num w:numId="6">
    <w:abstractNumId w:val="4"/>
  </w:num>
  <w:num w:numId="7">
    <w:abstractNumId w:val="7"/>
  </w:num>
  <w:num w:numId="8">
    <w:abstractNumId w:val="6"/>
  </w:num>
  <w:num w:numId="9">
    <w:abstractNumId w:val="21"/>
  </w:num>
  <w:num w:numId="10">
    <w:abstractNumId w:val="20"/>
  </w:num>
  <w:num w:numId="11">
    <w:abstractNumId w:val="10"/>
  </w:num>
  <w:num w:numId="12">
    <w:abstractNumId w:val="22"/>
  </w:num>
  <w:num w:numId="13">
    <w:abstractNumId w:val="1"/>
  </w:num>
  <w:num w:numId="14">
    <w:abstractNumId w:val="3"/>
  </w:num>
  <w:num w:numId="15">
    <w:abstractNumId w:val="15"/>
  </w:num>
  <w:num w:numId="16">
    <w:abstractNumId w:val="18"/>
  </w:num>
  <w:num w:numId="17">
    <w:abstractNumId w:val="12"/>
  </w:num>
  <w:num w:numId="18">
    <w:abstractNumId w:val="11"/>
  </w:num>
  <w:num w:numId="19">
    <w:abstractNumId w:val="2"/>
  </w:num>
  <w:num w:numId="20">
    <w:abstractNumId w:val="14"/>
  </w:num>
  <w:num w:numId="21">
    <w:abstractNumId w:val="13"/>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E6"/>
    <w:rsid w:val="000200E3"/>
    <w:rsid w:val="00030AF6"/>
    <w:rsid w:val="00046D9C"/>
    <w:rsid w:val="00047FE3"/>
    <w:rsid w:val="0005457A"/>
    <w:rsid w:val="00054CF5"/>
    <w:rsid w:val="00055462"/>
    <w:rsid w:val="00066EB5"/>
    <w:rsid w:val="000704AC"/>
    <w:rsid w:val="000775B8"/>
    <w:rsid w:val="00077870"/>
    <w:rsid w:val="00082426"/>
    <w:rsid w:val="0008426A"/>
    <w:rsid w:val="00084C86"/>
    <w:rsid w:val="00084FC8"/>
    <w:rsid w:val="00092026"/>
    <w:rsid w:val="000A7FD6"/>
    <w:rsid w:val="000E1D77"/>
    <w:rsid w:val="000E6DAD"/>
    <w:rsid w:val="00115AC9"/>
    <w:rsid w:val="00121884"/>
    <w:rsid w:val="00121899"/>
    <w:rsid w:val="001252F0"/>
    <w:rsid w:val="0012777B"/>
    <w:rsid w:val="00130FCB"/>
    <w:rsid w:val="00131D18"/>
    <w:rsid w:val="001360AA"/>
    <w:rsid w:val="00137CEA"/>
    <w:rsid w:val="00151472"/>
    <w:rsid w:val="00153BAF"/>
    <w:rsid w:val="00155E93"/>
    <w:rsid w:val="00160670"/>
    <w:rsid w:val="0016226C"/>
    <w:rsid w:val="00162D76"/>
    <w:rsid w:val="001677BC"/>
    <w:rsid w:val="00167995"/>
    <w:rsid w:val="00172A27"/>
    <w:rsid w:val="0017662E"/>
    <w:rsid w:val="00177DB2"/>
    <w:rsid w:val="001801ED"/>
    <w:rsid w:val="0019317C"/>
    <w:rsid w:val="001A0832"/>
    <w:rsid w:val="001B7A9B"/>
    <w:rsid w:val="001C7C24"/>
    <w:rsid w:val="001D06F3"/>
    <w:rsid w:val="001E5C32"/>
    <w:rsid w:val="001E713A"/>
    <w:rsid w:val="001F1A96"/>
    <w:rsid w:val="001F3443"/>
    <w:rsid w:val="001F3FA4"/>
    <w:rsid w:val="001F6730"/>
    <w:rsid w:val="00204CDD"/>
    <w:rsid w:val="0020724D"/>
    <w:rsid w:val="00211957"/>
    <w:rsid w:val="00212346"/>
    <w:rsid w:val="00213918"/>
    <w:rsid w:val="00213F62"/>
    <w:rsid w:val="002266D2"/>
    <w:rsid w:val="00236EFF"/>
    <w:rsid w:val="002371AD"/>
    <w:rsid w:val="0023759D"/>
    <w:rsid w:val="002560DB"/>
    <w:rsid w:val="00257A0B"/>
    <w:rsid w:val="00270BE6"/>
    <w:rsid w:val="00282C8D"/>
    <w:rsid w:val="00285ABD"/>
    <w:rsid w:val="00286B34"/>
    <w:rsid w:val="002A03FC"/>
    <w:rsid w:val="002B7918"/>
    <w:rsid w:val="002C14E6"/>
    <w:rsid w:val="002C2B28"/>
    <w:rsid w:val="002E359A"/>
    <w:rsid w:val="002E521C"/>
    <w:rsid w:val="002E6ABB"/>
    <w:rsid w:val="002F00B5"/>
    <w:rsid w:val="002F1276"/>
    <w:rsid w:val="002F440E"/>
    <w:rsid w:val="002F4FBD"/>
    <w:rsid w:val="002F5659"/>
    <w:rsid w:val="00304259"/>
    <w:rsid w:val="00304742"/>
    <w:rsid w:val="003121F4"/>
    <w:rsid w:val="0032748F"/>
    <w:rsid w:val="0032772B"/>
    <w:rsid w:val="00330308"/>
    <w:rsid w:val="00340950"/>
    <w:rsid w:val="003460DC"/>
    <w:rsid w:val="00357EF0"/>
    <w:rsid w:val="00372405"/>
    <w:rsid w:val="00384CAE"/>
    <w:rsid w:val="00387670"/>
    <w:rsid w:val="003A5CA3"/>
    <w:rsid w:val="003B412E"/>
    <w:rsid w:val="003C52A8"/>
    <w:rsid w:val="003D27BC"/>
    <w:rsid w:val="003D2BCE"/>
    <w:rsid w:val="003D691C"/>
    <w:rsid w:val="003E4F57"/>
    <w:rsid w:val="003E7E90"/>
    <w:rsid w:val="00402245"/>
    <w:rsid w:val="004048A2"/>
    <w:rsid w:val="00406C52"/>
    <w:rsid w:val="00406C5C"/>
    <w:rsid w:val="0041263D"/>
    <w:rsid w:val="004169BF"/>
    <w:rsid w:val="00421963"/>
    <w:rsid w:val="00435187"/>
    <w:rsid w:val="0044104F"/>
    <w:rsid w:val="00443DDA"/>
    <w:rsid w:val="00453C2A"/>
    <w:rsid w:val="00466D47"/>
    <w:rsid w:val="00470BC1"/>
    <w:rsid w:val="00470DDE"/>
    <w:rsid w:val="0047190A"/>
    <w:rsid w:val="00473BBC"/>
    <w:rsid w:val="00474B2B"/>
    <w:rsid w:val="004756AD"/>
    <w:rsid w:val="00475E8E"/>
    <w:rsid w:val="00476C0F"/>
    <w:rsid w:val="00484174"/>
    <w:rsid w:val="00493C7F"/>
    <w:rsid w:val="00493E2D"/>
    <w:rsid w:val="004A0D1C"/>
    <w:rsid w:val="004A7756"/>
    <w:rsid w:val="004B0028"/>
    <w:rsid w:val="004B11D7"/>
    <w:rsid w:val="004C14CD"/>
    <w:rsid w:val="004C5103"/>
    <w:rsid w:val="004D41D6"/>
    <w:rsid w:val="004E5EC9"/>
    <w:rsid w:val="004E5FDB"/>
    <w:rsid w:val="004F2909"/>
    <w:rsid w:val="004F36BB"/>
    <w:rsid w:val="004F45E1"/>
    <w:rsid w:val="00501A8A"/>
    <w:rsid w:val="005033BB"/>
    <w:rsid w:val="00506678"/>
    <w:rsid w:val="0051163D"/>
    <w:rsid w:val="0051538D"/>
    <w:rsid w:val="0052123E"/>
    <w:rsid w:val="00527BD6"/>
    <w:rsid w:val="005302D5"/>
    <w:rsid w:val="005311B9"/>
    <w:rsid w:val="00534358"/>
    <w:rsid w:val="00535149"/>
    <w:rsid w:val="00536A76"/>
    <w:rsid w:val="0054253B"/>
    <w:rsid w:val="005475E5"/>
    <w:rsid w:val="00552EEE"/>
    <w:rsid w:val="00562A90"/>
    <w:rsid w:val="005700B9"/>
    <w:rsid w:val="00574762"/>
    <w:rsid w:val="00581C83"/>
    <w:rsid w:val="005859B1"/>
    <w:rsid w:val="0059354F"/>
    <w:rsid w:val="0059690E"/>
    <w:rsid w:val="005A2B85"/>
    <w:rsid w:val="005A2E2D"/>
    <w:rsid w:val="005C005C"/>
    <w:rsid w:val="005C3E7E"/>
    <w:rsid w:val="005C500C"/>
    <w:rsid w:val="005C626C"/>
    <w:rsid w:val="005D3B71"/>
    <w:rsid w:val="005D4578"/>
    <w:rsid w:val="005D5C00"/>
    <w:rsid w:val="00600045"/>
    <w:rsid w:val="00603F0D"/>
    <w:rsid w:val="006116F7"/>
    <w:rsid w:val="006133C3"/>
    <w:rsid w:val="006157FE"/>
    <w:rsid w:val="00620929"/>
    <w:rsid w:val="006210A7"/>
    <w:rsid w:val="006326E3"/>
    <w:rsid w:val="00643C6C"/>
    <w:rsid w:val="006452F2"/>
    <w:rsid w:val="00650D96"/>
    <w:rsid w:val="00660EB4"/>
    <w:rsid w:val="00671D4B"/>
    <w:rsid w:val="0068111A"/>
    <w:rsid w:val="006814C2"/>
    <w:rsid w:val="006814E8"/>
    <w:rsid w:val="00682622"/>
    <w:rsid w:val="006A3BB3"/>
    <w:rsid w:val="006A4371"/>
    <w:rsid w:val="006A5CC4"/>
    <w:rsid w:val="006B71ED"/>
    <w:rsid w:val="006C6089"/>
    <w:rsid w:val="006D4980"/>
    <w:rsid w:val="006D6938"/>
    <w:rsid w:val="006D7FA1"/>
    <w:rsid w:val="006F2D55"/>
    <w:rsid w:val="006F4560"/>
    <w:rsid w:val="006F4DEB"/>
    <w:rsid w:val="007029DA"/>
    <w:rsid w:val="00705503"/>
    <w:rsid w:val="007076CA"/>
    <w:rsid w:val="00714007"/>
    <w:rsid w:val="00717457"/>
    <w:rsid w:val="00731D00"/>
    <w:rsid w:val="00733C56"/>
    <w:rsid w:val="0075070C"/>
    <w:rsid w:val="00760ACA"/>
    <w:rsid w:val="007671A9"/>
    <w:rsid w:val="00770DA1"/>
    <w:rsid w:val="007779C8"/>
    <w:rsid w:val="00784E71"/>
    <w:rsid w:val="007869DB"/>
    <w:rsid w:val="00786EF6"/>
    <w:rsid w:val="00786EFA"/>
    <w:rsid w:val="00787196"/>
    <w:rsid w:val="00792768"/>
    <w:rsid w:val="0079476B"/>
    <w:rsid w:val="0079482C"/>
    <w:rsid w:val="007A13C5"/>
    <w:rsid w:val="007B2717"/>
    <w:rsid w:val="007B3C5F"/>
    <w:rsid w:val="007C3560"/>
    <w:rsid w:val="007C6ECE"/>
    <w:rsid w:val="007D2560"/>
    <w:rsid w:val="007D497D"/>
    <w:rsid w:val="007E2195"/>
    <w:rsid w:val="007E3247"/>
    <w:rsid w:val="007F201B"/>
    <w:rsid w:val="00802E9F"/>
    <w:rsid w:val="00804AB7"/>
    <w:rsid w:val="00807B8B"/>
    <w:rsid w:val="00814ED5"/>
    <w:rsid w:val="008203A0"/>
    <w:rsid w:val="008233B6"/>
    <w:rsid w:val="008433A6"/>
    <w:rsid w:val="00855289"/>
    <w:rsid w:val="00856C32"/>
    <w:rsid w:val="00865633"/>
    <w:rsid w:val="00883690"/>
    <w:rsid w:val="008A5618"/>
    <w:rsid w:val="008A600E"/>
    <w:rsid w:val="008B4CC6"/>
    <w:rsid w:val="008D320D"/>
    <w:rsid w:val="008D3C13"/>
    <w:rsid w:val="008D45C3"/>
    <w:rsid w:val="008D7E50"/>
    <w:rsid w:val="008E45E8"/>
    <w:rsid w:val="008E5466"/>
    <w:rsid w:val="00906F90"/>
    <w:rsid w:val="00910331"/>
    <w:rsid w:val="00911E0C"/>
    <w:rsid w:val="00920579"/>
    <w:rsid w:val="00926BB5"/>
    <w:rsid w:val="009325E3"/>
    <w:rsid w:val="009352A1"/>
    <w:rsid w:val="00935EB8"/>
    <w:rsid w:val="0093621C"/>
    <w:rsid w:val="00936314"/>
    <w:rsid w:val="00947D4B"/>
    <w:rsid w:val="00950B98"/>
    <w:rsid w:val="00954F62"/>
    <w:rsid w:val="00961F75"/>
    <w:rsid w:val="00967897"/>
    <w:rsid w:val="00992B49"/>
    <w:rsid w:val="009A6C4F"/>
    <w:rsid w:val="009B1716"/>
    <w:rsid w:val="009B252A"/>
    <w:rsid w:val="009B63A8"/>
    <w:rsid w:val="009D20F5"/>
    <w:rsid w:val="009D4CB5"/>
    <w:rsid w:val="009D62F1"/>
    <w:rsid w:val="009E0F94"/>
    <w:rsid w:val="009E3B04"/>
    <w:rsid w:val="00A00D83"/>
    <w:rsid w:val="00A047F8"/>
    <w:rsid w:val="00A067CC"/>
    <w:rsid w:val="00A1326C"/>
    <w:rsid w:val="00A22F6F"/>
    <w:rsid w:val="00A23778"/>
    <w:rsid w:val="00A23A51"/>
    <w:rsid w:val="00A26562"/>
    <w:rsid w:val="00A26AAD"/>
    <w:rsid w:val="00A30091"/>
    <w:rsid w:val="00A4291D"/>
    <w:rsid w:val="00A44B54"/>
    <w:rsid w:val="00A47F45"/>
    <w:rsid w:val="00A5464D"/>
    <w:rsid w:val="00A6260A"/>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067"/>
    <w:rsid w:val="00B35BF8"/>
    <w:rsid w:val="00B35EF9"/>
    <w:rsid w:val="00B40C3B"/>
    <w:rsid w:val="00B41927"/>
    <w:rsid w:val="00B46A1A"/>
    <w:rsid w:val="00B46A21"/>
    <w:rsid w:val="00B473E4"/>
    <w:rsid w:val="00B6104F"/>
    <w:rsid w:val="00B664B8"/>
    <w:rsid w:val="00B769B3"/>
    <w:rsid w:val="00B83A57"/>
    <w:rsid w:val="00B92D92"/>
    <w:rsid w:val="00BB0254"/>
    <w:rsid w:val="00BC18DB"/>
    <w:rsid w:val="00BC1D8F"/>
    <w:rsid w:val="00BC35D2"/>
    <w:rsid w:val="00BD137E"/>
    <w:rsid w:val="00BD6859"/>
    <w:rsid w:val="00BD704B"/>
    <w:rsid w:val="00BE4A99"/>
    <w:rsid w:val="00BE67EE"/>
    <w:rsid w:val="00C02D4F"/>
    <w:rsid w:val="00C17003"/>
    <w:rsid w:val="00C217C6"/>
    <w:rsid w:val="00C21B6F"/>
    <w:rsid w:val="00C21EDC"/>
    <w:rsid w:val="00C24901"/>
    <w:rsid w:val="00C25A28"/>
    <w:rsid w:val="00C31D3F"/>
    <w:rsid w:val="00C33467"/>
    <w:rsid w:val="00C34E86"/>
    <w:rsid w:val="00C35BE0"/>
    <w:rsid w:val="00C36B0E"/>
    <w:rsid w:val="00C37E93"/>
    <w:rsid w:val="00C64048"/>
    <w:rsid w:val="00C72DB5"/>
    <w:rsid w:val="00C73C7F"/>
    <w:rsid w:val="00C82C40"/>
    <w:rsid w:val="00CB3548"/>
    <w:rsid w:val="00CB6A7F"/>
    <w:rsid w:val="00CB6FFA"/>
    <w:rsid w:val="00CB7D96"/>
    <w:rsid w:val="00CD095D"/>
    <w:rsid w:val="00CD49B7"/>
    <w:rsid w:val="00CD5BBA"/>
    <w:rsid w:val="00CD6C03"/>
    <w:rsid w:val="00CE6AE9"/>
    <w:rsid w:val="00CF212B"/>
    <w:rsid w:val="00D05844"/>
    <w:rsid w:val="00D06BAB"/>
    <w:rsid w:val="00D11328"/>
    <w:rsid w:val="00D21EBE"/>
    <w:rsid w:val="00D25847"/>
    <w:rsid w:val="00D4050C"/>
    <w:rsid w:val="00D4176C"/>
    <w:rsid w:val="00D50238"/>
    <w:rsid w:val="00D56296"/>
    <w:rsid w:val="00D60325"/>
    <w:rsid w:val="00D62037"/>
    <w:rsid w:val="00D64649"/>
    <w:rsid w:val="00D6470D"/>
    <w:rsid w:val="00D66802"/>
    <w:rsid w:val="00D771A6"/>
    <w:rsid w:val="00D81CDB"/>
    <w:rsid w:val="00D82444"/>
    <w:rsid w:val="00D966F3"/>
    <w:rsid w:val="00D96975"/>
    <w:rsid w:val="00DA1824"/>
    <w:rsid w:val="00DA2AA1"/>
    <w:rsid w:val="00DC0A2E"/>
    <w:rsid w:val="00DC2E05"/>
    <w:rsid w:val="00DC4492"/>
    <w:rsid w:val="00DC55A0"/>
    <w:rsid w:val="00DC67D9"/>
    <w:rsid w:val="00DC6F7D"/>
    <w:rsid w:val="00DD0F5C"/>
    <w:rsid w:val="00DD349E"/>
    <w:rsid w:val="00DD7A36"/>
    <w:rsid w:val="00DF3E7F"/>
    <w:rsid w:val="00E0127C"/>
    <w:rsid w:val="00E07D77"/>
    <w:rsid w:val="00E20497"/>
    <w:rsid w:val="00E312F0"/>
    <w:rsid w:val="00E31860"/>
    <w:rsid w:val="00E34D7C"/>
    <w:rsid w:val="00E413F4"/>
    <w:rsid w:val="00E467F5"/>
    <w:rsid w:val="00E474FB"/>
    <w:rsid w:val="00E5081B"/>
    <w:rsid w:val="00E560B1"/>
    <w:rsid w:val="00E56C2A"/>
    <w:rsid w:val="00E8151C"/>
    <w:rsid w:val="00E933A8"/>
    <w:rsid w:val="00E937B4"/>
    <w:rsid w:val="00EA0F3B"/>
    <w:rsid w:val="00EB6FA8"/>
    <w:rsid w:val="00EC4D1E"/>
    <w:rsid w:val="00EC4ED2"/>
    <w:rsid w:val="00EC63AD"/>
    <w:rsid w:val="00ED5BEE"/>
    <w:rsid w:val="00ED5E29"/>
    <w:rsid w:val="00ED7924"/>
    <w:rsid w:val="00EE01B2"/>
    <w:rsid w:val="00EE7A3A"/>
    <w:rsid w:val="00EF4A47"/>
    <w:rsid w:val="00F049C2"/>
    <w:rsid w:val="00F11476"/>
    <w:rsid w:val="00F1390E"/>
    <w:rsid w:val="00F148F7"/>
    <w:rsid w:val="00F16E25"/>
    <w:rsid w:val="00F2740E"/>
    <w:rsid w:val="00F36482"/>
    <w:rsid w:val="00F37DF4"/>
    <w:rsid w:val="00F53547"/>
    <w:rsid w:val="00F5422B"/>
    <w:rsid w:val="00F56CDD"/>
    <w:rsid w:val="00F6721F"/>
    <w:rsid w:val="00F67C31"/>
    <w:rsid w:val="00F90364"/>
    <w:rsid w:val="00F95CB5"/>
    <w:rsid w:val="00F96BC0"/>
    <w:rsid w:val="00FA1E8E"/>
    <w:rsid w:val="00FA5169"/>
    <w:rsid w:val="00FB1F5E"/>
    <w:rsid w:val="00FC4810"/>
    <w:rsid w:val="00FE22F7"/>
    <w:rsid w:val="00FF6134"/>
    <w:rsid w:val="020F15DC"/>
    <w:rsid w:val="02AA6B86"/>
    <w:rsid w:val="04FD110A"/>
    <w:rsid w:val="059D3C6D"/>
    <w:rsid w:val="085F68F1"/>
    <w:rsid w:val="0AE076A5"/>
    <w:rsid w:val="10F95FD6"/>
    <w:rsid w:val="166F3FB9"/>
    <w:rsid w:val="1A2724DE"/>
    <w:rsid w:val="1ADC5B4D"/>
    <w:rsid w:val="1B2E3013"/>
    <w:rsid w:val="1D486867"/>
    <w:rsid w:val="1D5C7F2B"/>
    <w:rsid w:val="24C37BD9"/>
    <w:rsid w:val="24E1746D"/>
    <w:rsid w:val="255557F7"/>
    <w:rsid w:val="29970F9F"/>
    <w:rsid w:val="2BAD05C5"/>
    <w:rsid w:val="2CA03073"/>
    <w:rsid w:val="2DE42551"/>
    <w:rsid w:val="2E484EEE"/>
    <w:rsid w:val="2F4B68BD"/>
    <w:rsid w:val="318105E6"/>
    <w:rsid w:val="3B4320D1"/>
    <w:rsid w:val="40AC6146"/>
    <w:rsid w:val="475B6E2F"/>
    <w:rsid w:val="4F0E1862"/>
    <w:rsid w:val="50411CF6"/>
    <w:rsid w:val="50606BE9"/>
    <w:rsid w:val="507B7517"/>
    <w:rsid w:val="519275B1"/>
    <w:rsid w:val="537A5CE9"/>
    <w:rsid w:val="53E02240"/>
    <w:rsid w:val="55BC644E"/>
    <w:rsid w:val="5935460A"/>
    <w:rsid w:val="594E26B7"/>
    <w:rsid w:val="68AF4571"/>
    <w:rsid w:val="6D535020"/>
    <w:rsid w:val="6FAA073D"/>
    <w:rsid w:val="78E45BDC"/>
    <w:rsid w:val="7B575F7E"/>
    <w:rsid w:val="7E282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Normal Indent"/>
    <w:basedOn w:val="1"/>
    <w:unhideWhenUsed/>
    <w:qFormat/>
    <w:uiPriority w:val="99"/>
    <w:pPr>
      <w:ind w:firstLine="200" w:firstLineChars="200"/>
    </w:pPr>
    <w:rPr>
      <w:rFonts w:hAnsi="Calibri" w:eastAsia="微软雅黑"/>
      <w:szCs w:val="20"/>
    </w:rPr>
  </w:style>
  <w:style w:type="paragraph" w:styleId="4">
    <w:name w:val="annotation text"/>
    <w:basedOn w:val="1"/>
    <w:semiHidden/>
    <w:unhideWhenUsed/>
    <w:qFormat/>
    <w:uiPriority w:val="0"/>
    <w:pPr>
      <w:jc w:val="left"/>
    </w:p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列出段落1"/>
    <w:basedOn w:val="1"/>
    <w:unhideWhenUsed/>
    <w:qFormat/>
    <w:uiPriority w:val="0"/>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字符"/>
    <w:basedOn w:val="9"/>
    <w:link w:val="6"/>
    <w:qFormat/>
    <w:uiPriority w:val="0"/>
    <w:rPr>
      <w:rFonts w:asciiTheme="minorHAnsi" w:hAnsiTheme="minorHAnsi" w:eastAsiaTheme="minorEastAsia" w:cstheme="minorBidi"/>
      <w:kern w:val="2"/>
      <w:sz w:val="18"/>
      <w:szCs w:val="18"/>
    </w:rPr>
  </w:style>
  <w:style w:type="character" w:customStyle="1" w:styleId="18">
    <w:name w:val="页眉 字符"/>
    <w:basedOn w:val="9"/>
    <w:link w:val="8"/>
    <w:qFormat/>
    <w:uiPriority w:val="0"/>
    <w:rPr>
      <w:rFonts w:asciiTheme="minorHAnsi" w:hAnsiTheme="minorHAnsi" w:eastAsiaTheme="minorEastAsia" w:cstheme="minorBidi"/>
      <w:kern w:val="2"/>
      <w:sz w:val="18"/>
      <w:szCs w:val="18"/>
    </w:rPr>
  </w:style>
  <w:style w:type="character" w:customStyle="1" w:styleId="19">
    <w:name w:val="xdrichtextbox2"/>
    <w:basedOn w:val="9"/>
    <w:qFormat/>
    <w:uiPriority w:val="0"/>
    <w:rPr>
      <w:color w:val="0000FF"/>
      <w:sz w:val="18"/>
      <w:szCs w:val="18"/>
      <w:u w:val="none"/>
      <w:bdr w:val="single" w:color="DCDCDC" w:sz="8" w:space="0"/>
      <w:shd w:val="clear" w:color="auto" w:fill="FFFFFF"/>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2F8F3-9FAA-4D1B-A61A-C7ECC2275645}">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19</Pages>
  <Words>2631</Words>
  <Characters>14998</Characters>
  <Lines>124</Lines>
  <Paragraphs>35</Paragraphs>
  <TotalTime>1</TotalTime>
  <ScaleCrop>false</ScaleCrop>
  <LinksUpToDate>false</LinksUpToDate>
  <CharactersWithSpaces>17594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2023-12-20T06:33:49Z</dcterms:modified>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