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 xml:space="preserve"> </w:t>
      </w:r>
      <w:r>
        <w:rPr>
          <w:rFonts w:hint="eastAsia"/>
          <w:b/>
          <w:sz w:val="28"/>
          <w:highlight w:val="none"/>
        </w:rPr>
        <w:t>静止无功发生器</w:t>
      </w:r>
      <w:r>
        <w:rPr>
          <w:rFonts w:hint="eastAsia"/>
          <w:b/>
          <w:sz w:val="28"/>
          <w:highlight w:val="none"/>
          <w:lang w:val="en-US" w:eastAsia="zh-CN"/>
        </w:rPr>
        <w:t xml:space="preserve">设备采购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0"/>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静止无功发生器设备采购</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限价22万元</w:t>
      </w:r>
      <w:r>
        <w:rPr>
          <w:rFonts w:hint="eastAsia" w:ascii="宋体" w:hAnsi="宋体"/>
          <w:sz w:val="24"/>
          <w:highlight w:val="none"/>
        </w:rPr>
        <w:t>。</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静止无功发生器设备</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投标人没有处于被责令停业或破产状态，且资产未被重组、接管和冻结，声明在投标活动中3年内没有重大违法活动和涉嫌违规行为。</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0"/>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0"/>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0"/>
        <w:numPr>
          <w:ilvl w:val="0"/>
          <w:numId w:val="0"/>
        </w:numPr>
        <w:tabs>
          <w:tab w:val="left" w:pos="0"/>
        </w:tabs>
        <w:spacing w:line="360" w:lineRule="auto"/>
        <w:ind w:left="0" w:leftChars="0" w:firstLine="480" w:firstLineChars="200"/>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0"/>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0"/>
        <w:tabs>
          <w:tab w:val="left" w:pos="420"/>
        </w:tabs>
        <w:spacing w:line="360" w:lineRule="auto"/>
        <w:ind w:left="59" w:leftChars="28" w:firstLine="360" w:firstLineChars="150"/>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0"/>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0"/>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0"/>
        <w:spacing w:line="360" w:lineRule="auto"/>
        <w:ind w:firstLine="480"/>
        <w:rPr>
          <w:rFonts w:ascii="宋体" w:hAnsi="宋体"/>
          <w:sz w:val="24"/>
          <w:highlight w:val="none"/>
        </w:rPr>
      </w:pPr>
      <w:r>
        <w:rPr>
          <w:rFonts w:hint="eastAsia" w:ascii="宋体" w:hAnsi="宋体"/>
          <w:sz w:val="24"/>
          <w:highlight w:val="none"/>
        </w:rPr>
        <w:t>五、投标文件</w:t>
      </w:r>
    </w:p>
    <w:p>
      <w:pPr>
        <w:pStyle w:val="10"/>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0000FF"/>
          <w:sz w:val="24"/>
          <w:highlight w:val="none"/>
        </w:rPr>
        <w:t>202</w:t>
      </w:r>
      <w:r>
        <w:rPr>
          <w:rFonts w:hint="eastAsia" w:ascii="宋体" w:hAnsi="宋体"/>
          <w:color w:val="0000FF"/>
          <w:sz w:val="24"/>
          <w:highlight w:val="none"/>
          <w:lang w:val="en-US" w:eastAsia="zh-CN"/>
        </w:rPr>
        <w:t>4</w:t>
      </w:r>
      <w:r>
        <w:rPr>
          <w:rFonts w:hint="eastAsia" w:ascii="宋体" w:hAnsi="宋体"/>
          <w:color w:val="0000FF"/>
          <w:sz w:val="24"/>
          <w:highlight w:val="none"/>
        </w:rPr>
        <w:t>年</w:t>
      </w:r>
      <w:r>
        <w:rPr>
          <w:rFonts w:hint="eastAsia" w:ascii="宋体" w:hAnsi="宋体"/>
          <w:color w:val="0000FF"/>
          <w:sz w:val="24"/>
          <w:highlight w:val="none"/>
          <w:lang w:val="en-US" w:eastAsia="zh-CN"/>
        </w:rPr>
        <w:t>1</w:t>
      </w:r>
      <w:r>
        <w:rPr>
          <w:rFonts w:hint="eastAsia" w:ascii="宋体" w:hAnsi="宋体"/>
          <w:color w:val="0000FF"/>
          <w:sz w:val="24"/>
          <w:highlight w:val="none"/>
        </w:rPr>
        <w:t>月</w:t>
      </w:r>
      <w:r>
        <w:rPr>
          <w:rFonts w:hint="eastAsia" w:ascii="宋体" w:hAnsi="宋体"/>
          <w:color w:val="0000FF"/>
          <w:sz w:val="24"/>
          <w:highlight w:val="none"/>
          <w:lang w:val="en-US" w:eastAsia="zh-CN"/>
        </w:rPr>
        <w:t>8</w:t>
      </w:r>
      <w:bookmarkStart w:id="3" w:name="_GoBack"/>
      <w:bookmarkEnd w:id="3"/>
      <w:r>
        <w:rPr>
          <w:rFonts w:hint="eastAsia" w:ascii="宋体" w:hAnsi="宋体"/>
          <w:color w:val="0000FF"/>
          <w:sz w:val="24"/>
          <w:highlight w:val="none"/>
        </w:rPr>
        <w:t>日北京时间</w:t>
      </w:r>
      <w:r>
        <w:rPr>
          <w:rFonts w:hint="eastAsia" w:ascii="宋体" w:hAnsi="宋体"/>
          <w:color w:val="0000FF"/>
          <w:sz w:val="24"/>
          <w:highlight w:val="none"/>
          <w:lang w:val="en-US" w:eastAsia="zh-CN"/>
        </w:rPr>
        <w:t>16</w:t>
      </w:r>
      <w:r>
        <w:rPr>
          <w:rFonts w:hint="eastAsia" w:ascii="宋体" w:hAnsi="宋体"/>
          <w:color w:val="0000FF"/>
          <w:sz w:val="24"/>
          <w:highlight w:val="none"/>
        </w:rPr>
        <w:t>时</w:t>
      </w:r>
      <w:r>
        <w:rPr>
          <w:rFonts w:hint="eastAsia" w:ascii="宋体" w:hAnsi="宋体"/>
          <w:color w:val="0000FF"/>
          <w:sz w:val="24"/>
          <w:highlight w:val="none"/>
          <w:lang w:val="en-US" w:eastAsia="zh-CN"/>
        </w:rPr>
        <w:t>00</w:t>
      </w:r>
      <w:r>
        <w:rPr>
          <w:rFonts w:hint="eastAsia" w:ascii="宋体" w:hAnsi="宋体"/>
          <w:color w:val="0000FF"/>
          <w:sz w:val="24"/>
          <w:highlight w:val="none"/>
        </w:rPr>
        <w:t>分前</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静止无功发生器设备采购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0"/>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0"/>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0"/>
        <w:spacing w:line="360" w:lineRule="auto"/>
        <w:ind w:firstLine="480"/>
        <w:jc w:val="center"/>
        <w:rPr>
          <w:rFonts w:ascii="宋体" w:hAnsi="宋体"/>
          <w:sz w:val="24"/>
          <w:highlight w:val="none"/>
        </w:rPr>
      </w:pPr>
      <w:r>
        <w:rPr>
          <w:rFonts w:hint="eastAsia" w:ascii="宋体" w:hAnsi="宋体"/>
          <w:sz w:val="24"/>
          <w:highlight w:val="none"/>
        </w:rPr>
        <w:t xml:space="preserve">             采购人：广州城投综合能源投资经营管理有限公司</w:t>
      </w:r>
    </w:p>
    <w:p>
      <w:pPr>
        <w:pStyle w:val="10"/>
        <w:spacing w:line="360" w:lineRule="auto"/>
        <w:ind w:right="960" w:firstLine="4980" w:firstLineChars="2075"/>
        <w:rPr>
          <w:rFonts w:ascii="宋体" w:hAnsi="宋体"/>
          <w:color w:val="0000FF"/>
          <w:sz w:val="24"/>
          <w:highlight w:val="none"/>
        </w:rPr>
      </w:pPr>
      <w:r>
        <w:rPr>
          <w:rFonts w:hint="eastAsia" w:ascii="宋体" w:hAnsi="宋体"/>
          <w:color w:val="0000FF"/>
          <w:sz w:val="24"/>
          <w:highlight w:val="none"/>
        </w:rPr>
        <w:t>202</w:t>
      </w:r>
      <w:r>
        <w:rPr>
          <w:rFonts w:hint="eastAsia" w:ascii="宋体" w:hAnsi="宋体"/>
          <w:color w:val="0000FF"/>
          <w:sz w:val="24"/>
          <w:highlight w:val="none"/>
          <w:lang w:val="en-US" w:eastAsia="zh-CN"/>
        </w:rPr>
        <w:t>3</w:t>
      </w:r>
      <w:r>
        <w:rPr>
          <w:rFonts w:hint="eastAsia" w:ascii="宋体" w:hAnsi="宋体"/>
          <w:color w:val="0000FF"/>
          <w:sz w:val="24"/>
          <w:highlight w:val="none"/>
        </w:rPr>
        <w:t>年</w:t>
      </w:r>
      <w:r>
        <w:rPr>
          <w:rFonts w:hint="eastAsia" w:ascii="宋体" w:hAnsi="宋体"/>
          <w:color w:val="0000FF"/>
          <w:sz w:val="24"/>
          <w:highlight w:val="none"/>
          <w:lang w:val="en-US" w:eastAsia="zh-CN"/>
        </w:rPr>
        <w:t>12</w:t>
      </w:r>
      <w:r>
        <w:rPr>
          <w:rFonts w:hint="eastAsia" w:ascii="宋体" w:hAnsi="宋体"/>
          <w:color w:val="0000FF"/>
          <w:sz w:val="24"/>
          <w:highlight w:val="none"/>
        </w:rPr>
        <w:t>月</w:t>
      </w:r>
      <w:r>
        <w:rPr>
          <w:rFonts w:hint="eastAsia" w:ascii="宋体" w:hAnsi="宋体"/>
          <w:color w:val="0000FF"/>
          <w:sz w:val="24"/>
          <w:highlight w:val="none"/>
          <w:lang w:val="en-US" w:eastAsia="zh-CN"/>
        </w:rPr>
        <w:t>23</w:t>
      </w:r>
      <w:r>
        <w:rPr>
          <w:rFonts w:hint="eastAsia" w:ascii="宋体" w:hAnsi="宋体"/>
          <w:color w:val="0000FF"/>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b w:val="0"/>
          <w:sz w:val="24"/>
          <w:highlight w:val="none"/>
          <w:lang w:val="en-US" w:eastAsia="zh-CN"/>
        </w:rPr>
        <w:t>静止无功发生器设备采购</w:t>
      </w:r>
      <w:r>
        <w:rPr>
          <w:rFonts w:hint="eastAsia" w:ascii="宋体" w:hAnsi="宋体"/>
          <w:sz w:val="24"/>
          <w:highlight w:val="none"/>
        </w:rPr>
        <w:t>清单</w:t>
      </w:r>
    </w:p>
    <w:tbl>
      <w:tblPr>
        <w:tblStyle w:val="6"/>
        <w:tblW w:w="8720" w:type="dxa"/>
        <w:tblInd w:w="0" w:type="dxa"/>
        <w:tblLayout w:type="fixed"/>
        <w:tblCellMar>
          <w:top w:w="0" w:type="dxa"/>
          <w:left w:w="108" w:type="dxa"/>
          <w:bottom w:w="0" w:type="dxa"/>
          <w:right w:w="108" w:type="dxa"/>
        </w:tblCellMar>
      </w:tblPr>
      <w:tblGrid>
        <w:gridCol w:w="692"/>
        <w:gridCol w:w="1653"/>
        <w:gridCol w:w="3540"/>
        <w:gridCol w:w="660"/>
        <w:gridCol w:w="795"/>
        <w:gridCol w:w="1380"/>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Abifsey-ABSVG-300KVAR-4L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TLM-SVG-300KVAR/380v-4L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ESVG10-4W5-300KVAR-400</w:t>
            </w:r>
          </w:p>
          <w:p>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特拉蒙</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欧高</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Abifsey-ABSVG-240KVAR-4L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TLM-SVG-240KVAR/380v-4L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ESVG10-4W5-240KVAR-400</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特拉蒙</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欧高</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lang w:val="en-US" w:eastAsia="zh-CN"/>
        </w:rPr>
        <w:t>技术要求</w:t>
      </w:r>
    </w:p>
    <w:p>
      <w:pPr>
        <w:numPr>
          <w:ilvl w:val="0"/>
          <w:numId w:val="12"/>
        </w:num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要求静止无功发生器配置的主要元器件是进口产品（主控制板或主控单元品牌可采用中标单位品牌）</w:t>
      </w:r>
      <w:bookmarkStart w:id="0" w:name="_Hlk153956258"/>
      <w:r>
        <w:rPr>
          <w:rFonts w:hint="eastAsia" w:ascii="宋体" w:hAnsi="宋体"/>
          <w:sz w:val="24"/>
          <w:highlight w:val="none"/>
        </w:rPr>
        <w:t>，其主要元器件见下表</w:t>
      </w:r>
      <w:bookmarkEnd w:id="0"/>
      <w:r>
        <w:rPr>
          <w:rFonts w:hint="eastAsia" w:ascii="宋体" w:hAnsi="宋体"/>
          <w:sz w:val="24"/>
          <w:highlight w:val="none"/>
        </w:rPr>
        <w:t>。</w:t>
      </w:r>
    </w:p>
    <w:p>
      <w:pPr>
        <w:ind w:firstLine="2520" w:firstLineChars="900"/>
        <w:jc w:val="both"/>
        <w:rPr>
          <w:sz w:val="28"/>
          <w:szCs w:val="28"/>
          <w:highlight w:val="none"/>
        </w:rPr>
      </w:pPr>
      <w:r>
        <w:rPr>
          <w:rFonts w:hint="eastAsia"/>
          <w:sz w:val="28"/>
          <w:szCs w:val="28"/>
          <w:highlight w:val="none"/>
        </w:rPr>
        <w:t>进口元器件配置清单表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358"/>
        <w:gridCol w:w="141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tcPr>
          <w:p>
            <w:pPr>
              <w:jc w:val="center"/>
              <w:rPr>
                <w:sz w:val="28"/>
                <w:szCs w:val="28"/>
                <w:highlight w:val="none"/>
              </w:rPr>
            </w:pPr>
            <w:r>
              <w:rPr>
                <w:rFonts w:hint="eastAsia"/>
                <w:sz w:val="28"/>
                <w:szCs w:val="28"/>
                <w:highlight w:val="none"/>
              </w:rPr>
              <w:t>序号</w:t>
            </w:r>
          </w:p>
        </w:tc>
        <w:tc>
          <w:tcPr>
            <w:tcW w:w="2358" w:type="dxa"/>
          </w:tcPr>
          <w:p>
            <w:pPr>
              <w:jc w:val="center"/>
              <w:rPr>
                <w:sz w:val="28"/>
                <w:szCs w:val="28"/>
                <w:highlight w:val="none"/>
              </w:rPr>
            </w:pPr>
            <w:r>
              <w:rPr>
                <w:rFonts w:hint="eastAsia"/>
                <w:sz w:val="28"/>
                <w:szCs w:val="28"/>
                <w:highlight w:val="none"/>
              </w:rPr>
              <w:t>元器件</w:t>
            </w:r>
          </w:p>
        </w:tc>
        <w:tc>
          <w:tcPr>
            <w:tcW w:w="1410" w:type="dxa"/>
          </w:tcPr>
          <w:p>
            <w:pPr>
              <w:jc w:val="center"/>
              <w:rPr>
                <w:sz w:val="28"/>
                <w:szCs w:val="28"/>
                <w:highlight w:val="none"/>
              </w:rPr>
            </w:pPr>
            <w:r>
              <w:rPr>
                <w:rFonts w:hint="eastAsia"/>
                <w:sz w:val="28"/>
                <w:szCs w:val="28"/>
                <w:highlight w:val="none"/>
              </w:rPr>
              <w:t>序号</w:t>
            </w:r>
          </w:p>
        </w:tc>
        <w:tc>
          <w:tcPr>
            <w:tcW w:w="2460" w:type="dxa"/>
          </w:tcPr>
          <w:p>
            <w:pPr>
              <w:jc w:val="center"/>
              <w:rPr>
                <w:sz w:val="28"/>
                <w:szCs w:val="28"/>
                <w:highlight w:val="none"/>
              </w:rPr>
            </w:pPr>
            <w:r>
              <w:rPr>
                <w:rFonts w:hint="eastAsia"/>
                <w:sz w:val="28"/>
                <w:szCs w:val="28"/>
                <w:highlight w:val="none"/>
              </w:rPr>
              <w:t>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sz w:val="28"/>
                <w:szCs w:val="28"/>
                <w:highlight w:val="none"/>
              </w:rPr>
            </w:pPr>
            <w:r>
              <w:rPr>
                <w:rFonts w:hint="eastAsia"/>
                <w:sz w:val="28"/>
                <w:szCs w:val="28"/>
                <w:highlight w:val="none"/>
              </w:rPr>
              <w:t>1</w:t>
            </w:r>
          </w:p>
        </w:tc>
        <w:tc>
          <w:tcPr>
            <w:tcW w:w="2358" w:type="dxa"/>
            <w:vAlign w:val="center"/>
          </w:tcPr>
          <w:p>
            <w:pPr>
              <w:jc w:val="center"/>
              <w:rPr>
                <w:sz w:val="28"/>
                <w:szCs w:val="28"/>
                <w:highlight w:val="none"/>
              </w:rPr>
            </w:pPr>
            <w:r>
              <w:rPr>
                <w:rFonts w:asciiTheme="minorEastAsia" w:hAnsiTheme="minorEastAsia" w:cstheme="minorEastAsia"/>
                <w:color w:val="000000"/>
                <w:spacing w:val="-3"/>
                <w:kern w:val="0"/>
                <w:sz w:val="24"/>
                <w:highlight w:val="none"/>
              </w:rPr>
              <w:t>主控芯片</w:t>
            </w:r>
          </w:p>
        </w:tc>
        <w:tc>
          <w:tcPr>
            <w:tcW w:w="1410" w:type="dxa"/>
            <w:vAlign w:val="center"/>
          </w:tcPr>
          <w:p>
            <w:pPr>
              <w:jc w:val="center"/>
              <w:rPr>
                <w:sz w:val="28"/>
                <w:szCs w:val="28"/>
                <w:highlight w:val="none"/>
              </w:rPr>
            </w:pPr>
            <w:r>
              <w:rPr>
                <w:rFonts w:hint="eastAsia"/>
                <w:sz w:val="28"/>
                <w:szCs w:val="28"/>
                <w:highlight w:val="none"/>
              </w:rPr>
              <w:t>7</w:t>
            </w:r>
          </w:p>
        </w:tc>
        <w:tc>
          <w:tcPr>
            <w:tcW w:w="2460" w:type="dxa"/>
            <w:vAlign w:val="center"/>
          </w:tcPr>
          <w:p>
            <w:pPr>
              <w:jc w:val="center"/>
              <w:rPr>
                <w:sz w:val="28"/>
                <w:szCs w:val="28"/>
                <w:highlight w:val="none"/>
              </w:rPr>
            </w:pPr>
            <w:r>
              <w:rPr>
                <w:rFonts w:asciiTheme="minorEastAsia" w:hAnsiTheme="minorEastAsia" w:cstheme="minorEastAsia"/>
                <w:color w:val="000000"/>
                <w:spacing w:val="-1"/>
                <w:kern w:val="0"/>
                <w:sz w:val="24"/>
                <w:highlight w:val="none"/>
              </w:rPr>
              <w:t>控制芯片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sz w:val="28"/>
                <w:szCs w:val="28"/>
                <w:highlight w:val="none"/>
              </w:rPr>
            </w:pPr>
            <w:r>
              <w:rPr>
                <w:rFonts w:hint="eastAsia"/>
                <w:sz w:val="28"/>
                <w:szCs w:val="28"/>
                <w:highlight w:val="none"/>
              </w:rPr>
              <w:t>2</w:t>
            </w:r>
          </w:p>
        </w:tc>
        <w:tc>
          <w:tcPr>
            <w:tcW w:w="2358" w:type="dxa"/>
            <w:vAlign w:val="center"/>
          </w:tcPr>
          <w:p>
            <w:pPr>
              <w:jc w:val="center"/>
              <w:rPr>
                <w:sz w:val="28"/>
                <w:szCs w:val="28"/>
                <w:highlight w:val="none"/>
              </w:rPr>
            </w:pPr>
            <w:r>
              <w:rPr>
                <w:rFonts w:asciiTheme="minorEastAsia" w:hAnsiTheme="minorEastAsia" w:cstheme="minorEastAsia"/>
                <w:color w:val="000000"/>
                <w:spacing w:val="-1"/>
                <w:kern w:val="0"/>
                <w:sz w:val="24"/>
                <w:highlight w:val="none"/>
              </w:rPr>
              <w:t>谐波技术分离单元</w:t>
            </w:r>
          </w:p>
        </w:tc>
        <w:tc>
          <w:tcPr>
            <w:tcW w:w="1410" w:type="dxa"/>
            <w:vAlign w:val="center"/>
          </w:tcPr>
          <w:p>
            <w:pPr>
              <w:jc w:val="center"/>
              <w:rPr>
                <w:sz w:val="28"/>
                <w:szCs w:val="28"/>
                <w:highlight w:val="none"/>
              </w:rPr>
            </w:pPr>
            <w:r>
              <w:rPr>
                <w:rFonts w:hint="eastAsia"/>
                <w:sz w:val="28"/>
                <w:szCs w:val="28"/>
                <w:highlight w:val="none"/>
              </w:rPr>
              <w:t>8</w:t>
            </w:r>
          </w:p>
        </w:tc>
        <w:tc>
          <w:tcPr>
            <w:tcW w:w="2460" w:type="dxa"/>
            <w:vAlign w:val="center"/>
          </w:tcPr>
          <w:p>
            <w:pPr>
              <w:jc w:val="center"/>
              <w:rPr>
                <w:sz w:val="28"/>
                <w:szCs w:val="28"/>
                <w:highlight w:val="none"/>
              </w:rPr>
            </w:pPr>
            <w:r>
              <w:rPr>
                <w:rFonts w:asciiTheme="minorEastAsia" w:hAnsiTheme="minorEastAsia" w:cstheme="minorEastAsia"/>
                <w:color w:val="000000"/>
                <w:spacing w:val="-5"/>
                <w:kern w:val="0"/>
                <w:sz w:val="24"/>
                <w:highlight w:val="none"/>
              </w:rPr>
              <w:t>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sz w:val="28"/>
                <w:szCs w:val="28"/>
                <w:highlight w:val="none"/>
              </w:rPr>
            </w:pPr>
            <w:r>
              <w:rPr>
                <w:rFonts w:hint="eastAsia"/>
                <w:sz w:val="28"/>
                <w:szCs w:val="28"/>
                <w:highlight w:val="none"/>
              </w:rPr>
              <w:t>3</w:t>
            </w:r>
          </w:p>
        </w:tc>
        <w:tc>
          <w:tcPr>
            <w:tcW w:w="2358" w:type="dxa"/>
            <w:vAlign w:val="center"/>
          </w:tcPr>
          <w:p>
            <w:pPr>
              <w:jc w:val="center"/>
              <w:rPr>
                <w:sz w:val="28"/>
                <w:szCs w:val="28"/>
                <w:highlight w:val="none"/>
              </w:rPr>
            </w:pPr>
            <w:r>
              <w:rPr>
                <w:rFonts w:asciiTheme="minorEastAsia" w:hAnsiTheme="minorEastAsia" w:cstheme="minorEastAsia"/>
                <w:color w:val="000000"/>
                <w:spacing w:val="-8"/>
                <w:kern w:val="0"/>
                <w:sz w:val="24"/>
                <w:highlight w:val="none"/>
              </w:rPr>
              <w:t>IGBT</w:t>
            </w:r>
            <w:r>
              <w:rPr>
                <w:rFonts w:asciiTheme="minorEastAsia" w:hAnsiTheme="minorEastAsia" w:cstheme="minorEastAsia"/>
                <w:color w:val="000000"/>
                <w:spacing w:val="-56"/>
                <w:kern w:val="0"/>
                <w:sz w:val="24"/>
                <w:highlight w:val="none"/>
              </w:rPr>
              <w:t xml:space="preserve"> </w:t>
            </w:r>
            <w:r>
              <w:rPr>
                <w:rFonts w:asciiTheme="minorEastAsia" w:hAnsiTheme="minorEastAsia" w:cstheme="minorEastAsia"/>
                <w:color w:val="000000"/>
                <w:spacing w:val="-8"/>
                <w:kern w:val="0"/>
                <w:sz w:val="24"/>
                <w:highlight w:val="none"/>
              </w:rPr>
              <w:t>模块</w:t>
            </w:r>
          </w:p>
        </w:tc>
        <w:tc>
          <w:tcPr>
            <w:tcW w:w="1410" w:type="dxa"/>
            <w:vAlign w:val="center"/>
          </w:tcPr>
          <w:p>
            <w:pPr>
              <w:jc w:val="center"/>
              <w:rPr>
                <w:sz w:val="28"/>
                <w:szCs w:val="28"/>
                <w:highlight w:val="none"/>
              </w:rPr>
            </w:pPr>
            <w:r>
              <w:rPr>
                <w:rFonts w:hint="eastAsia"/>
                <w:sz w:val="28"/>
                <w:szCs w:val="28"/>
                <w:highlight w:val="none"/>
              </w:rPr>
              <w:t>9</w:t>
            </w:r>
          </w:p>
        </w:tc>
        <w:tc>
          <w:tcPr>
            <w:tcW w:w="2460" w:type="dxa"/>
            <w:vAlign w:val="center"/>
          </w:tcPr>
          <w:p>
            <w:pPr>
              <w:jc w:val="center"/>
              <w:rPr>
                <w:sz w:val="28"/>
                <w:szCs w:val="28"/>
                <w:highlight w:val="none"/>
              </w:rPr>
            </w:pPr>
            <w:r>
              <w:rPr>
                <w:rFonts w:asciiTheme="minorEastAsia" w:hAnsiTheme="minorEastAsia" w:cstheme="minorEastAsia"/>
                <w:color w:val="000000"/>
                <w:spacing w:val="-4"/>
                <w:kern w:val="0"/>
                <w:sz w:val="24"/>
                <w:highlight w:val="none"/>
              </w:rPr>
              <w:t>熔丝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sz w:val="28"/>
                <w:szCs w:val="28"/>
                <w:highlight w:val="none"/>
              </w:rPr>
            </w:pPr>
            <w:r>
              <w:rPr>
                <w:rFonts w:hint="eastAsia"/>
                <w:sz w:val="28"/>
                <w:szCs w:val="28"/>
                <w:highlight w:val="none"/>
              </w:rPr>
              <w:t>4</w:t>
            </w:r>
          </w:p>
        </w:tc>
        <w:tc>
          <w:tcPr>
            <w:tcW w:w="2358" w:type="dxa"/>
            <w:vAlign w:val="center"/>
          </w:tcPr>
          <w:p>
            <w:pPr>
              <w:jc w:val="center"/>
              <w:rPr>
                <w:sz w:val="28"/>
                <w:szCs w:val="28"/>
                <w:highlight w:val="none"/>
              </w:rPr>
            </w:pPr>
            <w:r>
              <w:rPr>
                <w:rFonts w:asciiTheme="minorEastAsia" w:hAnsiTheme="minorEastAsia" w:cstheme="minorEastAsia"/>
                <w:color w:val="000000"/>
                <w:spacing w:val="-16"/>
                <w:kern w:val="0"/>
                <w:sz w:val="24"/>
                <w:highlight w:val="none"/>
              </w:rPr>
              <w:t>电感</w:t>
            </w:r>
          </w:p>
        </w:tc>
        <w:tc>
          <w:tcPr>
            <w:tcW w:w="1410" w:type="dxa"/>
            <w:vAlign w:val="center"/>
          </w:tcPr>
          <w:p>
            <w:pPr>
              <w:jc w:val="center"/>
              <w:rPr>
                <w:sz w:val="28"/>
                <w:szCs w:val="28"/>
                <w:highlight w:val="none"/>
              </w:rPr>
            </w:pPr>
            <w:r>
              <w:rPr>
                <w:rFonts w:hint="eastAsia"/>
                <w:sz w:val="28"/>
                <w:szCs w:val="28"/>
                <w:highlight w:val="none"/>
              </w:rPr>
              <w:t>1</w:t>
            </w:r>
            <w:r>
              <w:rPr>
                <w:sz w:val="28"/>
                <w:szCs w:val="28"/>
                <w:highlight w:val="none"/>
              </w:rPr>
              <w:t>0</w:t>
            </w:r>
          </w:p>
        </w:tc>
        <w:tc>
          <w:tcPr>
            <w:tcW w:w="2460" w:type="dxa"/>
            <w:vAlign w:val="center"/>
          </w:tcPr>
          <w:p>
            <w:pPr>
              <w:jc w:val="center"/>
              <w:rPr>
                <w:sz w:val="24"/>
                <w:szCs w:val="24"/>
                <w:highlight w:val="none"/>
              </w:rPr>
            </w:pPr>
            <w:r>
              <w:rPr>
                <w:rFonts w:hint="eastAsia"/>
                <w:sz w:val="24"/>
                <w:szCs w:val="24"/>
                <w:highlight w:val="none"/>
              </w:rPr>
              <w:t>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sz w:val="28"/>
                <w:szCs w:val="28"/>
                <w:highlight w:val="none"/>
              </w:rPr>
            </w:pPr>
            <w:r>
              <w:rPr>
                <w:rFonts w:hint="eastAsia"/>
                <w:sz w:val="28"/>
                <w:szCs w:val="28"/>
                <w:highlight w:val="none"/>
              </w:rPr>
              <w:t>5</w:t>
            </w:r>
          </w:p>
        </w:tc>
        <w:tc>
          <w:tcPr>
            <w:tcW w:w="2358" w:type="dxa"/>
            <w:vAlign w:val="center"/>
          </w:tcPr>
          <w:p>
            <w:pPr>
              <w:jc w:val="center"/>
              <w:rPr>
                <w:sz w:val="28"/>
                <w:szCs w:val="28"/>
                <w:highlight w:val="none"/>
              </w:rPr>
            </w:pPr>
            <w:r>
              <w:rPr>
                <w:rFonts w:hint="eastAsia"/>
                <w:sz w:val="24"/>
                <w:szCs w:val="24"/>
                <w:highlight w:val="none"/>
              </w:rPr>
              <w:t>熔断器</w:t>
            </w:r>
          </w:p>
        </w:tc>
        <w:tc>
          <w:tcPr>
            <w:tcW w:w="1410" w:type="dxa"/>
            <w:vAlign w:val="center"/>
          </w:tcPr>
          <w:p>
            <w:pPr>
              <w:jc w:val="center"/>
              <w:rPr>
                <w:sz w:val="28"/>
                <w:szCs w:val="28"/>
                <w:highlight w:val="none"/>
              </w:rPr>
            </w:pPr>
            <w:r>
              <w:rPr>
                <w:rFonts w:hint="eastAsia"/>
                <w:sz w:val="28"/>
                <w:szCs w:val="28"/>
                <w:highlight w:val="none"/>
              </w:rPr>
              <w:t>1</w:t>
            </w:r>
            <w:r>
              <w:rPr>
                <w:sz w:val="28"/>
                <w:szCs w:val="28"/>
                <w:highlight w:val="none"/>
              </w:rPr>
              <w:t>1</w:t>
            </w:r>
          </w:p>
        </w:tc>
        <w:tc>
          <w:tcPr>
            <w:tcW w:w="2460" w:type="dxa"/>
            <w:vAlign w:val="center"/>
          </w:tcPr>
          <w:p>
            <w:pPr>
              <w:jc w:val="center"/>
              <w:rPr>
                <w:sz w:val="24"/>
                <w:szCs w:val="24"/>
                <w:highlight w:val="none"/>
              </w:rPr>
            </w:pPr>
            <w:r>
              <w:rPr>
                <w:rFonts w:hint="eastAsia"/>
                <w:sz w:val="24"/>
                <w:szCs w:val="24"/>
                <w:highlight w:val="none"/>
              </w:rPr>
              <w:t>避雷器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26" w:type="dxa"/>
            <w:vAlign w:val="center"/>
          </w:tcPr>
          <w:p>
            <w:pPr>
              <w:jc w:val="center"/>
              <w:rPr>
                <w:sz w:val="28"/>
                <w:szCs w:val="28"/>
                <w:highlight w:val="none"/>
              </w:rPr>
            </w:pPr>
            <w:r>
              <w:rPr>
                <w:rFonts w:hint="eastAsia"/>
                <w:sz w:val="28"/>
                <w:szCs w:val="28"/>
                <w:highlight w:val="none"/>
              </w:rPr>
              <w:t>6</w:t>
            </w:r>
          </w:p>
        </w:tc>
        <w:tc>
          <w:tcPr>
            <w:tcW w:w="2358" w:type="dxa"/>
            <w:vAlign w:val="center"/>
          </w:tcPr>
          <w:p>
            <w:pPr>
              <w:jc w:val="center"/>
              <w:rPr>
                <w:sz w:val="28"/>
                <w:szCs w:val="28"/>
                <w:highlight w:val="none"/>
              </w:rPr>
            </w:pPr>
            <w:r>
              <w:rPr>
                <w:rFonts w:asciiTheme="minorEastAsia" w:hAnsiTheme="minorEastAsia" w:cstheme="minorEastAsia"/>
                <w:color w:val="000000"/>
                <w:spacing w:val="-4"/>
                <w:kern w:val="0"/>
                <w:sz w:val="24"/>
                <w:highlight w:val="none"/>
              </w:rPr>
              <w:t>滤波电容</w:t>
            </w:r>
          </w:p>
        </w:tc>
        <w:tc>
          <w:tcPr>
            <w:tcW w:w="1410" w:type="dxa"/>
            <w:vAlign w:val="center"/>
          </w:tcPr>
          <w:p>
            <w:pPr>
              <w:jc w:val="center"/>
              <w:rPr>
                <w:sz w:val="28"/>
                <w:szCs w:val="28"/>
                <w:highlight w:val="none"/>
              </w:rPr>
            </w:pPr>
          </w:p>
        </w:tc>
        <w:tc>
          <w:tcPr>
            <w:tcW w:w="2460" w:type="dxa"/>
            <w:vAlign w:val="center"/>
          </w:tcPr>
          <w:p>
            <w:pPr>
              <w:jc w:val="center"/>
              <w:rPr>
                <w:sz w:val="28"/>
                <w:szCs w:val="28"/>
                <w:highlight w:val="none"/>
              </w:rPr>
            </w:pPr>
          </w:p>
        </w:tc>
      </w:tr>
    </w:tbl>
    <w:p>
      <w:pPr>
        <w:numPr>
          <w:ilvl w:val="0"/>
          <w:numId w:val="0"/>
        </w:numPr>
        <w:spacing w:line="360" w:lineRule="auto"/>
        <w:rPr>
          <w:rFonts w:hint="eastAsia" w:ascii="宋体" w:hAnsi="宋体"/>
          <w:sz w:val="24"/>
          <w:highlight w:val="none"/>
          <w:lang w:eastAsia="zh-CN"/>
        </w:rPr>
      </w:pPr>
    </w:p>
    <w:p>
      <w:pPr>
        <w:numPr>
          <w:ilvl w:val="0"/>
          <w:numId w:val="12"/>
        </w:numPr>
        <w:spacing w:line="360" w:lineRule="auto"/>
        <w:ind w:firstLine="480" w:firstLineChars="200"/>
        <w:rPr>
          <w:rFonts w:hint="eastAsia" w:ascii="宋体" w:hAnsi="宋体"/>
          <w:sz w:val="24"/>
          <w:highlight w:val="none"/>
          <w:lang w:eastAsia="zh-CN"/>
        </w:rPr>
      </w:pPr>
      <w:r>
        <w:rPr>
          <w:rFonts w:hint="eastAsia" w:ascii="宋体" w:hAnsi="宋体"/>
          <w:color w:val="FF0000"/>
          <w:sz w:val="24"/>
          <w:highlight w:val="none"/>
        </w:rPr>
        <w:t>要求提供静止无功发生器进口元器件配置清单(加盖公章)，清单应有产品型号、品牌及数量</w:t>
      </w:r>
      <w:r>
        <w:rPr>
          <w:rFonts w:hint="eastAsia" w:ascii="宋体" w:hAnsi="宋体"/>
          <w:color w:val="FF0000"/>
          <w:sz w:val="24"/>
          <w:highlight w:val="none"/>
          <w:lang w:val="en-US" w:eastAsia="zh-CN"/>
        </w:rPr>
        <w:t>等内容</w:t>
      </w:r>
      <w:r>
        <w:rPr>
          <w:rFonts w:hint="eastAsia" w:ascii="宋体" w:hAnsi="宋体"/>
          <w:sz w:val="24"/>
          <w:highlight w:val="none"/>
          <w:lang w:eastAsia="zh-CN"/>
        </w:rPr>
        <w:t>；</w:t>
      </w:r>
    </w:p>
    <w:p>
      <w:pPr>
        <w:numPr>
          <w:ilvl w:val="0"/>
          <w:numId w:val="12"/>
        </w:numPr>
        <w:spacing w:line="360" w:lineRule="auto"/>
        <w:ind w:firstLine="480" w:firstLineChars="200"/>
        <w:rPr>
          <w:rFonts w:hint="eastAsia" w:ascii="宋体" w:hAnsi="宋体"/>
          <w:sz w:val="24"/>
          <w:highlight w:val="none"/>
        </w:rPr>
      </w:pPr>
      <w:r>
        <w:rPr>
          <w:rFonts w:hint="eastAsia" w:ascii="宋体" w:hAnsi="宋体"/>
          <w:sz w:val="24"/>
          <w:highlight w:val="none"/>
        </w:rPr>
        <w:t>设备到我司仓库后，由我司人员和供方人员共同验证、核对元器件是否符合技术协议</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rPr>
      </w:pPr>
      <w:r>
        <w:rPr>
          <w:rFonts w:hint="eastAsia" w:ascii="宋体" w:hAnsi="宋体"/>
          <w:sz w:val="24"/>
          <w:highlight w:val="none"/>
          <w:lang w:val="en-US" w:eastAsia="zh-CN"/>
        </w:rPr>
        <w:t>安装</w:t>
      </w:r>
      <w:r>
        <w:rPr>
          <w:rFonts w:hint="eastAsia" w:ascii="宋体" w:hAnsi="宋体"/>
          <w:sz w:val="24"/>
          <w:highlight w:val="none"/>
        </w:rPr>
        <w:t>利用原补偿电柜且只能在电柜下柜《见附图一，红线（分支铜排）上面为电柜上柜，红线下面为电柜下柜》放置静止无功发生器。现有电柜下柜体使用空间为：1000mm*800mm*990mm（</w:t>
      </w:r>
      <w:bookmarkStart w:id="1" w:name="_Hlk150518918"/>
      <w:r>
        <w:rPr>
          <w:rFonts w:hint="eastAsia" w:ascii="宋体" w:hAnsi="宋体"/>
          <w:sz w:val="24"/>
          <w:highlight w:val="none"/>
        </w:rPr>
        <w:t>深*宽*高</w:t>
      </w:r>
      <w:bookmarkEnd w:id="1"/>
      <w:r>
        <w:rPr>
          <w:rFonts w:hint="eastAsia" w:ascii="宋体" w:hAnsi="宋体"/>
          <w:sz w:val="24"/>
          <w:highlight w:val="none"/>
        </w:rPr>
        <w:t>），其高度是电柜红线至电柜下柜底部高度（见附图一）</w:t>
      </w:r>
      <w:r>
        <w:rPr>
          <w:rFonts w:hint="eastAsia" w:ascii="宋体" w:hAnsi="宋体"/>
          <w:sz w:val="24"/>
          <w:highlight w:val="none"/>
          <w:lang w:eastAsia="zh-CN"/>
        </w:rPr>
        <w:t>；</w:t>
      </w:r>
    </w:p>
    <w:p>
      <w:pPr>
        <w:numPr>
          <w:ilvl w:val="0"/>
          <w:numId w:val="0"/>
        </w:numPr>
        <w:spacing w:line="360" w:lineRule="auto"/>
        <w:ind w:leftChars="200"/>
        <w:rPr>
          <w:rFonts w:hint="eastAsia" w:ascii="宋体" w:hAnsi="宋体"/>
          <w:sz w:val="24"/>
          <w:highlight w:val="none"/>
        </w:rPr>
      </w:pPr>
    </w:p>
    <w:p>
      <w:pPr>
        <w:numPr>
          <w:ilvl w:val="0"/>
          <w:numId w:val="0"/>
        </w:numPr>
        <w:spacing w:line="360" w:lineRule="auto"/>
        <w:ind w:leftChars="200"/>
        <w:rPr>
          <w:rFonts w:hint="eastAsia" w:ascii="宋体" w:hAnsi="宋体" w:eastAsiaTheme="minorEastAsia"/>
          <w:sz w:val="24"/>
          <w:highlight w:val="none"/>
          <w:lang w:eastAsia="zh-CN"/>
        </w:rPr>
      </w:pPr>
      <w:r>
        <w:rPr>
          <w:rFonts w:hint="eastAsia" w:ascii="宋体" w:hAnsi="宋体"/>
          <w:sz w:val="24"/>
          <w:highlight w:val="none"/>
        </w:rPr>
        <w:t>附图一</w:t>
      </w:r>
      <w:r>
        <w:rPr>
          <w:rFonts w:hint="eastAsia" w:ascii="宋体" w:hAnsi="宋体"/>
          <w:sz w:val="24"/>
          <w:highlight w:val="none"/>
          <w:lang w:eastAsia="zh-CN"/>
        </w:rPr>
        <w:t>：</w:t>
      </w:r>
    </w:p>
    <w:p>
      <w:pPr>
        <w:numPr>
          <w:ilvl w:val="0"/>
          <w:numId w:val="0"/>
        </w:numPr>
        <w:spacing w:line="360" w:lineRule="auto"/>
        <w:ind w:leftChars="200"/>
        <w:rPr>
          <w:rFonts w:hint="eastAsia" w:ascii="宋体" w:hAnsi="宋体"/>
          <w:sz w:val="24"/>
          <w:highlight w:val="none"/>
          <w:lang w:eastAsia="zh-CN"/>
        </w:rPr>
      </w:pPr>
      <w:r>
        <w:drawing>
          <wp:inline distT="0" distB="0" distL="0" distR="0">
            <wp:extent cx="2209800" cy="5143500"/>
            <wp:effectExtent l="0" t="0" r="0" b="0"/>
            <wp:docPr id="13" name="图片 13" descr="d:\Users\yuzp\Documents\WeChat Files\wxid_21diqa4b5e0d22\FileStorage\Temp\e7b8d099b2aa077f261448d1def9b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Users\yuzp\Documents\WeChat Files\wxid_21diqa4b5e0d22\FileStorage\Temp\e7b8d099b2aa077f261448d1def9bd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09800" cy="5143500"/>
                    </a:xfrm>
                    <a:prstGeom prst="rect">
                      <a:avLst/>
                    </a:prstGeom>
                    <a:noFill/>
                    <a:ln>
                      <a:noFill/>
                    </a:ln>
                  </pic:spPr>
                </pic:pic>
              </a:graphicData>
            </a:graphic>
          </wp:inline>
        </w:drawing>
      </w:r>
      <w:r>
        <w:drawing>
          <wp:inline distT="0" distB="0" distL="0" distR="0">
            <wp:extent cx="2650490" cy="5133975"/>
            <wp:effectExtent l="0" t="0" r="16510" b="9525"/>
            <wp:docPr id="14" name="图片 14" descr="d:\Users\yuzp\Documents\WeChat Files\wxid_21diqa4b5e0d22\FileStorage\Temp\185cec1068b45a7a1d9ee814a35e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Users\yuzp\Documents\WeChat Files\wxid_21diqa4b5e0d22\FileStorage\Temp\185cec1068b45a7a1d9ee814a35eef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50490" cy="5133975"/>
                    </a:xfrm>
                    <a:prstGeom prst="rect">
                      <a:avLst/>
                    </a:prstGeom>
                    <a:noFill/>
                    <a:ln>
                      <a:noFill/>
                    </a:ln>
                  </pic:spPr>
                </pic:pic>
              </a:graphicData>
            </a:graphic>
          </wp:inline>
        </w:drawing>
      </w:r>
    </w:p>
    <w:p>
      <w:pPr>
        <w:numPr>
          <w:ilvl w:val="0"/>
          <w:numId w:val="12"/>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不得改动电柜原有结构及外观（包括在电柜门上开孔或加装其他设备），新的控制器安装在原控制器处（拆除原控制器）；</w:t>
      </w:r>
    </w:p>
    <w:p>
      <w:pPr>
        <w:numPr>
          <w:ilvl w:val="0"/>
          <w:numId w:val="12"/>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保留且利用电柜上柜现有的电源刀熔总开关作为静止无功发生器的电源总开关，无需增加其他电源总开关，停送电只能在关好电柜门后，在电柜门外操作；</w:t>
      </w:r>
    </w:p>
    <w:p>
      <w:pPr>
        <w:numPr>
          <w:ilvl w:val="0"/>
          <w:numId w:val="12"/>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静止无功发生器所需机式为机架抽屉式（见附图二）；</w:t>
      </w:r>
    </w:p>
    <w:p>
      <w:pPr>
        <w:numPr>
          <w:ilvl w:val="0"/>
          <w:numId w:val="0"/>
        </w:numPr>
        <w:spacing w:line="360" w:lineRule="auto"/>
        <w:ind w:leftChars="200"/>
        <w:rPr>
          <w:rFonts w:hint="eastAsia" w:ascii="宋体" w:hAnsi="宋体"/>
          <w:sz w:val="24"/>
          <w:highlight w:val="none"/>
          <w:lang w:val="en-US" w:eastAsia="zh-CN"/>
        </w:rPr>
      </w:pPr>
      <w:r>
        <w:drawing>
          <wp:anchor distT="0" distB="0" distL="0" distR="0" simplePos="0" relativeHeight="251659264" behindDoc="0" locked="0" layoutInCell="1" allowOverlap="1">
            <wp:simplePos x="0" y="0"/>
            <wp:positionH relativeFrom="column">
              <wp:posOffset>1076325</wp:posOffset>
            </wp:positionH>
            <wp:positionV relativeFrom="paragraph">
              <wp:posOffset>73025</wp:posOffset>
            </wp:positionV>
            <wp:extent cx="3191510" cy="1504950"/>
            <wp:effectExtent l="0" t="0" r="8890" b="0"/>
            <wp:wrapNone/>
            <wp:docPr id="1" name="图片 1" descr="C:\Users\yuzp\AppData\Local\Temp\WeChat Files\3a08640649725037473e4d3bb336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uzp\AppData\Local\Temp\WeChat Files\3a08640649725037473e4d3bb3364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91510" cy="1504950"/>
                    </a:xfrm>
                    <a:prstGeom prst="rect">
                      <a:avLst/>
                    </a:prstGeom>
                    <a:noFill/>
                    <a:ln>
                      <a:noFill/>
                    </a:ln>
                  </pic:spPr>
                </pic:pic>
              </a:graphicData>
            </a:graphic>
          </wp:anchor>
        </w:drawing>
      </w:r>
      <w:r>
        <w:rPr>
          <w:rFonts w:hint="eastAsia" w:ascii="宋体" w:hAnsi="宋体"/>
          <w:sz w:val="24"/>
          <w:highlight w:val="none"/>
          <w:lang w:val="en-US" w:eastAsia="zh-CN"/>
        </w:rPr>
        <w:t>附图二：</w:t>
      </w: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r>
        <w:rPr>
          <w:rFonts w:hint="eastAsia" w:ascii="宋体" w:hAnsi="宋体"/>
          <w:sz w:val="24"/>
          <w:highlight w:val="none"/>
          <w:lang w:val="en-US" w:eastAsia="zh-CN"/>
        </w:rPr>
        <w:t xml:space="preserve">  </w:t>
      </w:r>
    </w:p>
    <w:p>
      <w:pPr>
        <w:numPr>
          <w:ilvl w:val="0"/>
          <w:numId w:val="12"/>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电柜下柜体分上、下两层各摆放一个模块（见附图三），模块安装后，所有空间距离应符合规范（</w:t>
      </w:r>
      <w:r>
        <w:rPr>
          <w:rFonts w:hint="eastAsia" w:ascii="宋体" w:hAnsi="宋体"/>
          <w:color w:val="FF0000"/>
          <w:sz w:val="24"/>
          <w:highlight w:val="none"/>
        </w:rPr>
        <w:t>要求提供详细的安装图及用文字描述设备前、后、左、右、上、中、下空间间距</w:t>
      </w:r>
      <w:r>
        <w:rPr>
          <w:rFonts w:hint="eastAsia" w:ascii="宋体" w:hAnsi="宋体"/>
          <w:sz w:val="24"/>
          <w:highlight w:val="none"/>
        </w:rPr>
        <w:t>）</w:t>
      </w:r>
      <w:r>
        <w:rPr>
          <w:rFonts w:hint="eastAsia" w:ascii="宋体" w:hAnsi="宋体"/>
          <w:sz w:val="24"/>
          <w:highlight w:val="none"/>
          <w:lang w:eastAsia="zh-CN"/>
        </w:rPr>
        <w:t>；</w:t>
      </w:r>
    </w:p>
    <w:p>
      <w:pPr>
        <w:spacing w:line="360" w:lineRule="auto"/>
        <w:rPr>
          <w:rFonts w:hint="eastAsia" w:ascii="宋体" w:hAnsi="宋体"/>
          <w:sz w:val="24"/>
          <w:highlight w:val="none"/>
          <w:lang w:eastAsia="zh-CN"/>
        </w:rPr>
      </w:pPr>
      <w:r>
        <w:rPr>
          <w:rFonts w:hint="eastAsia"/>
          <w:sz w:val="24"/>
        </w:rPr>
        <w:t>附图三：</w:t>
      </w:r>
    </w:p>
    <w:p>
      <w:pPr>
        <w:numPr>
          <w:ilvl w:val="0"/>
          <w:numId w:val="0"/>
        </w:numPr>
        <w:spacing w:line="360" w:lineRule="auto"/>
        <w:ind w:leftChars="200"/>
        <w:rPr>
          <w:rFonts w:hint="eastAsia" w:ascii="宋体" w:hAnsi="宋体"/>
          <w:sz w:val="24"/>
          <w:highlight w:val="none"/>
          <w:lang w:eastAsia="zh-CN"/>
        </w:rPr>
      </w:pPr>
      <w:r>
        <w:drawing>
          <wp:inline distT="0" distB="0" distL="0" distR="0">
            <wp:extent cx="5105400" cy="4772025"/>
            <wp:effectExtent l="0" t="0" r="0" b="9525"/>
            <wp:docPr id="4" name="图片 4" descr="d:\Users\yuzp\Documents\WeChat Files\wxid_21diqa4b5e0d22\FileStorage\Temp\b45a38e515fc7d141146e7aa8284f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yuzp\Documents\WeChat Files\wxid_21diqa4b5e0d22\FileStorage\Temp\b45a38e515fc7d141146e7aa8284f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05400" cy="4772025"/>
                    </a:xfrm>
                    <a:prstGeom prst="rect">
                      <a:avLst/>
                    </a:prstGeom>
                    <a:noFill/>
                    <a:ln>
                      <a:noFill/>
                    </a:ln>
                  </pic:spPr>
                </pic:pic>
              </a:graphicData>
            </a:graphic>
          </wp:inline>
        </w:drawing>
      </w:r>
    </w:p>
    <w:p>
      <w:pPr>
        <w:numPr>
          <w:ilvl w:val="0"/>
          <w:numId w:val="12"/>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利用原电柜顶部已有的两台散热风扇作为设备散热用，无需增加任何散热装置</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CT要求检测到变压器总输出电流，其安装应符合规范</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过零投切要求具有投入无涌流、切除无过压、无电弧重燃、无噪音、响应时间快、可频繁投切等</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lang w:val="en-US" w:eastAsia="zh-CN"/>
        </w:rPr>
        <w:t>验收后</w:t>
      </w:r>
      <w:r>
        <w:rPr>
          <w:rFonts w:hint="eastAsia" w:ascii="宋体" w:hAnsi="宋体"/>
          <w:sz w:val="24"/>
          <w:highlight w:val="none"/>
        </w:rPr>
        <w:t>先在B3配电系统低压侧安装2台静止无功发生器，测试其补偿效果，若达到补偿效果，继续在3#站B4配电系统低压侧安装2台静止无功发生器，若达不到补偿效果，4台静止无功发生器全额退款</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厂家</w:t>
      </w:r>
      <w:bookmarkStart w:id="2" w:name="_Hlk147683102"/>
      <w:r>
        <w:rPr>
          <w:rFonts w:hint="eastAsia" w:ascii="宋体" w:hAnsi="宋体"/>
          <w:sz w:val="24"/>
          <w:highlight w:val="none"/>
          <w:lang w:val="en-US" w:eastAsia="zh-CN"/>
        </w:rPr>
        <w:t>负责免费拆除电柜下柜体原有设备器件及安装</w:t>
      </w:r>
      <w:bookmarkEnd w:id="2"/>
      <w:r>
        <w:rPr>
          <w:rFonts w:hint="eastAsia" w:ascii="宋体" w:hAnsi="宋体"/>
          <w:sz w:val="24"/>
          <w:highlight w:val="none"/>
          <w:lang w:val="en-US" w:eastAsia="zh-CN"/>
        </w:rPr>
        <w:t>、调试、培训等工作，另报价应包含辅助材料费用和运费，辅助材料见附表。</w:t>
      </w:r>
    </w:p>
    <w:p>
      <w:pPr>
        <w:spacing w:line="360" w:lineRule="auto"/>
        <w:rPr>
          <w:sz w:val="24"/>
        </w:rPr>
      </w:pPr>
      <w:r>
        <w:rPr>
          <w:rFonts w:hint="eastAsia"/>
          <w:sz w:val="24"/>
        </w:rPr>
        <w:t>附表：</w:t>
      </w:r>
    </w:p>
    <w:p>
      <w:pPr>
        <w:spacing w:line="360" w:lineRule="auto"/>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辅助材料表</w:t>
      </w:r>
    </w:p>
    <w:tbl>
      <w:tblPr>
        <w:tblStyle w:val="16"/>
        <w:tblW w:w="80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390"/>
        <w:gridCol w:w="3020"/>
        <w:gridCol w:w="690"/>
        <w:gridCol w:w="750"/>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62"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序号</w:t>
            </w:r>
          </w:p>
        </w:tc>
        <w:tc>
          <w:tcPr>
            <w:tcW w:w="1390"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名   称</w:t>
            </w:r>
          </w:p>
        </w:tc>
        <w:tc>
          <w:tcPr>
            <w:tcW w:w="3020"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品牌、型号、规格</w:t>
            </w:r>
          </w:p>
        </w:tc>
        <w:tc>
          <w:tcPr>
            <w:tcW w:w="690"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单位</w:t>
            </w:r>
          </w:p>
        </w:tc>
        <w:tc>
          <w:tcPr>
            <w:tcW w:w="750"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数量</w:t>
            </w:r>
          </w:p>
        </w:tc>
        <w:tc>
          <w:tcPr>
            <w:tcW w:w="1584"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62" w:type="dxa"/>
            <w:vAlign w:val="center"/>
          </w:tcPr>
          <w:p>
            <w:pPr>
              <w:pStyle w:val="15"/>
              <w:spacing w:before="78" w:line="183" w:lineRule="auto"/>
              <w:jc w:val="center"/>
              <w:rPr>
                <w:rFonts w:asciiTheme="minorEastAsia" w:hAnsiTheme="minorEastAsia" w:eastAsiaTheme="minorEastAsia"/>
              </w:rPr>
            </w:pPr>
            <w:r>
              <w:rPr>
                <w:rFonts w:asciiTheme="minorEastAsia" w:hAnsiTheme="minorEastAsia" w:eastAsiaTheme="minorEastAsia"/>
              </w:rPr>
              <w:t>1</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低压</w:t>
            </w:r>
            <w:r>
              <w:rPr>
                <w:rFonts w:hint="eastAsia" w:asciiTheme="minorEastAsia" w:hAnsiTheme="minorEastAsia"/>
                <w:snapToGrid w:val="0"/>
                <w:color w:val="000000"/>
                <w:spacing w:val="-2"/>
                <w:sz w:val="21"/>
                <w:szCs w:val="21"/>
                <w:lang w:eastAsia="zh-CN"/>
              </w:rPr>
              <w:t>电线</w:t>
            </w:r>
          </w:p>
        </w:tc>
        <w:tc>
          <w:tcPr>
            <w:tcW w:w="3020" w:type="dxa"/>
            <w:vAlign w:val="top"/>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ZB-YJY-1kv.1*70</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30</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2" w:type="dxa"/>
            <w:vAlign w:val="center"/>
          </w:tcPr>
          <w:p>
            <w:pPr>
              <w:pStyle w:val="15"/>
              <w:spacing w:before="78" w:line="183" w:lineRule="auto"/>
              <w:jc w:val="center"/>
              <w:rPr>
                <w:rFonts w:asciiTheme="minorEastAsia" w:hAnsiTheme="minorEastAsia" w:eastAsiaTheme="minorEastAsia"/>
                <w:lang w:eastAsia="zh-CN"/>
              </w:rPr>
            </w:pPr>
            <w:r>
              <w:rPr>
                <w:rFonts w:asciiTheme="minorEastAsia" w:hAnsiTheme="minorEastAsia" w:eastAsiaTheme="minorEastAsia" w:cstheme="minorBidi"/>
                <w:kern w:val="2"/>
                <w:lang w:eastAsia="zh-CN"/>
              </w:rPr>
              <w:t>2</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hint="eastAsia" w:asciiTheme="minorEastAsia" w:hAnsiTheme="minorEastAsia"/>
                <w:snapToGrid w:val="0"/>
                <w:color w:val="000000"/>
                <w:spacing w:val="-2"/>
                <w:sz w:val="21"/>
                <w:szCs w:val="21"/>
                <w:lang w:eastAsia="zh-CN"/>
              </w:rPr>
              <w:t>二次线</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1*2.5</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100</w:t>
            </w:r>
          </w:p>
        </w:tc>
        <w:tc>
          <w:tcPr>
            <w:tcW w:w="1584" w:type="dxa"/>
            <w:vAlign w:val="center"/>
          </w:tcPr>
          <w:p>
            <w:pPr>
              <w:pStyle w:val="15"/>
              <w:spacing w:before="78" w:line="221" w:lineRule="auto"/>
              <w:ind w:left="115"/>
              <w:jc w:val="center"/>
              <w:rPr>
                <w:rFonts w:asciiTheme="minorEastAsia" w:hAnsiTheme="minorEastAsia"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662" w:type="dxa"/>
            <w:vAlign w:val="center"/>
          </w:tcPr>
          <w:p>
            <w:pPr>
              <w:pStyle w:val="15"/>
              <w:spacing w:before="253" w:line="183" w:lineRule="auto"/>
              <w:jc w:val="center"/>
              <w:rPr>
                <w:rFonts w:asciiTheme="minorEastAsia" w:hAnsiTheme="minorEastAsia" w:eastAsiaTheme="minorEastAsia"/>
              </w:rPr>
            </w:pPr>
            <w:r>
              <w:rPr>
                <w:rFonts w:asciiTheme="minorEastAsia" w:hAnsiTheme="minorEastAsia" w:eastAsiaTheme="minorEastAsia"/>
              </w:rPr>
              <w:t>3</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热缩管</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70 平方黑色热缩管</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5</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62" w:type="dxa"/>
            <w:vAlign w:val="center"/>
          </w:tcPr>
          <w:p>
            <w:pPr>
              <w:pStyle w:val="15"/>
              <w:spacing w:before="305" w:line="182" w:lineRule="auto"/>
              <w:jc w:val="center"/>
              <w:rPr>
                <w:rFonts w:asciiTheme="minorEastAsia" w:hAnsiTheme="minorEastAsia" w:eastAsiaTheme="minorEastAsia"/>
              </w:rPr>
            </w:pPr>
            <w:r>
              <w:rPr>
                <w:rFonts w:asciiTheme="minorEastAsia" w:hAnsiTheme="minorEastAsia" w:eastAsiaTheme="minorEastAsia"/>
              </w:rPr>
              <w:t>4</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热缩管</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0"/>
                <w:szCs w:val="20"/>
                <w:lang w:val="en-US" w:eastAsia="zh-CN"/>
              </w:rPr>
              <w:t>70 平方的热缩管(黄、绿、红）</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6</w:t>
            </w:r>
          </w:p>
        </w:tc>
        <w:tc>
          <w:tcPr>
            <w:tcW w:w="1584" w:type="dxa"/>
            <w:vAlign w:val="center"/>
          </w:tcPr>
          <w:p>
            <w:pPr>
              <w:pStyle w:val="15"/>
              <w:spacing w:before="111" w:line="230" w:lineRule="auto"/>
              <w:ind w:left="115" w:right="144" w:firstLine="2"/>
              <w:jc w:val="center"/>
              <w:rPr>
                <w:rFonts w:asciiTheme="minorEastAsia" w:hAnsiTheme="minorEastAsia" w:eastAsiaTheme="minorEastAsia"/>
                <w:spacing w:val="1"/>
                <w:sz w:val="21"/>
                <w:szCs w:val="21"/>
                <w:lang w:eastAsia="zh-CN"/>
              </w:rPr>
            </w:pPr>
            <w:r>
              <w:rPr>
                <w:rFonts w:hint="eastAsia" w:asciiTheme="minorEastAsia" w:hAnsiTheme="minorEastAsia" w:eastAsiaTheme="minorEastAsia"/>
                <w:spacing w:val="1"/>
                <w:sz w:val="20"/>
                <w:szCs w:val="20"/>
                <w:lang w:eastAsia="zh-CN"/>
              </w:rPr>
              <w:t>每种颜色各2米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662" w:type="dxa"/>
            <w:vAlign w:val="center"/>
          </w:tcPr>
          <w:p>
            <w:pPr>
              <w:pStyle w:val="15"/>
              <w:spacing w:before="78" w:line="183" w:lineRule="auto"/>
              <w:jc w:val="center"/>
              <w:rPr>
                <w:rFonts w:asciiTheme="minorEastAsia" w:hAnsiTheme="minorEastAsia" w:eastAsiaTheme="minorEastAsia"/>
                <w:lang w:eastAsia="zh-CN"/>
              </w:rPr>
            </w:pPr>
            <w:r>
              <w:rPr>
                <w:rFonts w:asciiTheme="minorEastAsia" w:hAnsiTheme="minorEastAsia" w:eastAsiaTheme="minorEastAsia"/>
                <w:lang w:eastAsia="zh-CN"/>
              </w:rPr>
              <w:t>5</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铜接线鼻子</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DT-70 平方铜接线 端子线鼻子</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32</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62" w:type="dxa"/>
            <w:vAlign w:val="center"/>
          </w:tcPr>
          <w:p>
            <w:pPr>
              <w:pStyle w:val="15"/>
              <w:spacing w:before="78" w:line="182" w:lineRule="auto"/>
              <w:jc w:val="center"/>
              <w:rPr>
                <w:rFonts w:asciiTheme="minorEastAsia" w:hAnsiTheme="minorEastAsia" w:eastAsiaTheme="minorEastAsia"/>
                <w:lang w:eastAsia="zh-CN"/>
              </w:rPr>
            </w:pPr>
            <w:r>
              <w:rPr>
                <w:rFonts w:hint="eastAsia" w:asciiTheme="minorEastAsia" w:hAnsiTheme="minorEastAsia" w:eastAsiaTheme="minorEastAsia"/>
                <w:lang w:eastAsia="zh-CN"/>
              </w:rPr>
              <w:t>6</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hint="eastAsia" w:asciiTheme="minorEastAsia" w:hAnsiTheme="minorEastAsia"/>
                <w:snapToGrid w:val="0"/>
                <w:color w:val="000000"/>
                <w:spacing w:val="-2"/>
                <w:sz w:val="21"/>
                <w:szCs w:val="21"/>
                <w:lang w:eastAsia="zh-CN"/>
              </w:rPr>
              <w:t>开口式互感器</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4000/5</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662" w:type="dxa"/>
            <w:vAlign w:val="center"/>
          </w:tcPr>
          <w:p>
            <w:pPr>
              <w:spacing w:line="312" w:lineRule="auto"/>
              <w:jc w:val="center"/>
              <w:rPr>
                <w:rFonts w:asciiTheme="minorEastAsia" w:hAnsiTheme="minorEastAsia"/>
                <w:snapToGrid w:val="0"/>
                <w:color w:val="000000"/>
                <w:sz w:val="24"/>
                <w:lang w:eastAsia="zh-CN"/>
              </w:rPr>
            </w:pPr>
            <w:r>
              <w:rPr>
                <w:rFonts w:asciiTheme="minorEastAsia" w:hAnsiTheme="minorEastAsia"/>
                <w:snapToGrid w:val="0"/>
                <w:color w:val="000000"/>
                <w:sz w:val="24"/>
                <w:lang w:eastAsia="zh-CN"/>
              </w:rPr>
              <w:t>7</w:t>
            </w:r>
          </w:p>
        </w:tc>
        <w:tc>
          <w:tcPr>
            <w:tcW w:w="1390" w:type="dxa"/>
            <w:vAlign w:val="center"/>
          </w:tcPr>
          <w:p>
            <w:pPr>
              <w:spacing w:line="394" w:lineRule="auto"/>
              <w:jc w:val="center"/>
              <w:rPr>
                <w:rFonts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端子排</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IEC947-7-1F-760-006</w:t>
            </w:r>
          </w:p>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0.5~10/0.5~6mm2 800V 57A</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7</w:t>
            </w:r>
          </w:p>
        </w:tc>
        <w:tc>
          <w:tcPr>
            <w:tcW w:w="1584" w:type="dxa"/>
            <w:vAlign w:val="center"/>
          </w:tcPr>
          <w:p>
            <w:pPr>
              <w:jc w:val="center"/>
              <w:rPr>
                <w:rFonts w:asciiTheme="minorEastAsia" w:hAnsiTheme="minorEastAsia"/>
                <w:snapToGrid w:val="0"/>
                <w:color w:val="000000"/>
                <w:sz w:val="21"/>
                <w:szCs w:val="21"/>
                <w:lang w:eastAsia="en-US"/>
              </w:rPr>
            </w:pPr>
          </w:p>
        </w:tc>
      </w:tr>
    </w:tbl>
    <w:p>
      <w:pPr>
        <w:numPr>
          <w:ilvl w:val="0"/>
          <w:numId w:val="12"/>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中标单位提供测试设备并负责检测工作，试运行检测完成，设备性能运行稳定后，进行12小时连续负荷试机，要求满足全部技术协议；</w:t>
      </w:r>
    </w:p>
    <w:p>
      <w:pPr>
        <w:numPr>
          <w:ilvl w:val="0"/>
          <w:numId w:val="12"/>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调试期间做好测试，在维持功率因数不小于0.90前提下，使SVG工作在最佳状态</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eastAsiaTheme="minorEastAsia"/>
          <w:sz w:val="24"/>
          <w:highlight w:val="none"/>
          <w:lang w:eastAsia="zh-CN"/>
        </w:rPr>
      </w:pPr>
      <w:r>
        <w:rPr>
          <w:rFonts w:hint="eastAsia" w:ascii="宋体" w:hAnsi="宋体"/>
          <w:sz w:val="24"/>
          <w:highlight w:val="none"/>
        </w:rPr>
        <w:t>改造完成后，静止无功发生器运行参数应能正常反馈到华力特监控系统中</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产品质保期不少于</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eastAsia="zh-CN"/>
        </w:rPr>
        <w:t>。</w:t>
      </w:r>
    </w:p>
    <w:p>
      <w:pPr>
        <w:numPr>
          <w:ilvl w:val="0"/>
          <w:numId w:val="12"/>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附补偿柜下柜后视图：</w:t>
      </w:r>
    </w:p>
    <w:p>
      <w:pPr>
        <w:numPr>
          <w:numId w:val="0"/>
        </w:numPr>
        <w:spacing w:line="360" w:lineRule="auto"/>
        <w:ind w:leftChars="200"/>
        <w:rPr>
          <w:rFonts w:hint="eastAsia" w:ascii="宋体" w:hAnsi="宋体"/>
          <w:sz w:val="24"/>
          <w:highlight w:val="none"/>
          <w:lang w:val="en-US" w:eastAsia="zh-CN"/>
        </w:rPr>
      </w:pPr>
      <w:r>
        <w:rPr>
          <w:sz w:val="28"/>
          <w:szCs w:val="28"/>
        </w:rPr>
        <w:drawing>
          <wp:inline distT="0" distB="0" distL="0" distR="0">
            <wp:extent cx="1438275" cy="2196465"/>
            <wp:effectExtent l="0" t="0" r="9525" b="13335"/>
            <wp:docPr id="2" name="图片 2" descr="d:\Users\yuzp\Documents\WeChat Files\wxid_21diqa4b5e0d22\FileStorage\Temp\5c905462bb4ec002cd7e8a25c174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yuzp\Documents\WeChat Files\wxid_21diqa4b5e0d22\FileStorage\Temp\5c905462bb4ec002cd7e8a25c1745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38275" cy="2196465"/>
                    </a:xfrm>
                    <a:prstGeom prst="rect">
                      <a:avLst/>
                    </a:prstGeom>
                    <a:noFill/>
                    <a:ln>
                      <a:noFill/>
                    </a:ln>
                  </pic:spPr>
                </pic:pic>
              </a:graphicData>
            </a:graphic>
          </wp:inline>
        </w:drawing>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至指定地点：广州大学城档案馆路36号第四冷站旁边仓库（国家档案馆对面）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货期要求不超过7天。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5"/>
        </w:numPr>
        <w:tabs>
          <w:tab w:val="left" w:pos="420"/>
        </w:tabs>
        <w:spacing w:line="360" w:lineRule="auto"/>
        <w:rPr>
          <w:rFonts w:hint="eastAsia" w:ascii="宋体" w:hAnsi="宋体"/>
          <w:sz w:val="24"/>
          <w:highlight w:val="none"/>
        </w:rPr>
      </w:pPr>
      <w:r>
        <w:rPr>
          <w:rFonts w:hint="eastAsia" w:ascii="宋体" w:hAnsi="宋体"/>
          <w:sz w:val="24"/>
          <w:highlight w:val="none"/>
        </w:rPr>
        <w:t>设备质量达到要求</w:t>
      </w:r>
      <w:r>
        <w:rPr>
          <w:rFonts w:hint="eastAsia" w:ascii="宋体" w:hAnsi="宋体"/>
          <w:sz w:val="24"/>
          <w:highlight w:val="none"/>
          <w:lang w:eastAsia="zh-CN"/>
        </w:rPr>
        <w:t>：</w:t>
      </w:r>
      <w:r>
        <w:rPr>
          <w:rFonts w:hint="eastAsia" w:ascii="宋体" w:hAnsi="宋体"/>
          <w:sz w:val="24"/>
          <w:highlight w:val="none"/>
        </w:rPr>
        <w:t>安装SVG设备时，应符合产品技术文件要求（检查元器件是否同元器件配置清单相符）</w:t>
      </w:r>
      <w:r>
        <w:rPr>
          <w:rFonts w:hint="eastAsia" w:ascii="宋体" w:hAnsi="宋体"/>
          <w:sz w:val="24"/>
          <w:highlight w:val="none"/>
          <w:lang w:eastAsia="zh-CN"/>
        </w:rPr>
        <w:t>；</w:t>
      </w:r>
      <w:r>
        <w:rPr>
          <w:rFonts w:hint="eastAsia" w:ascii="宋体" w:hAnsi="宋体"/>
          <w:sz w:val="24"/>
          <w:highlight w:val="none"/>
        </w:rPr>
        <w:t>静止无功发生器金属外壳应与接地网可靠连接</w:t>
      </w:r>
      <w:r>
        <w:rPr>
          <w:rFonts w:hint="eastAsia" w:ascii="宋体" w:hAnsi="宋体"/>
          <w:sz w:val="24"/>
          <w:highlight w:val="none"/>
          <w:lang w:eastAsia="zh-CN"/>
        </w:rPr>
        <w:t>；</w:t>
      </w:r>
      <w:r>
        <w:rPr>
          <w:rFonts w:hint="eastAsia" w:ascii="宋体" w:hAnsi="宋体"/>
          <w:sz w:val="24"/>
          <w:highlight w:val="none"/>
        </w:rPr>
        <w:t>安装过程中，要注意保护好低压母排及相关设施的完好，施工前确认好保护措施后方可施工。</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设备安装及验收参考标准《电气装置安装工程低压电器施工及验收规范》 GB50254-2014</w:t>
      </w:r>
      <w:r>
        <w:rPr>
          <w:rFonts w:hint="eastAsia" w:ascii="宋体" w:hAnsi="宋体"/>
          <w:sz w:val="24"/>
          <w:highlight w:val="none"/>
          <w:lang w:eastAsia="zh-CN"/>
        </w:rPr>
        <w:t>；</w:t>
      </w:r>
      <w:r>
        <w:rPr>
          <w:rFonts w:hint="eastAsia" w:ascii="宋体" w:hAnsi="宋体"/>
          <w:sz w:val="24"/>
          <w:highlight w:val="none"/>
        </w:rPr>
        <w:t>《电气装置安装工程接地工程施工及验收规范》 GB50169-2006</w:t>
      </w:r>
      <w:r>
        <w:rPr>
          <w:rFonts w:hint="eastAsia" w:ascii="宋体" w:hAnsi="宋体"/>
          <w:sz w:val="24"/>
          <w:highlight w:val="none"/>
          <w:lang w:eastAsia="zh-CN"/>
        </w:rPr>
        <w:t>；</w:t>
      </w:r>
      <w:r>
        <w:rPr>
          <w:rFonts w:hint="eastAsia" w:ascii="宋体" w:hAnsi="宋体"/>
          <w:sz w:val="24"/>
          <w:highlight w:val="none"/>
        </w:rPr>
        <w:t>《低压配电设计规范》GB 50054-95</w:t>
      </w:r>
      <w:r>
        <w:rPr>
          <w:rFonts w:hint="eastAsia" w:ascii="宋体" w:hAnsi="宋体"/>
          <w:sz w:val="24"/>
          <w:highlight w:val="none"/>
          <w:lang w:eastAsia="zh-CN"/>
        </w:rPr>
        <w:t>；</w:t>
      </w:r>
      <w:r>
        <w:rPr>
          <w:rFonts w:hint="eastAsia" w:ascii="宋体" w:hAnsi="宋体"/>
          <w:sz w:val="24"/>
          <w:highlight w:val="none"/>
        </w:rPr>
        <w:t>《工业企业能源管理导则》GB/T 15587-2008</w:t>
      </w:r>
      <w:r>
        <w:rPr>
          <w:rFonts w:hint="eastAsia" w:ascii="宋体" w:hAnsi="宋体"/>
          <w:sz w:val="24"/>
          <w:highlight w:val="none"/>
          <w:lang w:eastAsia="zh-CN"/>
        </w:rPr>
        <w:t>。</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left="0" w:leftChars="0" w:firstLine="420" w:firstLineChars="0"/>
        <w:rPr>
          <w:rFonts w:ascii="宋体" w:hAnsi="宋体"/>
          <w:sz w:val="24"/>
          <w:highlight w:val="none"/>
        </w:rPr>
      </w:pPr>
      <w:r>
        <w:rPr>
          <w:rFonts w:hint="eastAsia" w:ascii="宋体" w:hAnsi="宋体"/>
          <w:sz w:val="24"/>
          <w:highlight w:val="none"/>
        </w:rPr>
        <w:t>★设备保修期不少于</w:t>
      </w:r>
      <w:r>
        <w:rPr>
          <w:rFonts w:hint="eastAsia" w:ascii="宋体" w:hAnsi="宋体"/>
          <w:sz w:val="24"/>
          <w:highlight w:val="none"/>
          <w:lang w:val="en-US" w:eastAsia="zh-CN"/>
        </w:rPr>
        <w:t>5</w:t>
      </w:r>
      <w:r>
        <w:rPr>
          <w:rFonts w:hint="eastAsia" w:ascii="宋体" w:hAnsi="宋体"/>
          <w:sz w:val="24"/>
          <w:highlight w:val="none"/>
        </w:rPr>
        <w:t>年，质保期自验收合格之日起计。供应商在投标文件中承诺提供的服务须能提供制造商的服务热线（如400电话等）查证。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w:t>
      </w:r>
      <w:r>
        <w:rPr>
          <w:rFonts w:hint="eastAsia" w:ascii="宋体" w:hAnsi="宋体"/>
          <w:sz w:val="24"/>
          <w:highlight w:val="none"/>
          <w:lang w:val="en-US" w:eastAsia="zh-CN"/>
        </w:rPr>
        <w:t>安装合格</w:t>
      </w:r>
      <w:r>
        <w:rPr>
          <w:rFonts w:hint="eastAsia" w:ascii="宋体" w:hAnsi="宋体"/>
          <w:sz w:val="24"/>
          <w:highlight w:val="none"/>
        </w:rPr>
        <w:t>并经</w:t>
      </w:r>
      <w:r>
        <w:rPr>
          <w:rFonts w:hint="eastAsia" w:ascii="宋体" w:hAnsi="宋体"/>
          <w:sz w:val="24"/>
          <w:highlight w:val="none"/>
          <w:lang w:val="en-US" w:eastAsia="zh-CN"/>
        </w:rPr>
        <w:t>需</w:t>
      </w:r>
      <w:r>
        <w:rPr>
          <w:rFonts w:hint="eastAsia" w:ascii="宋体" w:hAnsi="宋体"/>
          <w:sz w:val="24"/>
          <w:highlight w:val="none"/>
        </w:rPr>
        <w:t>方验收签字和收到供方相关的技术资料后15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静止无功发生器设备采购</w:t>
      </w:r>
    </w:p>
    <w:tbl>
      <w:tblPr>
        <w:tblStyle w:val="6"/>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三</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五</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八</w:t>
            </w:r>
            <w:r>
              <w:rPr>
                <w:rFonts w:ascii="宋体" w:hAnsi="宋体"/>
                <w:color w:val="auto"/>
                <w:sz w:val="18"/>
                <w:szCs w:val="18"/>
                <w:highlight w:val="none"/>
              </w:rPr>
              <w:t>）</w:t>
            </w:r>
            <w:r>
              <w:rPr>
                <w:rFonts w:hint="eastAsia" w:ascii="宋体" w:hAnsi="宋体"/>
                <w:color w:val="auto"/>
                <w:sz w:val="18"/>
                <w:szCs w:val="18"/>
                <w:highlight w:val="none"/>
                <w:lang w:val="en-US" w:eastAsia="zh-CN"/>
              </w:rPr>
              <w:t>4</w:t>
            </w:r>
            <w:r>
              <w:rPr>
                <w:rFonts w:ascii="宋体" w:hAnsi="宋体"/>
                <w:color w:val="auto"/>
                <w:sz w:val="18"/>
                <w:szCs w:val="18"/>
                <w:highlight w:val="none"/>
              </w:rPr>
              <w:t>、 ★</w:t>
            </w:r>
            <w:r>
              <w:rPr>
                <w:rFonts w:hint="eastAsia" w:ascii="宋体" w:hAnsi="宋体"/>
                <w:sz w:val="18"/>
                <w:szCs w:val="18"/>
                <w:highlight w:val="none"/>
              </w:rPr>
              <w:t>设备保修期不少于</w:t>
            </w:r>
            <w:r>
              <w:rPr>
                <w:rFonts w:hint="eastAsia" w:ascii="宋体" w:hAnsi="宋体"/>
                <w:sz w:val="18"/>
                <w:szCs w:val="18"/>
                <w:highlight w:val="none"/>
                <w:lang w:val="en-US" w:eastAsia="zh-CN"/>
              </w:rPr>
              <w:t>5</w:t>
            </w:r>
            <w:r>
              <w:rPr>
                <w:rFonts w:hint="eastAsia" w:ascii="宋体" w:hAnsi="宋体"/>
                <w:sz w:val="18"/>
                <w:szCs w:val="18"/>
                <w:highlight w:val="none"/>
              </w:rPr>
              <w:t>年，质保期自验收合格之日起计。供应商在投标文件中承诺提供的服务须能提供制造商的服务热线（如400电话等）查证。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sz w:val="18"/>
                <w:szCs w:val="18"/>
                <w:highlight w:val="none"/>
              </w:rPr>
              <w:t>全部货物货到现场</w:t>
            </w:r>
            <w:r>
              <w:rPr>
                <w:rFonts w:hint="eastAsia" w:ascii="宋体" w:hAnsi="宋体"/>
                <w:sz w:val="18"/>
                <w:szCs w:val="18"/>
                <w:highlight w:val="none"/>
                <w:lang w:val="en-US" w:eastAsia="zh-CN"/>
              </w:rPr>
              <w:t>安装合格</w:t>
            </w:r>
            <w:r>
              <w:rPr>
                <w:rFonts w:hint="eastAsia" w:ascii="宋体" w:hAnsi="宋体"/>
                <w:sz w:val="18"/>
                <w:szCs w:val="18"/>
                <w:highlight w:val="none"/>
              </w:rPr>
              <w:t>并经</w:t>
            </w:r>
            <w:r>
              <w:rPr>
                <w:rFonts w:hint="eastAsia" w:ascii="宋体" w:hAnsi="宋体"/>
                <w:sz w:val="18"/>
                <w:szCs w:val="18"/>
                <w:highlight w:val="none"/>
                <w:lang w:val="en-US" w:eastAsia="zh-CN"/>
              </w:rPr>
              <w:t>需</w:t>
            </w:r>
            <w:r>
              <w:rPr>
                <w:rFonts w:hint="eastAsia" w:ascii="宋体" w:hAnsi="宋体"/>
                <w:sz w:val="18"/>
                <w:szCs w:val="18"/>
                <w:highlight w:val="none"/>
              </w:rPr>
              <w:t>方验收签字和收到供方相关的技术资料后15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8">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19">
    <w:nsid w:val="7B940999"/>
    <w:multiLevelType w:val="singleLevel"/>
    <w:tmpl w:val="7B940999"/>
    <w:lvl w:ilvl="0" w:tentative="0">
      <w:start w:val="1"/>
      <w:numFmt w:val="decimal"/>
      <w:suff w:val="nothing"/>
      <w:lvlText w:val="%1、"/>
      <w:lvlJc w:val="left"/>
    </w:lvl>
  </w:abstractNum>
  <w:num w:numId="1">
    <w:abstractNumId w:val="13"/>
  </w:num>
  <w:num w:numId="2">
    <w:abstractNumId w:val="10"/>
  </w:num>
  <w:num w:numId="3">
    <w:abstractNumId w:val="3"/>
  </w:num>
  <w:num w:numId="4">
    <w:abstractNumId w:val="15"/>
  </w:num>
  <w:num w:numId="5">
    <w:abstractNumId w:val="6"/>
  </w:num>
  <w:num w:numId="6">
    <w:abstractNumId w:val="2"/>
  </w:num>
  <w:num w:numId="7">
    <w:abstractNumId w:val="5"/>
  </w:num>
  <w:num w:numId="8">
    <w:abstractNumId w:val="4"/>
  </w:num>
  <w:num w:numId="9">
    <w:abstractNumId w:val="17"/>
  </w:num>
  <w:num w:numId="10">
    <w:abstractNumId w:val="16"/>
  </w:num>
  <w:num w:numId="11">
    <w:abstractNumId w:val="18"/>
  </w:num>
  <w:num w:numId="12">
    <w:abstractNumId w:val="19"/>
  </w:num>
  <w:num w:numId="13">
    <w:abstractNumId w:val="1"/>
  </w:num>
  <w:num w:numId="14">
    <w:abstractNumId w:val="12"/>
  </w:num>
  <w:num w:numId="15">
    <w:abstractNumId w:val="14"/>
  </w:num>
  <w:num w:numId="16">
    <w:abstractNumId w:val="8"/>
  </w:num>
  <w:num w:numId="17">
    <w:abstractNumId w:val="7"/>
  </w:num>
  <w:num w:numId="18">
    <w:abstractNumId w:val="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5B94074"/>
    <w:rsid w:val="0AB404CF"/>
    <w:rsid w:val="105F7BEE"/>
    <w:rsid w:val="1A405CA5"/>
    <w:rsid w:val="1B431393"/>
    <w:rsid w:val="1C326EE2"/>
    <w:rsid w:val="1D4A68CA"/>
    <w:rsid w:val="1F6317DE"/>
    <w:rsid w:val="20022BF3"/>
    <w:rsid w:val="21426207"/>
    <w:rsid w:val="219C5AD0"/>
    <w:rsid w:val="21EF441B"/>
    <w:rsid w:val="22344EAD"/>
    <w:rsid w:val="261B75D1"/>
    <w:rsid w:val="2AC216B9"/>
    <w:rsid w:val="2E16557C"/>
    <w:rsid w:val="30880D6D"/>
    <w:rsid w:val="315670E0"/>
    <w:rsid w:val="338220BD"/>
    <w:rsid w:val="36A7666B"/>
    <w:rsid w:val="471F338C"/>
    <w:rsid w:val="4A5D6314"/>
    <w:rsid w:val="5349618D"/>
    <w:rsid w:val="53DC470C"/>
    <w:rsid w:val="55C8186D"/>
    <w:rsid w:val="595048C3"/>
    <w:rsid w:val="605F149E"/>
    <w:rsid w:val="61345013"/>
    <w:rsid w:val="6370437E"/>
    <w:rsid w:val="6908487B"/>
    <w:rsid w:val="69A35E39"/>
    <w:rsid w:val="6C9E4944"/>
    <w:rsid w:val="6DEF70E9"/>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qFormat/>
    <w:uiPriority w:val="0"/>
    <w:pPr>
      <w:spacing w:line="360" w:lineRule="auto"/>
      <w:ind w:left="0" w:leftChars="0"/>
      <w:jc w:val="left"/>
    </w:pPr>
    <w:rPr>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customStyle="1" w:styleId="10">
    <w:name w:val="列出段落1"/>
    <w:basedOn w:val="1"/>
    <w:unhideWhenUsed/>
    <w:qFormat/>
    <w:uiPriority w:val="0"/>
    <w:pPr>
      <w:ind w:firstLine="420" w:firstLineChars="200"/>
    </w:pPr>
  </w:style>
  <w:style w:type="paragraph" w:styleId="11">
    <w:name w:val="List Paragraph"/>
    <w:basedOn w:val="1"/>
    <w:unhideWhenUsed/>
    <w:qFormat/>
    <w:uiPriority w:val="34"/>
    <w:pPr>
      <w:ind w:firstLine="420" w:firstLineChars="200"/>
    </w:p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FF0000"/>
      <w:sz w:val="22"/>
      <w:szCs w:val="22"/>
      <w:u w:val="none"/>
    </w:rPr>
  </w:style>
  <w:style w:type="character" w:customStyle="1" w:styleId="14">
    <w:name w:val="font21"/>
    <w:basedOn w:val="8"/>
    <w:qFormat/>
    <w:uiPriority w:val="0"/>
    <w:rPr>
      <w:rFonts w:hint="eastAsia" w:ascii="宋体" w:hAnsi="宋体" w:eastAsia="宋体" w:cs="宋体"/>
      <w:color w:val="FF0000"/>
      <w:sz w:val="22"/>
      <w:szCs w:val="22"/>
      <w:u w:val="none"/>
    </w:r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6">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2023-12-25T08:16:35Z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E2292B73062840FBBF86407292665C0E_12</vt:lpwstr>
  </property>
</Properties>
</file>