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rFonts w:hint="eastAsia"/>
          <w:b/>
          <w:sz w:val="28"/>
          <w:highlight w:val="none"/>
          <w:lang w:val="en-US" w:eastAsia="zh-CN"/>
        </w:rPr>
      </w:pPr>
      <w:r>
        <w:rPr>
          <w:rFonts w:hint="eastAsia"/>
          <w:b/>
          <w:sz w:val="28"/>
          <w:highlight w:val="none"/>
          <w:lang w:val="en-US" w:eastAsia="zh-CN"/>
        </w:rPr>
        <w:t xml:space="preserve"> </w:t>
      </w:r>
      <w:r>
        <w:rPr>
          <w:rFonts w:hint="eastAsia"/>
          <w:b/>
          <w:sz w:val="28"/>
          <w:highlight w:val="none"/>
        </w:rPr>
        <w:t>安全风险整改项目二</w:t>
      </w:r>
      <w:r>
        <w:rPr>
          <w:rFonts w:hint="eastAsia"/>
          <w:b/>
          <w:sz w:val="28"/>
          <w:highlight w:val="none"/>
          <w:lang w:eastAsia="zh-CN"/>
        </w:rPr>
        <w:t>—</w:t>
      </w:r>
      <w:r>
        <w:rPr>
          <w:rFonts w:hint="eastAsia"/>
          <w:b/>
          <w:sz w:val="28"/>
          <w:highlight w:val="none"/>
        </w:rPr>
        <w:t>板换间增加检修电源箱(第一批)材料采购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1"/>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1"/>
        <w:tabs>
          <w:tab w:val="left" w:pos="420"/>
        </w:tabs>
        <w:spacing w:line="360" w:lineRule="auto"/>
        <w:ind w:firstLine="480"/>
        <w:rPr>
          <w:rFonts w:hint="eastAsia" w:ascii="宋体" w:hAnsi="宋体"/>
          <w:sz w:val="24"/>
          <w:highlight w:val="none"/>
        </w:rPr>
      </w:pPr>
      <w:r>
        <w:rPr>
          <w:rFonts w:hint="eastAsia" w:ascii="宋体" w:hAnsi="宋体"/>
          <w:sz w:val="24"/>
          <w:highlight w:val="none"/>
        </w:rPr>
        <w:t>（一）项目名称：安全风险整改项目二-板换间增加检修电源箱(第一批)材料采购</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限价9.6万元</w:t>
      </w:r>
      <w:r>
        <w:rPr>
          <w:rFonts w:hint="eastAsia" w:ascii="宋体" w:hAnsi="宋体"/>
          <w:sz w:val="24"/>
          <w:highlight w:val="none"/>
        </w:rPr>
        <w:t>。</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b w:val="0"/>
          <w:sz w:val="24"/>
          <w:highlight w:val="none"/>
          <w:lang w:val="en-US" w:eastAsia="zh-CN"/>
        </w:rPr>
        <w:t>五金</w:t>
      </w:r>
      <w:r>
        <w:rPr>
          <w:rFonts w:hint="eastAsia" w:ascii="宋体" w:hAnsi="宋体"/>
          <w:sz w:val="24"/>
          <w:highlight w:val="none"/>
          <w:lang w:val="en-US" w:eastAsia="zh-CN"/>
        </w:rPr>
        <w:t>材料</w:t>
      </w:r>
      <w:r>
        <w:rPr>
          <w:rFonts w:hint="eastAsia" w:ascii="宋体" w:hAnsi="宋体"/>
          <w:b w:val="0"/>
          <w:sz w:val="24"/>
          <w:highlight w:val="none"/>
          <w:lang w:val="en-US" w:eastAsia="zh-CN"/>
        </w:rPr>
        <w:t>类</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投标人没有处于被责令停业或破产状态，且资产未被重组、接管和冻结，声明在投标活动中3年内没有重大违法活动和涉嫌违规行为。</w:t>
      </w:r>
    </w:p>
    <w:p>
      <w:pPr>
        <w:pStyle w:val="11"/>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1"/>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1"/>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1"/>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1"/>
        <w:numPr>
          <w:ilvl w:val="0"/>
          <w:numId w:val="0"/>
        </w:numPr>
        <w:tabs>
          <w:tab w:val="left" w:pos="0"/>
        </w:tabs>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全部货物货到现场并经</w:t>
      </w:r>
      <w:r>
        <w:rPr>
          <w:rFonts w:hint="eastAsia" w:ascii="宋体" w:hAnsi="宋体"/>
          <w:color w:val="auto"/>
          <w:sz w:val="24"/>
          <w:highlight w:val="none"/>
          <w:lang w:val="en-US" w:eastAsia="zh-CN"/>
        </w:rPr>
        <w:t>需</w:t>
      </w:r>
      <w:r>
        <w:rPr>
          <w:rFonts w:hint="eastAsia" w:ascii="宋体" w:hAnsi="宋体"/>
          <w:color w:val="auto"/>
          <w:sz w:val="24"/>
          <w:highlight w:val="none"/>
        </w:rPr>
        <w:t>方验收合格签字和收到供方相关的技术资料后15</w:t>
      </w:r>
      <w:r>
        <w:rPr>
          <w:rFonts w:hint="eastAsia" w:ascii="宋体" w:hAnsi="宋体"/>
          <w:color w:val="auto"/>
          <w:sz w:val="24"/>
          <w:highlight w:val="none"/>
          <w:lang w:val="en-US" w:eastAsia="zh-CN"/>
        </w:rPr>
        <w:t>个工作日</w:t>
      </w:r>
      <w:r>
        <w:rPr>
          <w:rFonts w:hint="eastAsia" w:ascii="宋体" w:hAnsi="宋体"/>
          <w:color w:val="auto"/>
          <w:sz w:val="24"/>
          <w:highlight w:val="none"/>
        </w:rPr>
        <w:t>内支付至结算价的</w:t>
      </w:r>
      <w:r>
        <w:rPr>
          <w:rFonts w:hint="eastAsia" w:ascii="宋体" w:hAnsi="宋体"/>
          <w:color w:val="auto"/>
          <w:sz w:val="24"/>
          <w:highlight w:val="none"/>
          <w:lang w:val="en-US" w:eastAsia="zh-CN"/>
        </w:rPr>
        <w:t>100</w:t>
      </w:r>
      <w:r>
        <w:rPr>
          <w:rFonts w:hint="eastAsia" w:ascii="宋体" w:hAnsi="宋体"/>
          <w:color w:val="auto"/>
          <w:sz w:val="24"/>
          <w:highlight w:val="none"/>
        </w:rPr>
        <w:t>%款项。付款前供方开具相应金额增值税(含13%增值税)专用发票给需方。</w:t>
      </w:r>
    </w:p>
    <w:p>
      <w:pPr>
        <w:pStyle w:val="11"/>
        <w:numPr>
          <w:ilvl w:val="0"/>
          <w:numId w:val="0"/>
        </w:numPr>
        <w:tabs>
          <w:tab w:val="left" w:pos="0"/>
        </w:tabs>
        <w:spacing w:line="360" w:lineRule="auto"/>
        <w:ind w:left="0" w:leftChars="0" w:firstLine="480" w:firstLineChars="20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1"/>
        <w:tabs>
          <w:tab w:val="left" w:pos="420"/>
        </w:tabs>
        <w:spacing w:line="360" w:lineRule="auto"/>
        <w:rPr>
          <w:rFonts w:hint="eastAsia" w:ascii="宋体" w:hAnsi="宋体" w:eastAsiaTheme="minorEastAsia"/>
          <w:sz w:val="24"/>
          <w:highlight w:val="none"/>
          <w:lang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1"/>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1"/>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1"/>
        <w:spacing w:line="360" w:lineRule="auto"/>
        <w:ind w:firstLine="480"/>
        <w:rPr>
          <w:rFonts w:ascii="宋体" w:hAnsi="宋体"/>
          <w:sz w:val="24"/>
          <w:highlight w:val="none"/>
        </w:rPr>
      </w:pPr>
      <w:r>
        <w:rPr>
          <w:rFonts w:hint="eastAsia" w:ascii="宋体" w:hAnsi="宋体"/>
          <w:sz w:val="24"/>
          <w:highlight w:val="none"/>
        </w:rPr>
        <w:t>五、投标文件</w:t>
      </w:r>
    </w:p>
    <w:p>
      <w:pPr>
        <w:pStyle w:val="11"/>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1"/>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1"/>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1"/>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日北京时间</w:t>
      </w:r>
      <w:r>
        <w:rPr>
          <w:rFonts w:hint="eastAsia" w:ascii="宋体" w:hAnsi="宋体"/>
          <w:color w:val="auto"/>
          <w:sz w:val="24"/>
          <w:highlight w:val="none"/>
          <w:lang w:val="en-US" w:eastAsia="zh-CN"/>
        </w:rPr>
        <w:t>16</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分前。</w:t>
      </w:r>
      <w:r>
        <w:rPr>
          <w:rFonts w:hint="eastAsia" w:ascii="宋体" w:hAnsi="宋体"/>
          <w:sz w:val="24"/>
          <w:highlight w:val="none"/>
        </w:rPr>
        <w:t>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安全风险整改项目二-板换间增加检修电源箱(第一批)材料</w:t>
      </w:r>
      <w:r>
        <w:rPr>
          <w:rFonts w:hint="eastAsia" w:ascii="宋体" w:hAnsi="宋体"/>
          <w:b w:val="0"/>
          <w:sz w:val="24"/>
          <w:highlight w:val="none"/>
          <w:lang w:val="en-US" w:eastAsia="zh-CN"/>
        </w:rPr>
        <w:t>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2"/>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2"/>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1"/>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1"/>
        <w:spacing w:line="360" w:lineRule="auto"/>
        <w:ind w:firstLine="480"/>
        <w:rPr>
          <w:rFonts w:hint="eastAsia" w:ascii="宋体" w:hAnsi="宋体"/>
          <w:sz w:val="24"/>
          <w:highlight w:val="none"/>
        </w:rPr>
      </w:pPr>
    </w:p>
    <w:p>
      <w:pPr>
        <w:pStyle w:val="11"/>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1"/>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1"/>
        <w:spacing w:line="360" w:lineRule="auto"/>
        <w:ind w:firstLine="480"/>
        <w:jc w:val="center"/>
        <w:rPr>
          <w:rFonts w:hint="eastAsia" w:ascii="宋体" w:hAnsi="宋体"/>
          <w:sz w:val="24"/>
          <w:highlight w:val="none"/>
        </w:rPr>
      </w:pPr>
      <w:r>
        <w:rPr>
          <w:rFonts w:hint="eastAsia" w:ascii="宋体" w:hAnsi="宋体"/>
          <w:sz w:val="24"/>
          <w:highlight w:val="none"/>
        </w:rPr>
        <w:t xml:space="preserve">            </w:t>
      </w:r>
    </w:p>
    <w:p>
      <w:pPr>
        <w:pStyle w:val="11"/>
        <w:spacing w:line="360" w:lineRule="auto"/>
        <w:ind w:firstLine="480"/>
        <w:jc w:val="center"/>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 xml:space="preserve"> 采购人：广州城投综合能源投资经营管理有限公司</w:t>
      </w:r>
    </w:p>
    <w:p>
      <w:pPr>
        <w:pStyle w:val="11"/>
        <w:spacing w:line="360" w:lineRule="auto"/>
        <w:ind w:right="960" w:firstLine="4980" w:firstLineChars="20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2</w:t>
      </w:r>
      <w:r>
        <w:rPr>
          <w:rFonts w:hint="eastAsia" w:ascii="宋体" w:hAnsi="宋体"/>
          <w:color w:val="auto"/>
          <w:sz w:val="24"/>
          <w:highlight w:val="none"/>
        </w:rPr>
        <w:t>月</w:t>
      </w:r>
      <w:r>
        <w:rPr>
          <w:rFonts w:hint="eastAsia" w:ascii="宋体" w:hAnsi="宋体"/>
          <w:color w:val="auto"/>
          <w:sz w:val="24"/>
          <w:highlight w:val="none"/>
          <w:lang w:val="en-US" w:eastAsia="zh-CN"/>
        </w:rPr>
        <w:t>27</w:t>
      </w:r>
      <w:r>
        <w:rPr>
          <w:rFonts w:hint="eastAsia" w:ascii="宋体" w:hAnsi="宋体"/>
          <w:color w:val="auto"/>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hint="default" w:ascii="宋体" w:hAnsi="宋体" w:eastAsiaTheme="minorEastAsia"/>
          <w:sz w:val="32"/>
          <w:highlight w:val="none"/>
          <w:lang w:val="en-US" w:eastAsia="zh-CN"/>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sz w:val="24"/>
          <w:highlight w:val="none"/>
        </w:rPr>
        <w:t>安全风险整改项目二-板换间增加检修电源箱(第一批)材料</w:t>
      </w:r>
      <w:r>
        <w:rPr>
          <w:rFonts w:hint="eastAsia" w:ascii="宋体" w:hAnsi="宋体"/>
          <w:b w:val="0"/>
          <w:sz w:val="24"/>
          <w:highlight w:val="none"/>
          <w:lang w:val="en-US" w:eastAsia="zh-CN"/>
        </w:rPr>
        <w:t>采购</w:t>
      </w:r>
      <w:r>
        <w:rPr>
          <w:rFonts w:hint="eastAsia" w:ascii="宋体" w:hAnsi="宋体"/>
          <w:sz w:val="24"/>
          <w:highlight w:val="none"/>
        </w:rPr>
        <w:t>清单</w:t>
      </w:r>
    </w:p>
    <w:tbl>
      <w:tblPr>
        <w:tblStyle w:val="6"/>
        <w:tblW w:w="8720" w:type="dxa"/>
        <w:tblInd w:w="0" w:type="dxa"/>
        <w:tblLayout w:type="fixed"/>
        <w:tblCellMar>
          <w:top w:w="0" w:type="dxa"/>
          <w:left w:w="108" w:type="dxa"/>
          <w:bottom w:w="0" w:type="dxa"/>
          <w:right w:w="108" w:type="dxa"/>
        </w:tblCellMar>
      </w:tblPr>
      <w:tblGrid>
        <w:gridCol w:w="692"/>
        <w:gridCol w:w="1653"/>
        <w:gridCol w:w="3176"/>
        <w:gridCol w:w="750"/>
        <w:gridCol w:w="840"/>
        <w:gridCol w:w="1609"/>
      </w:tblGrid>
      <w:tr>
        <w:tblPrEx>
          <w:tblCellMar>
            <w:top w:w="0" w:type="dxa"/>
            <w:left w:w="108" w:type="dxa"/>
            <w:bottom w:w="0" w:type="dxa"/>
            <w:right w:w="108" w:type="dxa"/>
          </w:tblCellMar>
        </w:tblPrEx>
        <w:trPr>
          <w:trHeight w:val="76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7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2"/>
                <w:szCs w:val="22"/>
                <w:u w:val="none"/>
                <w:lang w:val="en-US" w:eastAsia="zh-CN" w:bidi="ar"/>
              </w:rPr>
              <w:t>检修电源箱</w:t>
            </w:r>
          </w:p>
        </w:tc>
        <w:tc>
          <w:tcPr>
            <w:tcW w:w="317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JXF-1000,箱体尺寸可优化，板材厚度约1.2mm,</w:t>
            </w:r>
            <w:bookmarkStart w:id="0" w:name="_GoBack"/>
            <w:bookmarkEnd w:id="0"/>
            <w:r>
              <w:rPr>
                <w:rFonts w:hint="eastAsia" w:ascii="宋体" w:hAnsi="宋体" w:eastAsia="宋体" w:cs="宋体"/>
                <w:i w:val="0"/>
                <w:iCs w:val="0"/>
                <w:color w:val="000000"/>
                <w:kern w:val="0"/>
                <w:sz w:val="18"/>
                <w:szCs w:val="18"/>
                <w:u w:val="none"/>
                <w:lang w:val="en-US" w:eastAsia="zh-CN" w:bidi="ar"/>
              </w:rPr>
              <w:t>预留接线空间，壁挂固定孔适用M8螺栓，内部元器件要求正泰、人民或同等品牌</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114</w:t>
            </w:r>
          </w:p>
        </w:tc>
        <w:tc>
          <w:tcPr>
            <w:tcW w:w="1609"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r>
              <w:drawing>
                <wp:inline distT="0" distB="0" distL="114300" distR="114300">
                  <wp:extent cx="878840" cy="675005"/>
                  <wp:effectExtent l="0" t="0" r="1651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78840" cy="67500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2"/>
                <w:szCs w:val="22"/>
                <w:u w:val="none"/>
                <w:lang w:val="en-US" w:eastAsia="zh-CN" w:bidi="ar"/>
              </w:rPr>
              <w:t>膨胀螺丝</w:t>
            </w:r>
          </w:p>
        </w:tc>
        <w:tc>
          <w:tcPr>
            <w:tcW w:w="317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含弹垫、平垫，M8*45</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000000"/>
                <w:kern w:val="0"/>
                <w:sz w:val="22"/>
                <w:szCs w:val="22"/>
                <w:u w:val="none"/>
                <w:lang w:val="en-US" w:eastAsia="zh-CN" w:bidi="ar"/>
              </w:rPr>
              <w:t>600</w:t>
            </w:r>
          </w:p>
        </w:tc>
        <w:tc>
          <w:tcPr>
            <w:tcW w:w="1609"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2"/>
                <w:szCs w:val="22"/>
                <w:u w:val="none"/>
                <w:lang w:val="en-US" w:eastAsia="zh-CN" w:bidi="ar"/>
              </w:rPr>
              <w:t>电缆</w:t>
            </w:r>
          </w:p>
        </w:tc>
        <w:tc>
          <w:tcPr>
            <w:tcW w:w="317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YJV-0.6/1KV 4*16+1*10，</w:t>
            </w:r>
          </w:p>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番禺电缆、广东珠江或同等品牌</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609"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2"/>
                <w:szCs w:val="22"/>
                <w:u w:val="none"/>
                <w:lang w:val="en-US" w:eastAsia="zh-CN" w:bidi="ar"/>
              </w:rPr>
              <w:t>线耳</w:t>
            </w:r>
          </w:p>
        </w:tc>
        <w:tc>
          <w:tcPr>
            <w:tcW w:w="317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SC10-8，紫铜，接线端子</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609"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9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2"/>
                <w:szCs w:val="22"/>
                <w:u w:val="none"/>
                <w:lang w:val="en-US" w:eastAsia="zh-CN" w:bidi="ar"/>
              </w:rPr>
              <w:t>插片线耳</w:t>
            </w:r>
          </w:p>
        </w:tc>
        <w:tc>
          <w:tcPr>
            <w:tcW w:w="317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插片C45-10平方，C45空开接线端子插针插片线接头开关断路器紫铜线鼻子冷压并线耳</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609"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CellMar>
            <w:top w:w="0" w:type="dxa"/>
            <w:left w:w="108" w:type="dxa"/>
            <w:bottom w:w="0" w:type="dxa"/>
            <w:right w:w="108" w:type="dxa"/>
          </w:tblCellMar>
        </w:tblPrEx>
        <w:trPr>
          <w:trHeight w:val="36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176"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84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rFonts w:ascii="仿宋" w:hAnsi="仿宋"/>
          <w:szCs w:val="28"/>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hint="eastAsia" w:ascii="宋体" w:hAnsi="宋体" w:eastAsiaTheme="minorEastAsia"/>
          <w:color w:val="0000FF"/>
          <w:sz w:val="24"/>
          <w:highlight w:val="none"/>
          <w:lang w:val="en-US" w:eastAsia="zh-CN"/>
        </w:rPr>
      </w:pPr>
      <w:r>
        <w:rPr>
          <w:rFonts w:hint="eastAsia" w:ascii="宋体" w:hAnsi="宋体"/>
          <w:sz w:val="24"/>
          <w:highlight w:val="none"/>
        </w:rPr>
        <w:t>1.需送货</w:t>
      </w:r>
      <w:r>
        <w:rPr>
          <w:rFonts w:hint="eastAsia" w:ascii="宋体" w:hAnsi="宋体"/>
          <w:sz w:val="24"/>
          <w:highlight w:val="none"/>
          <w:lang w:val="en-US" w:eastAsia="zh-CN"/>
        </w:rPr>
        <w:t>并摆放</w:t>
      </w:r>
      <w:r>
        <w:rPr>
          <w:rFonts w:hint="eastAsia" w:ascii="宋体" w:hAnsi="宋体"/>
          <w:sz w:val="24"/>
          <w:highlight w:val="none"/>
        </w:rPr>
        <w:t>至指定地点：广州大学城档案馆路36号第四冷站旁边仓库（国家档案馆对面）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4"/>
        </w:numPr>
        <w:tabs>
          <w:tab w:val="left" w:pos="420"/>
        </w:tabs>
        <w:spacing w:line="360" w:lineRule="auto"/>
        <w:rPr>
          <w:rFonts w:hint="eastAsia" w:ascii="宋体" w:hAnsi="宋体"/>
          <w:sz w:val="24"/>
          <w:highlight w:val="none"/>
        </w:rPr>
      </w:pPr>
      <w:r>
        <w:rPr>
          <w:rFonts w:hint="eastAsia" w:ascii="宋体" w:hAnsi="宋体"/>
          <w:sz w:val="24"/>
          <w:highlight w:val="none"/>
        </w:rPr>
        <w:t>一次合格率大于98%。</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5"/>
        </w:numPr>
        <w:tabs>
          <w:tab w:val="left" w:pos="420"/>
        </w:tabs>
        <w:spacing w:line="360" w:lineRule="auto"/>
        <w:ind w:left="0" w:leftChars="0" w:firstLine="420" w:firstLineChars="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6"/>
        </w:numPr>
        <w:tabs>
          <w:tab w:val="left" w:pos="420"/>
        </w:tabs>
        <w:spacing w:line="360" w:lineRule="auto"/>
        <w:rPr>
          <w:rFonts w:ascii="宋体" w:hAnsi="宋体"/>
          <w:color w:val="0000FF"/>
          <w:sz w:val="24"/>
          <w:highlight w:val="none"/>
        </w:rPr>
      </w:pPr>
      <w:r>
        <w:rPr>
          <w:rFonts w:hint="eastAsia" w:ascii="宋体" w:hAnsi="宋体"/>
          <w:sz w:val="24"/>
          <w:highlight w:val="none"/>
        </w:rPr>
        <w:t>★付款方式：全部货物货到现场</w:t>
      </w:r>
      <w:r>
        <w:rPr>
          <w:rFonts w:hint="eastAsia" w:ascii="宋体" w:hAnsi="宋体"/>
          <w:sz w:val="24"/>
          <w:highlight w:val="none"/>
          <w:lang w:val="en-US" w:eastAsia="zh-CN"/>
        </w:rPr>
        <w:t>安装合格</w:t>
      </w:r>
      <w:r>
        <w:rPr>
          <w:rFonts w:hint="eastAsia" w:ascii="宋体" w:hAnsi="宋体"/>
          <w:sz w:val="24"/>
          <w:highlight w:val="none"/>
        </w:rPr>
        <w:t>并经</w:t>
      </w:r>
      <w:r>
        <w:rPr>
          <w:rFonts w:hint="eastAsia" w:ascii="宋体" w:hAnsi="宋体"/>
          <w:sz w:val="24"/>
          <w:highlight w:val="none"/>
          <w:lang w:val="en-US" w:eastAsia="zh-CN"/>
        </w:rPr>
        <w:t>需</w:t>
      </w:r>
      <w:r>
        <w:rPr>
          <w:rFonts w:hint="eastAsia" w:ascii="宋体" w:hAnsi="宋体"/>
          <w:sz w:val="24"/>
          <w:highlight w:val="none"/>
        </w:rPr>
        <w:t>方验收签字和收到供方相关的技术资料后15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安全风险整改项目二-板换间增加检修电源箱(第一批)材料</w:t>
      </w:r>
      <w:r>
        <w:rPr>
          <w:rFonts w:hint="eastAsia" w:ascii="宋体" w:hAnsi="宋体"/>
          <w:b w:val="0"/>
          <w:sz w:val="24"/>
          <w:highlight w:val="none"/>
          <w:lang w:val="en-US" w:eastAsia="zh-CN"/>
        </w:rPr>
        <w:t>采购</w:t>
      </w:r>
    </w:p>
    <w:tbl>
      <w:tblPr>
        <w:tblStyle w:val="6"/>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rFonts w:hint="eastAsia" w:eastAsiaTheme="minorEastAsia"/>
          <w:sz w:val="24"/>
          <w:highlight w:val="none"/>
          <w:lang w:val="en-US" w:eastAsia="zh-CN"/>
        </w:rPr>
      </w:pPr>
      <w:r>
        <w:rPr>
          <w:rFonts w:hint="eastAsia"/>
          <w:sz w:val="24"/>
          <w:highlight w:val="none"/>
        </w:rPr>
        <w:t>说明：</w:t>
      </w:r>
    </w:p>
    <w:p>
      <w:pPr>
        <w:widowControl/>
        <w:numPr>
          <w:ilvl w:val="0"/>
          <w:numId w:val="18"/>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1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ind w:firstLine="3360" w:firstLineChars="1400"/>
        <w:jc w:val="both"/>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sz w:val="24"/>
          <w:highlight w:val="none"/>
        </w:rPr>
        <w:t>安全风险整改项目二-板换间增加检修电源箱(第一批)材料</w:t>
      </w:r>
      <w:r>
        <w:rPr>
          <w:rFonts w:hint="eastAsia" w:ascii="宋体" w:hAnsi="宋体"/>
          <w:b w:val="0"/>
          <w:sz w:val="24"/>
          <w:highlight w:val="none"/>
          <w:lang w:val="en-US" w:eastAsia="zh-CN"/>
        </w:rPr>
        <w:t>采购</w:t>
      </w:r>
    </w:p>
    <w:tbl>
      <w:tblPr>
        <w:tblStyle w:val="6"/>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安全风险整改项目二-板换间增加检修电源箱(第一批)材料</w:t>
      </w:r>
      <w:r>
        <w:rPr>
          <w:rFonts w:hint="eastAsia" w:ascii="宋体" w:hAnsi="宋体"/>
          <w:b w:val="0"/>
          <w:sz w:val="24"/>
          <w:highlight w:val="none"/>
          <w:lang w:val="en-US" w:eastAsia="zh-CN"/>
        </w:rPr>
        <w:t>采购</w:t>
      </w:r>
    </w:p>
    <w:tbl>
      <w:tblPr>
        <w:tblStyle w:val="6"/>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4839"/>
        <w:gridCol w:w="1932"/>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839"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32"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ascii="宋体" w:hAnsi="宋体"/>
                <w:sz w:val="18"/>
                <w:szCs w:val="18"/>
                <w:highlight w:val="none"/>
              </w:rPr>
            </w:pPr>
            <w:r>
              <w:rPr>
                <w:rFonts w:hint="eastAsia" w:ascii="宋体" w:hAnsi="宋体"/>
                <w:sz w:val="18"/>
                <w:szCs w:val="18"/>
                <w:highlight w:val="none"/>
              </w:rPr>
              <w:t>采购需求四、需求内容（</w:t>
            </w:r>
            <w:r>
              <w:rPr>
                <w:rFonts w:hint="eastAsia" w:ascii="宋体" w:hAnsi="宋体"/>
                <w:sz w:val="18"/>
                <w:szCs w:val="18"/>
                <w:highlight w:val="none"/>
                <w:lang w:val="en-US" w:eastAsia="zh-CN"/>
              </w:rPr>
              <w:t>二</w:t>
            </w:r>
            <w:r>
              <w:rPr>
                <w:rFonts w:hint="eastAsia" w:ascii="宋体" w:hAnsi="宋体"/>
                <w:sz w:val="18"/>
                <w:szCs w:val="18"/>
                <w:highlight w:val="none"/>
              </w:rPr>
              <w:t>）★</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jc w:val="left"/>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w:t>
            </w:r>
            <w:r>
              <w:rPr>
                <w:rFonts w:hint="eastAsia" w:ascii="宋体" w:hAnsi="宋体"/>
                <w:sz w:val="18"/>
                <w:szCs w:val="18"/>
                <w:highlight w:val="none"/>
                <w:lang w:val="en-US" w:eastAsia="zh-CN"/>
              </w:rPr>
              <w:t>四</w:t>
            </w:r>
            <w:r>
              <w:rPr>
                <w:rFonts w:hint="eastAsia" w:ascii="宋体" w:hAnsi="宋体"/>
                <w:sz w:val="18"/>
                <w:szCs w:val="18"/>
                <w:highlight w:val="none"/>
              </w:rPr>
              <w:t>）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val="en-US" w:eastAsia="zh-CN"/>
              </w:rPr>
            </w:pPr>
            <w:r>
              <w:rPr>
                <w:rFonts w:hint="eastAsia" w:ascii="宋体" w:hAnsi="宋体"/>
                <w:kern w:val="15"/>
                <w:sz w:val="18"/>
                <w:szCs w:val="18"/>
                <w:highlight w:val="none"/>
                <w:lang w:val="en-US" w:eastAsia="zh-CN"/>
              </w:rPr>
              <w:t>4</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hint="eastAsia" w:ascii="宋体" w:hAnsi="宋体"/>
                <w:color w:val="auto"/>
                <w:sz w:val="18"/>
                <w:szCs w:val="18"/>
                <w:highlight w:val="none"/>
                <w:lang w:val="en-US" w:eastAsia="zh-CN"/>
              </w:rPr>
            </w:pPr>
            <w:r>
              <w:rPr>
                <w:rFonts w:hint="eastAsia" w:ascii="宋体" w:hAnsi="宋体"/>
                <w:color w:val="auto"/>
                <w:sz w:val="18"/>
                <w:szCs w:val="18"/>
                <w:highlight w:val="none"/>
              </w:rPr>
              <w:t>采购需求</w:t>
            </w:r>
            <w:r>
              <w:rPr>
                <w:rFonts w:ascii="宋体" w:hAnsi="宋体"/>
                <w:color w:val="auto"/>
                <w:sz w:val="18"/>
                <w:szCs w:val="18"/>
                <w:highlight w:val="none"/>
              </w:rPr>
              <w:t xml:space="preserve"> </w:t>
            </w:r>
            <w:r>
              <w:rPr>
                <w:rFonts w:hint="eastAsia" w:ascii="宋体" w:hAnsi="宋体"/>
                <w:color w:val="auto"/>
                <w:sz w:val="18"/>
                <w:szCs w:val="18"/>
                <w:highlight w:val="none"/>
              </w:rPr>
              <w:t>四、需求内容</w:t>
            </w:r>
            <w:r>
              <w:rPr>
                <w:rFonts w:ascii="宋体" w:hAnsi="宋体"/>
                <w:color w:val="auto"/>
                <w:sz w:val="18"/>
                <w:szCs w:val="18"/>
                <w:highlight w:val="none"/>
              </w:rPr>
              <w:t xml:space="preserve"> （</w:t>
            </w:r>
            <w:r>
              <w:rPr>
                <w:rFonts w:hint="eastAsia" w:ascii="宋体" w:hAnsi="宋体"/>
                <w:color w:val="auto"/>
                <w:sz w:val="18"/>
                <w:szCs w:val="18"/>
                <w:highlight w:val="none"/>
                <w:lang w:val="en-US" w:eastAsia="zh-CN"/>
              </w:rPr>
              <w:t>七</w:t>
            </w:r>
            <w:r>
              <w:rPr>
                <w:rFonts w:ascii="宋体" w:hAnsi="宋体"/>
                <w:color w:val="auto"/>
                <w:sz w:val="18"/>
                <w:szCs w:val="18"/>
                <w:highlight w:val="none"/>
              </w:rPr>
              <w:t>）</w:t>
            </w:r>
            <w:r>
              <w:rPr>
                <w:rFonts w:hint="eastAsia" w:ascii="宋体" w:hAnsi="宋体"/>
                <w:color w:val="auto"/>
                <w:sz w:val="18"/>
                <w:szCs w:val="18"/>
                <w:highlight w:val="none"/>
                <w:lang w:val="en-US" w:eastAsia="zh-CN"/>
              </w:rPr>
              <w:t>4</w:t>
            </w:r>
            <w:r>
              <w:rPr>
                <w:rFonts w:ascii="宋体" w:hAnsi="宋体"/>
                <w:color w:val="auto"/>
                <w:sz w:val="18"/>
                <w:szCs w:val="18"/>
                <w:highlight w:val="none"/>
              </w:rPr>
              <w:t>、 ★</w:t>
            </w:r>
            <w:r>
              <w:rPr>
                <w:rFonts w:hint="eastAsia" w:ascii="宋体" w:hAnsi="宋体"/>
                <w:sz w:val="18"/>
                <w:szCs w:val="18"/>
                <w:highlight w:val="none"/>
              </w:rPr>
              <w:t>供应商在投标文件中承诺提供的服务须能提供制造商的服务热线（如400电话等）查证。</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839"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ascii="宋体" w:hAnsi="宋体"/>
                <w:color w:val="auto"/>
                <w:szCs w:val="18"/>
                <w:highlight w:val="none"/>
              </w:rPr>
            </w:pPr>
            <w:r>
              <w:rPr>
                <w:rFonts w:hint="eastAsia" w:ascii="宋体" w:hAnsi="宋体"/>
                <w:color w:val="auto"/>
                <w:sz w:val="18"/>
                <w:szCs w:val="18"/>
                <w:highlight w:val="none"/>
                <w:lang w:val="en-US" w:eastAsia="zh-CN"/>
              </w:rPr>
              <w:t>采购需求 五、商务要求（一）★付款方式：</w:t>
            </w:r>
            <w:r>
              <w:rPr>
                <w:rFonts w:hint="eastAsia" w:ascii="宋体" w:hAnsi="宋体"/>
                <w:sz w:val="18"/>
                <w:szCs w:val="18"/>
                <w:highlight w:val="none"/>
              </w:rPr>
              <w:t>全部货物货到现场</w:t>
            </w:r>
            <w:r>
              <w:rPr>
                <w:rFonts w:hint="eastAsia" w:ascii="宋体" w:hAnsi="宋体"/>
                <w:sz w:val="18"/>
                <w:szCs w:val="18"/>
                <w:highlight w:val="none"/>
                <w:lang w:val="en-US" w:eastAsia="zh-CN"/>
              </w:rPr>
              <w:t>安装合格</w:t>
            </w:r>
            <w:r>
              <w:rPr>
                <w:rFonts w:hint="eastAsia" w:ascii="宋体" w:hAnsi="宋体"/>
                <w:sz w:val="18"/>
                <w:szCs w:val="18"/>
                <w:highlight w:val="none"/>
              </w:rPr>
              <w:t>并经</w:t>
            </w:r>
            <w:r>
              <w:rPr>
                <w:rFonts w:hint="eastAsia" w:ascii="宋体" w:hAnsi="宋体"/>
                <w:sz w:val="18"/>
                <w:szCs w:val="18"/>
                <w:highlight w:val="none"/>
                <w:lang w:val="en-US" w:eastAsia="zh-CN"/>
              </w:rPr>
              <w:t>需</w:t>
            </w:r>
            <w:r>
              <w:rPr>
                <w:rFonts w:hint="eastAsia" w:ascii="宋体" w:hAnsi="宋体"/>
                <w:sz w:val="18"/>
                <w:szCs w:val="18"/>
                <w:highlight w:val="none"/>
              </w:rPr>
              <w:t>方验收签字和收到供方相关的技术资料后15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32"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ind w:firstLine="5250" w:firstLineChars="2500"/>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sz w:val="24"/>
          <w:szCs w:val="32"/>
          <w:highlight w:val="none"/>
        </w:rPr>
        <w:t>项目名称：</w:t>
      </w:r>
      <w:r>
        <w:rPr>
          <w:rFonts w:hint="eastAsia" w:ascii="宋体" w:hAnsi="宋体"/>
          <w:sz w:val="24"/>
          <w:highlight w:val="none"/>
        </w:rPr>
        <w:t>安全风险整改项目二-板换间增加检修电源箱(第一批)材料</w:t>
      </w:r>
      <w:r>
        <w:rPr>
          <w:rFonts w:hint="eastAsia" w:ascii="宋体" w:hAnsi="宋体"/>
          <w:b w:val="0"/>
          <w:sz w:val="24"/>
          <w:highlight w:val="none"/>
          <w:lang w:val="en-US" w:eastAsia="zh-CN"/>
        </w:rPr>
        <w:t>采购</w:t>
      </w:r>
    </w:p>
    <w:tbl>
      <w:tblPr>
        <w:tblStyle w:val="6"/>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19"/>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19"/>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19"/>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19"/>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numPr>
          <w:ilvl w:val="0"/>
          <w:numId w:val="0"/>
        </w:numPr>
        <w:adjustRightInd w:val="0"/>
        <w:snapToGrid w:val="0"/>
        <w:spacing w:line="400" w:lineRule="exact"/>
        <w:rPr>
          <w:rFonts w:ascii="宋体" w:hAnsi="宋体"/>
          <w:highlight w:val="none"/>
        </w:rPr>
      </w:pPr>
    </w:p>
    <w:p>
      <w:pPr>
        <w:spacing w:line="360" w:lineRule="auto"/>
        <w:rPr>
          <w:rFonts w:ascii="宋体" w:hAnsi="宋体"/>
          <w:highlight w:val="none"/>
        </w:rPr>
      </w:pPr>
      <w:r>
        <w:rPr>
          <w:rFonts w:hint="eastAsia" w:ascii="宋体" w:hAnsi="宋体"/>
          <w:highlight w:val="none"/>
        </w:rPr>
        <w:t xml:space="preserve">评委签名：             </w:t>
      </w:r>
      <w:r>
        <w:rPr>
          <w:rFonts w:hint="eastAsia" w:ascii="宋体" w:hAnsi="宋体"/>
          <w:highlight w:val="none"/>
          <w:lang w:val="en-US" w:eastAsia="zh-CN"/>
        </w:rPr>
        <w:t xml:space="preserve">                                </w:t>
      </w:r>
      <w:r>
        <w:rPr>
          <w:rFonts w:hint="eastAsia" w:ascii="宋体" w:hAnsi="宋体"/>
          <w:highlight w:val="none"/>
        </w:rPr>
        <w:t xml:space="preserve">日 期：    年   月   日                                                                </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47BB0C68"/>
    <w:multiLevelType w:val="singleLevel"/>
    <w:tmpl w:val="47BB0C68"/>
    <w:lvl w:ilvl="0" w:tentative="0">
      <w:start w:val="1"/>
      <w:numFmt w:val="chineseCounting"/>
      <w:suff w:val="nothing"/>
      <w:lvlText w:val="（%1）"/>
      <w:lvlJc w:val="left"/>
      <w:pPr>
        <w:ind w:left="0" w:firstLine="420"/>
      </w:pPr>
      <w:rPr>
        <w:rFonts w:hint="eastAsia"/>
        <w:color w:val="auto"/>
      </w:rPr>
    </w:lvl>
  </w:abstractNum>
  <w:abstractNum w:abstractNumId="8">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1">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8">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3"/>
  </w:num>
  <w:num w:numId="2">
    <w:abstractNumId w:val="10"/>
  </w:num>
  <w:num w:numId="3">
    <w:abstractNumId w:val="3"/>
  </w:num>
  <w:num w:numId="4">
    <w:abstractNumId w:val="15"/>
  </w:num>
  <w:num w:numId="5">
    <w:abstractNumId w:val="6"/>
  </w:num>
  <w:num w:numId="6">
    <w:abstractNumId w:val="2"/>
  </w:num>
  <w:num w:numId="7">
    <w:abstractNumId w:val="5"/>
  </w:num>
  <w:num w:numId="8">
    <w:abstractNumId w:val="4"/>
  </w:num>
  <w:num w:numId="9">
    <w:abstractNumId w:val="17"/>
  </w:num>
  <w:num w:numId="10">
    <w:abstractNumId w:val="16"/>
  </w:num>
  <w:num w:numId="11">
    <w:abstractNumId w:val="18"/>
  </w:num>
  <w:num w:numId="12">
    <w:abstractNumId w:val="1"/>
  </w:num>
  <w:num w:numId="13">
    <w:abstractNumId w:val="12"/>
  </w:num>
  <w:num w:numId="14">
    <w:abstractNumId w:val="14"/>
  </w:num>
  <w:num w:numId="15">
    <w:abstractNumId w:val="8"/>
  </w:num>
  <w:num w:numId="16">
    <w:abstractNumId w:val="7"/>
  </w:num>
  <w:num w:numId="17">
    <w:abstractNumId w:val="0"/>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300659"/>
    <w:rsid w:val="02CC3DF4"/>
    <w:rsid w:val="040752F1"/>
    <w:rsid w:val="05B94074"/>
    <w:rsid w:val="0AB404CF"/>
    <w:rsid w:val="105F7BEE"/>
    <w:rsid w:val="155C17E7"/>
    <w:rsid w:val="1A405CA5"/>
    <w:rsid w:val="1B431393"/>
    <w:rsid w:val="1C326EE2"/>
    <w:rsid w:val="1D494923"/>
    <w:rsid w:val="1D4A68CA"/>
    <w:rsid w:val="1F6317DE"/>
    <w:rsid w:val="20022BF3"/>
    <w:rsid w:val="21426207"/>
    <w:rsid w:val="219C5AD0"/>
    <w:rsid w:val="21EF441B"/>
    <w:rsid w:val="22344EAD"/>
    <w:rsid w:val="261B75D1"/>
    <w:rsid w:val="2AC216B9"/>
    <w:rsid w:val="2DED5199"/>
    <w:rsid w:val="2E16557C"/>
    <w:rsid w:val="30880D6D"/>
    <w:rsid w:val="315670E0"/>
    <w:rsid w:val="338220BD"/>
    <w:rsid w:val="36A7666B"/>
    <w:rsid w:val="381C028F"/>
    <w:rsid w:val="39504558"/>
    <w:rsid w:val="3D4144CF"/>
    <w:rsid w:val="471F338C"/>
    <w:rsid w:val="48C628C6"/>
    <w:rsid w:val="4A5D6314"/>
    <w:rsid w:val="4FFE6292"/>
    <w:rsid w:val="5349618D"/>
    <w:rsid w:val="53DC470C"/>
    <w:rsid w:val="544368CA"/>
    <w:rsid w:val="55C8186D"/>
    <w:rsid w:val="595048C3"/>
    <w:rsid w:val="605F149E"/>
    <w:rsid w:val="61345013"/>
    <w:rsid w:val="61F560D6"/>
    <w:rsid w:val="6370437E"/>
    <w:rsid w:val="63ED347A"/>
    <w:rsid w:val="6908487B"/>
    <w:rsid w:val="69A35E39"/>
    <w:rsid w:val="6C9E4944"/>
    <w:rsid w:val="6DEF70E9"/>
    <w:rsid w:val="70FF4593"/>
    <w:rsid w:val="727A28ED"/>
    <w:rsid w:val="788D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2"/>
    <w:basedOn w:val="2"/>
    <w:autoRedefine/>
    <w:qFormat/>
    <w:uiPriority w:val="0"/>
    <w:pPr>
      <w:spacing w:line="360" w:lineRule="auto"/>
      <w:ind w:left="0" w:leftChars="0"/>
      <w:jc w:val="left"/>
    </w:pPr>
    <w:rPr>
      <w:kern w:val="0"/>
      <w:sz w:val="24"/>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unhideWhenUsed/>
    <w:qFormat/>
    <w:uiPriority w:val="99"/>
    <w:rPr>
      <w:color w:val="0000FF"/>
      <w:u w:val="single"/>
    </w:rPr>
  </w:style>
  <w:style w:type="paragraph" w:customStyle="1" w:styleId="11">
    <w:name w:val="列出段落1"/>
    <w:basedOn w:val="1"/>
    <w:autoRedefine/>
    <w:unhideWhenUsed/>
    <w:qFormat/>
    <w:uiPriority w:val="0"/>
    <w:pPr>
      <w:ind w:firstLine="420" w:firstLineChars="200"/>
    </w:pPr>
  </w:style>
  <w:style w:type="paragraph" w:styleId="12">
    <w:name w:val="List Paragraph"/>
    <w:basedOn w:val="1"/>
    <w:autoRedefine/>
    <w:unhideWhenUsed/>
    <w:qFormat/>
    <w:uiPriority w:val="34"/>
    <w:pPr>
      <w:ind w:firstLine="420" w:firstLineChars="200"/>
    </w:pPr>
  </w:style>
  <w:style w:type="character" w:customStyle="1" w:styleId="13">
    <w:name w:val="font11"/>
    <w:basedOn w:val="8"/>
    <w:autoRedefine/>
    <w:qFormat/>
    <w:uiPriority w:val="0"/>
    <w:rPr>
      <w:rFonts w:hint="eastAsia" w:ascii="宋体" w:hAnsi="宋体" w:eastAsia="宋体" w:cs="宋体"/>
      <w:color w:val="000000"/>
      <w:sz w:val="22"/>
      <w:szCs w:val="22"/>
      <w:u w:val="none"/>
    </w:rPr>
  </w:style>
  <w:style w:type="character" w:customStyle="1" w:styleId="14">
    <w:name w:val="font01"/>
    <w:basedOn w:val="8"/>
    <w:autoRedefine/>
    <w:qFormat/>
    <w:uiPriority w:val="0"/>
    <w:rPr>
      <w:rFonts w:hint="eastAsia" w:ascii="宋体" w:hAnsi="宋体" w:eastAsia="宋体" w:cs="宋体"/>
      <w:color w:val="FF0000"/>
      <w:sz w:val="22"/>
      <w:szCs w:val="22"/>
      <w:u w:val="none"/>
    </w:rPr>
  </w:style>
  <w:style w:type="character" w:customStyle="1" w:styleId="15">
    <w:name w:val="font21"/>
    <w:basedOn w:val="8"/>
    <w:autoRedefine/>
    <w:qFormat/>
    <w:uiPriority w:val="0"/>
    <w:rPr>
      <w:rFonts w:hint="eastAsia" w:ascii="宋体" w:hAnsi="宋体" w:eastAsia="宋体" w:cs="宋体"/>
      <w:color w:val="FF0000"/>
      <w:sz w:val="22"/>
      <w:szCs w:val="22"/>
      <w:u w:val="none"/>
    </w:rPr>
  </w:style>
  <w:style w:type="paragraph" w:customStyle="1" w:styleId="16">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table" w:customStyle="1" w:styleId="17">
    <w:name w:val="Table Normal"/>
    <w:autoRedefine/>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2024-02-27T02:14:55Z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E2292B73062840FBBF86407292665C0E_12</vt:lpwstr>
  </property>
</Properties>
</file>