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szCs w:val="28"/>
          <w:lang w:val="en-US" w:eastAsia="zh-CN"/>
        </w:rPr>
        <w:t xml:space="preserve">202403维修材料月度采购 </w:t>
      </w: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202403维修材料月度采购</w:t>
      </w:r>
    </w:p>
    <w:p>
      <w:pPr>
        <w:pStyle w:val="14"/>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包组一限价5.5万元；包组二限价6.5万元。</w:t>
      </w:r>
    </w:p>
    <w:p>
      <w:pPr>
        <w:pStyle w:val="14"/>
        <w:tabs>
          <w:tab w:val="left" w:pos="420"/>
        </w:tabs>
        <w:spacing w:line="360" w:lineRule="auto"/>
        <w:ind w:firstLine="480"/>
        <w:rPr>
          <w:rFonts w:ascii="宋体" w:hAnsi="宋体"/>
          <w:sz w:val="24"/>
          <w:highlight w:val="none"/>
        </w:rPr>
      </w:pPr>
      <w:r>
        <w:rPr>
          <w:rFonts w:hint="eastAsia" w:ascii="宋体" w:hAnsi="宋体"/>
          <w:color w:val="auto"/>
          <w:sz w:val="24"/>
          <w:highlight w:val="none"/>
        </w:rPr>
        <w:t>（三）采购内容：</w:t>
      </w:r>
      <w:r>
        <w:rPr>
          <w:rFonts w:hint="eastAsia" w:ascii="宋体" w:hAnsi="宋体"/>
          <w:color w:val="auto"/>
          <w:sz w:val="24"/>
          <w:highlight w:val="none"/>
          <w:lang w:val="en-US" w:eastAsia="zh-CN"/>
        </w:rPr>
        <w:t>包组一五金材料类；包组二电动二通阀材料类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w:t>
      </w:r>
      <w:r>
        <w:rPr>
          <w:rFonts w:hint="eastAsia" w:ascii="宋体" w:hAnsi="宋体"/>
          <w:sz w:val="24"/>
          <w:highlight w:val="none"/>
          <w:lang w:val="en-US" w:eastAsia="zh-CN"/>
        </w:rPr>
        <w:t>经评审的最低评</w:t>
      </w:r>
      <w:bookmarkStart w:id="0" w:name="_GoBack"/>
      <w:bookmarkEnd w:id="0"/>
      <w:r>
        <w:rPr>
          <w:rFonts w:hint="eastAsia" w:ascii="宋体" w:hAnsi="宋体"/>
          <w:sz w:val="24"/>
          <w:highlight w:val="none"/>
          <w:lang w:val="en-US" w:eastAsia="zh-CN"/>
        </w:rPr>
        <w:t>标</w:t>
      </w:r>
      <w:r>
        <w:rPr>
          <w:rFonts w:hint="eastAsia" w:ascii="宋体" w:hAnsi="宋体"/>
          <w:sz w:val="24"/>
          <w:highlight w:val="none"/>
        </w:rPr>
        <w:t>价</w:t>
      </w:r>
      <w:r>
        <w:rPr>
          <w:rFonts w:hint="eastAsia" w:ascii="宋体" w:hAnsi="宋体"/>
          <w:sz w:val="24"/>
          <w:highlight w:val="none"/>
          <w:lang w:val="en-US" w:eastAsia="zh-CN"/>
        </w:rPr>
        <w:t>加信用评分评标</w:t>
      </w:r>
      <w:r>
        <w:rPr>
          <w:rFonts w:hint="eastAsia" w:ascii="宋体" w:hAnsi="宋体"/>
          <w:sz w:val="24"/>
          <w:highlight w:val="none"/>
        </w:rPr>
        <w:t>，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w:t>
      </w:r>
      <w:r>
        <w:rPr>
          <w:rFonts w:hint="eastAsia" w:ascii="宋体" w:hAnsi="宋体"/>
          <w:color w:val="auto"/>
          <w:sz w:val="24"/>
          <w:highlight w:val="none"/>
        </w:rPr>
        <w:t>止时间：202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w:t>
      </w:r>
      <w:r>
        <w:rPr>
          <w:rFonts w:hint="eastAsia" w:ascii="宋体" w:hAnsi="宋体"/>
          <w:color w:val="auto"/>
          <w:sz w:val="24"/>
          <w:highlight w:val="none"/>
          <w:lang w:val="en-US" w:eastAsia="zh-CN"/>
        </w:rPr>
        <w:t>8</w:t>
      </w:r>
      <w:r>
        <w:rPr>
          <w:rFonts w:hint="eastAsia" w:ascii="宋体" w:hAnsi="宋体"/>
          <w:color w:val="auto"/>
          <w:sz w:val="24"/>
          <w:highlight w:val="none"/>
        </w:rPr>
        <w:t>日北京时间</w:t>
      </w:r>
      <w:r>
        <w:rPr>
          <w:rFonts w:hint="eastAsia" w:ascii="宋体" w:hAnsi="宋体"/>
          <w:color w:val="auto"/>
          <w:sz w:val="24"/>
          <w:highlight w:val="none"/>
          <w:lang w:val="en-US" w:eastAsia="zh-CN"/>
        </w:rPr>
        <w:t>16</w:t>
      </w:r>
      <w:r>
        <w:rPr>
          <w:rFonts w:hint="eastAsia" w:ascii="宋体" w:hAnsi="宋体"/>
          <w:color w:val="auto"/>
          <w:sz w:val="24"/>
          <w:highlight w:val="none"/>
        </w:rPr>
        <w:t>时</w:t>
      </w:r>
      <w:r>
        <w:rPr>
          <w:rFonts w:hint="eastAsia" w:ascii="宋体" w:hAnsi="宋体"/>
          <w:color w:val="auto"/>
          <w:sz w:val="24"/>
          <w:highlight w:val="none"/>
          <w:lang w:val="en-US" w:eastAsia="zh-CN"/>
        </w:rPr>
        <w:t>00</w:t>
      </w:r>
      <w:r>
        <w:rPr>
          <w:rFonts w:hint="eastAsia" w:ascii="宋体" w:hAnsi="宋体"/>
          <w:color w:val="auto"/>
          <w:sz w:val="24"/>
          <w:highlight w:val="none"/>
        </w:rPr>
        <w:t>分前。</w:t>
      </w:r>
      <w:r>
        <w:rPr>
          <w:rFonts w:hint="eastAsia" w:ascii="宋体" w:hAnsi="宋体"/>
          <w:sz w:val="24"/>
          <w:highlight w:val="none"/>
        </w:rPr>
        <w:t>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202403维修材料月度采购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27</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rFonts w:hint="eastAsia" w:ascii="宋体" w:hAnsi="宋体"/>
          <w:sz w:val="24"/>
          <w:highlight w:val="none"/>
          <w:lang w:val="en-US" w:eastAsia="zh-CN"/>
        </w:rPr>
      </w:pPr>
      <w:r>
        <w:rPr>
          <w:rFonts w:hint="eastAsia" w:ascii="宋体" w:hAnsi="宋体"/>
          <w:sz w:val="24"/>
          <w:highlight w:val="none"/>
          <w:lang w:val="en-US" w:eastAsia="zh-CN"/>
        </w:rPr>
        <w:t>202403维修材料月度采购包组一五金材料类清单</w:t>
      </w:r>
    </w:p>
    <w:tbl>
      <w:tblPr>
        <w:tblStyle w:val="4"/>
        <w:tblW w:w="8722" w:type="dxa"/>
        <w:tblInd w:w="0" w:type="dxa"/>
        <w:tblLayout w:type="fixed"/>
        <w:tblCellMar>
          <w:top w:w="0" w:type="dxa"/>
          <w:left w:w="108" w:type="dxa"/>
          <w:bottom w:w="0" w:type="dxa"/>
          <w:right w:w="108" w:type="dxa"/>
        </w:tblCellMar>
      </w:tblPr>
      <w:tblGrid>
        <w:gridCol w:w="692"/>
        <w:gridCol w:w="1897"/>
        <w:gridCol w:w="2904"/>
        <w:gridCol w:w="713"/>
        <w:gridCol w:w="707"/>
        <w:gridCol w:w="1809"/>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89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29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波纹管塑料王垫片</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四氟平面密封圈（平垫）</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（外径24mm，内径16mm，厚2.5mm）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35000" cy="479425"/>
                  <wp:effectExtent l="0" t="0" r="12700" b="158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35000" cy="479425"/>
                          </a:xfrm>
                          <a:prstGeom prst="rect">
                            <a:avLst/>
                          </a:prstGeom>
                        </pic:spPr>
                      </pic:pic>
                    </a:graphicData>
                  </a:graphic>
                </wp:inline>
              </w:drawing>
            </w:r>
          </w:p>
        </w:tc>
      </w:tr>
      <w:tr>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软白色硅胶垫圈</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外径24mm内径16mm厚3.5mm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66115" cy="337185"/>
                  <wp:effectExtent l="0" t="0" r="63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66115" cy="337185"/>
                          </a:xfrm>
                          <a:prstGeom prst="rect">
                            <a:avLst/>
                          </a:prstGeom>
                        </pic:spPr>
                      </pic:pic>
                    </a:graphicData>
                  </a:graphic>
                </wp:inline>
              </w:drawing>
            </w: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镀锌外牙直通</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2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黄铜闸阀</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品牌：埃美柯、博纳斯威、精嘉；</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5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手动液压钳压线钳</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品牌：德力西电气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 压接 4-70平方</w:t>
            </w:r>
          </w:p>
        </w:tc>
        <w:tc>
          <w:tcPr>
            <w:tcW w:w="713" w:type="dxa"/>
            <w:tcBorders>
              <w:top w:val="single" w:color="auto" w:sz="4" w:space="0"/>
              <w:left w:val="nil"/>
              <w:bottom w:val="single" w:color="auto" w:sz="4" w:space="0"/>
              <w:right w:val="single" w:color="auto" w:sz="4" w:space="0"/>
              <w:tl2br w:val="nil"/>
              <w:tr2bl w:val="nil"/>
            </w:tcBorders>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铆钉枪</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品牌：德力西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旗舰重型款-单把8寸【2根钻头】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断丝取出器</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品牌：卡夫威尔  2件套</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可取4 6分管断丝 RT2655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断丝取出器</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品牌：世达（SATA）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09704A 5件粗牙断丝取出器组套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7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开关插座</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品牌：公牛  规格： G07系列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一开单控五孔带开关插座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单开86型面板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底盒</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阻燃PVC86型通用盒    86*86*34明装线槽单底盒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风机盘管接水盘</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1140*240*30，FP-102WA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PVC水管</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与联塑同等品牌    规格：6分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PVC内牙弯头</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（单边带牙）</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与联塑同等品牌、白色、铜内丝弯头【6分管6分牙】25*3/4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7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热继电器</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品牌：正泰(CHNT) 规格： NR2-25(17-25A)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皮带</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品牌：三星 规格:SPA612 </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生产日期为半年内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皮带</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品牌：三星 规格:SPA862 </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生产日期为半年内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皮带</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品牌：三星 规格:SPA975</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生产日期为半年内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便携式清洗机</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江天劲力霸便携式全自动高压清洗机；型号：展锐S800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44220" cy="709295"/>
                  <wp:effectExtent l="0" t="0" r="17780" b="146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744220" cy="70929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黄铜闸阀</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品牌：埃美柯、博纳斯威、精嘉；</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黄铜闸阀</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品牌：埃美柯、博纳斯威、精嘉；</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5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镀锌管内牙直通</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3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镀锌外牙直通</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PPR弯头</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规格：1寸内径32mm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PPR弯头</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规格：6分内径25mm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PPR变径直通</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规格：变径直接头1寸变6分dn32*25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PPR等径三通</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规格：.90°等径三通6分内径25mm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PPR等径三通</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规格：90°等径三通1寸内径32mm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PPR内牙弯头</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规格：内丝弯头dn25*3/4</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(6分管6分牙)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PPR内牙直通</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规格：内丝直通dn25*3/4</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(6分管6分牙)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PPR外牙直通</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规格：外丝直通I型dn25*3/4</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(6分管6分牙)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PPR外牙弯头</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规格：外丝弯头dn25*3/4</w:t>
            </w:r>
          </w:p>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(6分管6分牙)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PPR外牙弯头</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规格：外螺纹弯头外牙接头 32*1（1寸管1寸牙）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PPR内牙弯头</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品牌：联塑、日丰、伟星；</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 内螺纹弯头内牙接头 32*1（1寸管1寸牙）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中间继电器</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品牌：正泰；</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型号规格： JZX-22F（D）/4Z、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14脚 、AC 220伏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中间继电器</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品牌：正泰；</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 JZX-22F（D）/4Z、</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14脚 、AC 24伏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中间继电器</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RXM4AB2P7 AC230V，</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四组触点，含底座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插座</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导轨式，二三孔插座，10A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点塑手套</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品牌:鸣固 点塑手套</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G750点珠点胶防滑耐磨劳保手套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铜峰、型号CBB60、2.5uf、500V.AC50/60HZ、备注：要保证是正品及生产日期是近2年的</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胶圈</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外径2.4CM 内径1.2CM  厚3.5MM </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铜峰、型号CBB60、3.0uf、500V.AC50/60HZ、</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备注：要保证是正品及生产日期是近2年的</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荧光灯用启动器</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佛山照明  S10 220V-4-65W</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25只/盒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1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草甘磷除草剂</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大锄头  1KG/瓶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8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六角螺栓</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配一螺母二平介  M18×65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六角螺栓</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配一螺母二平介  M16×66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6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六角螺栓</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配一螺母二平介  M20×100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不锈钢波齿垫</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南方和记 DN250 PN1.6</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内265MM外328MM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喷枪</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岩谷  ZT-09</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不锈钢波齿垫</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南方和记 DN350 PN1.6</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内378MM外435MM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4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油漆扫</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椰树  2寸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2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油漆扫</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椰树  3寸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电焊条</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J422  3.2   大西洋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电焊条</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J422  2.5  大西洋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保温棉胶布</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  宽80mm  莞得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免垫片红胶</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卡夫特  100g/支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手动试压泵</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T-25K-P，台优</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镀锌彩钢瓦（蓝色）</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0.5×930×7000mm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6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镀锌彩钢瓦（蓝色）</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0.4×900×1500mm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防过充智能插座</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公牛</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插排</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公牛，GN-97333</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3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50KG，325#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砂子</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1立方</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抹泥刀</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卡夫威尔，KE3921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抹灰刀</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卡夫威，WK3460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角钢</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50*50*4mm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角钢</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40*40*4mm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角钢</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50*50*4.5mm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镀锌彩钢瓦（蓝色）</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0.4×930×1800mm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钻尾镀锌螺栓</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809" w:type="dxa"/>
            <w:vMerge w:val="restart"/>
            <w:tcBorders>
              <w:top w:val="single" w:color="auto" w:sz="4" w:space="0"/>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04215" cy="887095"/>
                  <wp:effectExtent l="0" t="0" r="635" b="825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a:srcRect l="21660" t="-367" r="21710"/>
                          <a:stretch>
                            <a:fillRect/>
                          </a:stretch>
                        </pic:blipFill>
                        <pic:spPr>
                          <a:xfrm>
                            <a:off x="0" y="0"/>
                            <a:ext cx="704215" cy="88709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钻尾镀锌螺栓</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5.5*45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809"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6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89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钻尾镀锌螺栓</w:t>
            </w:r>
          </w:p>
        </w:tc>
        <w:tc>
          <w:tcPr>
            <w:tcW w:w="290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5.5*32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809" w:type="dxa"/>
            <w:vMerge w:val="continue"/>
            <w:tcBorders>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4"/>
          <w:highlight w:val="none"/>
          <w:lang w:val="en-US" w:eastAsia="zh-CN"/>
        </w:rPr>
        <w:t>202403维修材料月度采购包组二电动二通阀材料类清单</w:t>
      </w:r>
    </w:p>
    <w:tbl>
      <w:tblPr>
        <w:tblStyle w:val="4"/>
        <w:tblW w:w="8716" w:type="dxa"/>
        <w:tblInd w:w="0" w:type="dxa"/>
        <w:tblLayout w:type="fixed"/>
        <w:tblCellMar>
          <w:top w:w="0" w:type="dxa"/>
          <w:left w:w="108" w:type="dxa"/>
          <w:bottom w:w="0" w:type="dxa"/>
          <w:right w:w="108" w:type="dxa"/>
        </w:tblCellMar>
      </w:tblPr>
      <w:tblGrid>
        <w:gridCol w:w="691"/>
        <w:gridCol w:w="1568"/>
        <w:gridCol w:w="3780"/>
        <w:gridCol w:w="750"/>
        <w:gridCol w:w="855"/>
        <w:gridCol w:w="1072"/>
      </w:tblGrid>
      <w:tr>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5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78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电动二通阀执行器</w:t>
            </w:r>
          </w:p>
        </w:tc>
        <w:tc>
          <w:tcPr>
            <w:tcW w:w="3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品牌型号：三和易通、粤桥、汉诺尔及同等品牌；横压式；连接位为三孔定位； </w:t>
            </w:r>
          </w:p>
          <w:p>
            <w:pPr>
              <w:keepNext w:val="0"/>
              <w:keepLines w:val="0"/>
              <w:widowControl/>
              <w:suppressLineNumbers w:val="0"/>
              <w:jc w:val="center"/>
              <w:textAlignment w:val="center"/>
              <w:rPr>
                <w:rFonts w:hint="default" w:ascii="宋体" w:hAnsi="宋体" w:eastAsia="宋体" w:cs="宋体"/>
                <w:i w:val="0"/>
                <w:color w:val="auto"/>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作用力10.5+10%牛顿；“开”10秒、“关”5秒；磁带同步驱动马达：6W；550/60HZ；220V。质保期2年以上。</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电动二通阀执行器</w:t>
            </w:r>
          </w:p>
        </w:tc>
        <w:tc>
          <w:tcPr>
            <w:tcW w:w="3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品牌型号：三和易通、粤桥、汉诺尔及同等品牌；横压式；连接位为三孔定位； 作用力10.5+10%牛顿；“开”10秒、“关”5秒；磁带同步驱动马达：6W；550/60HZ；220V。质保期2年以上。</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电动二通阀（阀体+执行器整套）</w:t>
            </w:r>
          </w:p>
        </w:tc>
        <w:tc>
          <w:tcPr>
            <w:tcW w:w="3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品牌型号：三和易通、粤桥、汉诺尔；型号：VA-7010-8503；下压式,传动齿轮材质要求铝合金或不锈钢；220V；7W 。阀体材质为黄铜、DN20.阀体厚度不少于5mm</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电动二通阀执行器</w:t>
            </w:r>
          </w:p>
        </w:tc>
        <w:tc>
          <w:tcPr>
            <w:tcW w:w="3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品牌型号：三和易通、粤桥、汉诺尔；横压式；连接位为三孔定位； 作用力10.5+10%牛顿；“开”10秒、“关”5秒；磁带同步驱动马达：6W；550/60HZ；220V。质保期2年以上。</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1018电动二通阀执行器</w:t>
            </w:r>
          </w:p>
        </w:tc>
        <w:tc>
          <w:tcPr>
            <w:tcW w:w="3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品牌型号：三和易通、粤桥、汉诺尔；型号：VA-7010-8503；DN20；下压式,传动齿轮材质要求铝合金或不锈钢；220V；7W</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二通阀执行器</w:t>
            </w:r>
          </w:p>
        </w:tc>
        <w:tc>
          <w:tcPr>
            <w:tcW w:w="3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品牌型号：三和易通、粤桥、汉诺尔；横压式；连接位为三孔定位； 作用力10.5+10%牛顿；“开”10秒、“关”5秒；磁带同步驱动马达：6W；550/60HZ；220V。</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机械单冷式温控器</w:t>
            </w:r>
          </w:p>
        </w:tc>
        <w:tc>
          <w:tcPr>
            <w:tcW w:w="3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品牌：三和易通、汉诺尔， 2、技术要求：单冷式（不要暖气界面）、进线口位于上方；设定温度控制范围:10-30℃；电压,频率:220V±10%,50-60HZ</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ascii="宋体" w:hAnsi="宋体"/>
          <w:sz w:val="24"/>
          <w:highlight w:val="none"/>
          <w:lang w:val="en-US" w:eastAsia="zh-CN"/>
        </w:rPr>
        <w:t>202403维修材料月度采购包组一五金材料类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8"/>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ascii="宋体" w:hAnsi="宋体"/>
          <w:sz w:val="24"/>
          <w:highlight w:val="none"/>
          <w:lang w:val="en-US" w:eastAsia="zh-CN"/>
        </w:rPr>
        <w:t>202403维修材料月度采购包组二电动二通阀材料类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2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sz w:val="24"/>
          <w:highlight w:val="none"/>
          <w:lang w:val="en-US" w:eastAsia="zh-CN"/>
        </w:rPr>
        <w:t>202403维修材料月度采购</w:t>
      </w:r>
      <w:r>
        <w:rPr>
          <w:rFonts w:hint="eastAsia" w:ascii="宋体" w:hAnsi="宋体" w:eastAsia="宋体" w:cs="宋体"/>
          <w:kern w:val="0"/>
          <w:sz w:val="24"/>
          <w:highlight w:val="none"/>
          <w:lang w:val="en-US" w:eastAsia="zh-CN"/>
        </w:rPr>
        <w:t xml:space="preserve">  </w:t>
      </w:r>
    </w:p>
    <w:tbl>
      <w:tblPr>
        <w:tblStyle w:val="4"/>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202403维修材料月度采购</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6"/>
                <w:szCs w:val="16"/>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w:t>
            </w:r>
            <w:r>
              <w:rPr>
                <w:rFonts w:hint="eastAsia" w:ascii="宋体" w:hAnsi="宋体"/>
                <w:sz w:val="16"/>
                <w:szCs w:val="16"/>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highlight w:val="none"/>
        </w:rPr>
        <w:t>项目名称：</w:t>
      </w:r>
      <w:r>
        <w:rPr>
          <w:rFonts w:hint="eastAsia" w:ascii="宋体" w:hAnsi="宋体"/>
          <w:sz w:val="24"/>
          <w:highlight w:val="none"/>
          <w:lang w:val="en-US" w:eastAsia="zh-CN"/>
        </w:rPr>
        <w:t>202403维修材料月度采购</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CA6420F8"/>
    <w:multiLevelType w:val="multilevel"/>
    <w:tmpl w:val="CA6420F8"/>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4">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5">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6">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7">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8">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0">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1">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2">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0">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1">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2">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3">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4">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5">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7">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3"/>
  </w:num>
  <w:num w:numId="2">
    <w:abstractNumId w:val="19"/>
  </w:num>
  <w:num w:numId="3">
    <w:abstractNumId w:val="9"/>
  </w:num>
  <w:num w:numId="4">
    <w:abstractNumId w:val="1"/>
  </w:num>
  <w:num w:numId="5">
    <w:abstractNumId w:val="25"/>
  </w:num>
  <w:num w:numId="6">
    <w:abstractNumId w:val="12"/>
  </w:num>
  <w:num w:numId="7">
    <w:abstractNumId w:val="8"/>
  </w:num>
  <w:num w:numId="8">
    <w:abstractNumId w:val="11"/>
  </w:num>
  <w:num w:numId="9">
    <w:abstractNumId w:val="10"/>
  </w:num>
  <w:num w:numId="10">
    <w:abstractNumId w:val="28"/>
  </w:num>
  <w:num w:numId="11">
    <w:abstractNumId w:val="26"/>
  </w:num>
  <w:num w:numId="12">
    <w:abstractNumId w:val="29"/>
  </w:num>
  <w:num w:numId="13">
    <w:abstractNumId w:val="7"/>
  </w:num>
  <w:num w:numId="14">
    <w:abstractNumId w:val="21"/>
  </w:num>
  <w:num w:numId="15">
    <w:abstractNumId w:val="24"/>
  </w:num>
  <w:num w:numId="16">
    <w:abstractNumId w:val="17"/>
  </w:num>
  <w:num w:numId="17">
    <w:abstractNumId w:val="14"/>
  </w:num>
  <w:num w:numId="18">
    <w:abstractNumId w:val="6"/>
  </w:num>
  <w:num w:numId="19">
    <w:abstractNumId w:val="5"/>
  </w:num>
  <w:num w:numId="20">
    <w:abstractNumId w:val="3"/>
  </w:num>
  <w:num w:numId="21">
    <w:abstractNumId w:val="15"/>
  </w:num>
  <w:num w:numId="22">
    <w:abstractNumId w:val="0"/>
  </w:num>
  <w:num w:numId="23">
    <w:abstractNumId w:val="4"/>
  </w:num>
  <w:num w:numId="24">
    <w:abstractNumId w:val="27"/>
  </w:num>
  <w:num w:numId="25">
    <w:abstractNumId w:val="13"/>
  </w:num>
  <w:num w:numId="26">
    <w:abstractNumId w:val="16"/>
  </w:num>
  <w:num w:numId="27">
    <w:abstractNumId w:val="22"/>
  </w:num>
  <w:num w:numId="28">
    <w:abstractNumId w:val="20"/>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4105D4C"/>
    <w:rsid w:val="04DA3066"/>
    <w:rsid w:val="04FD4D5A"/>
    <w:rsid w:val="0510693F"/>
    <w:rsid w:val="077875C8"/>
    <w:rsid w:val="0A797599"/>
    <w:rsid w:val="0BC84224"/>
    <w:rsid w:val="0C177C6F"/>
    <w:rsid w:val="0D3A78FE"/>
    <w:rsid w:val="0D6445C0"/>
    <w:rsid w:val="12B31C83"/>
    <w:rsid w:val="13172625"/>
    <w:rsid w:val="13B3779E"/>
    <w:rsid w:val="149571E4"/>
    <w:rsid w:val="157A1727"/>
    <w:rsid w:val="160A4C2C"/>
    <w:rsid w:val="17B47679"/>
    <w:rsid w:val="188B412E"/>
    <w:rsid w:val="1B2C1F25"/>
    <w:rsid w:val="1B565D46"/>
    <w:rsid w:val="1C326EE2"/>
    <w:rsid w:val="1D39659A"/>
    <w:rsid w:val="217759F3"/>
    <w:rsid w:val="218E4332"/>
    <w:rsid w:val="219C5AD0"/>
    <w:rsid w:val="21A308B5"/>
    <w:rsid w:val="22012690"/>
    <w:rsid w:val="22602A65"/>
    <w:rsid w:val="229D425D"/>
    <w:rsid w:val="23813585"/>
    <w:rsid w:val="24263C9F"/>
    <w:rsid w:val="257F603C"/>
    <w:rsid w:val="2A0B0C48"/>
    <w:rsid w:val="2A1C4338"/>
    <w:rsid w:val="2BAC0AA4"/>
    <w:rsid w:val="2D10562A"/>
    <w:rsid w:val="2FC35424"/>
    <w:rsid w:val="3067018D"/>
    <w:rsid w:val="30857F08"/>
    <w:rsid w:val="323B70AC"/>
    <w:rsid w:val="33631CF3"/>
    <w:rsid w:val="33686F6B"/>
    <w:rsid w:val="340764A6"/>
    <w:rsid w:val="34506B32"/>
    <w:rsid w:val="349657CB"/>
    <w:rsid w:val="36BA3DC9"/>
    <w:rsid w:val="389E0643"/>
    <w:rsid w:val="38D53AA9"/>
    <w:rsid w:val="39265BBC"/>
    <w:rsid w:val="3A5C4D14"/>
    <w:rsid w:val="3B60507E"/>
    <w:rsid w:val="3D1A5C91"/>
    <w:rsid w:val="3D4C1B1F"/>
    <w:rsid w:val="41C53CBB"/>
    <w:rsid w:val="41F075D0"/>
    <w:rsid w:val="42927E0C"/>
    <w:rsid w:val="43C30E56"/>
    <w:rsid w:val="44753C92"/>
    <w:rsid w:val="450C2AA6"/>
    <w:rsid w:val="48B30830"/>
    <w:rsid w:val="502D195C"/>
    <w:rsid w:val="5109171D"/>
    <w:rsid w:val="53C218B2"/>
    <w:rsid w:val="5419033D"/>
    <w:rsid w:val="55E65214"/>
    <w:rsid w:val="58EF54CD"/>
    <w:rsid w:val="5999325B"/>
    <w:rsid w:val="59B54097"/>
    <w:rsid w:val="5B3A30D6"/>
    <w:rsid w:val="602B4D39"/>
    <w:rsid w:val="605F149E"/>
    <w:rsid w:val="61345013"/>
    <w:rsid w:val="62C71697"/>
    <w:rsid w:val="64A218E9"/>
    <w:rsid w:val="66522E6A"/>
    <w:rsid w:val="67253BA7"/>
    <w:rsid w:val="69A57710"/>
    <w:rsid w:val="6B375E4A"/>
    <w:rsid w:val="6C183363"/>
    <w:rsid w:val="6C2E4CD7"/>
    <w:rsid w:val="6EAB5F37"/>
    <w:rsid w:val="6FF45841"/>
    <w:rsid w:val="70096E04"/>
    <w:rsid w:val="708F2D52"/>
    <w:rsid w:val="71B50B5E"/>
    <w:rsid w:val="72592CCF"/>
    <w:rsid w:val="76A625F4"/>
    <w:rsid w:val="77763A1C"/>
    <w:rsid w:val="78026DB2"/>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rPr>
  </w:style>
  <w:style w:type="character" w:styleId="6">
    <w:name w:val="Strong"/>
    <w:basedOn w:val="5"/>
    <w:autoRedefine/>
    <w:qFormat/>
    <w:uiPriority w:val="0"/>
    <w:rPr>
      <w:b/>
    </w:rPr>
  </w:style>
  <w:style w:type="character" w:styleId="7">
    <w:name w:val="FollowedHyperlink"/>
    <w:basedOn w:val="5"/>
    <w:autoRedefine/>
    <w:qFormat/>
    <w:uiPriority w:val="0"/>
    <w:rPr>
      <w:color w:val="2490F8"/>
      <w:u w:val="none"/>
    </w:rPr>
  </w:style>
  <w:style w:type="character" w:styleId="8">
    <w:name w:val="Emphasis"/>
    <w:basedOn w:val="5"/>
    <w:autoRedefine/>
    <w:qFormat/>
    <w:uiPriority w:val="0"/>
  </w:style>
  <w:style w:type="character" w:styleId="9">
    <w:name w:val="HTML Definition"/>
    <w:basedOn w:val="5"/>
    <w:autoRedefine/>
    <w:qFormat/>
    <w:uiPriority w:val="0"/>
  </w:style>
  <w:style w:type="character" w:styleId="10">
    <w:name w:val="HTML Variable"/>
    <w:basedOn w:val="5"/>
    <w:autoRedefine/>
    <w:qFormat/>
    <w:uiPriority w:val="0"/>
  </w:style>
  <w:style w:type="character" w:styleId="11">
    <w:name w:val="Hyperlink"/>
    <w:basedOn w:val="5"/>
    <w:unhideWhenUsed/>
    <w:qFormat/>
    <w:uiPriority w:val="99"/>
    <w:rPr>
      <w:color w:val="0000FF"/>
      <w:u w:val="single"/>
    </w:rPr>
  </w:style>
  <w:style w:type="character" w:styleId="12">
    <w:name w:val="HTML Code"/>
    <w:basedOn w:val="5"/>
    <w:autoRedefine/>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autoRedefine/>
    <w:unhideWhenUsed/>
    <w:qFormat/>
    <w:uiPriority w:val="34"/>
    <w:pPr>
      <w:ind w:firstLine="420" w:firstLineChars="200"/>
    </w:pPr>
  </w:style>
  <w:style w:type="character" w:customStyle="1" w:styleId="16">
    <w:name w:val="font11"/>
    <w:basedOn w:val="5"/>
    <w:autoRedefine/>
    <w:qFormat/>
    <w:uiPriority w:val="0"/>
    <w:rPr>
      <w:rFonts w:hint="eastAsia" w:ascii="宋体" w:hAnsi="宋体" w:eastAsia="宋体" w:cs="宋体"/>
      <w:color w:val="000000"/>
      <w:sz w:val="22"/>
      <w:szCs w:val="22"/>
      <w:u w:val="none"/>
    </w:rPr>
  </w:style>
  <w:style w:type="character" w:customStyle="1" w:styleId="17">
    <w:name w:val="font01"/>
    <w:basedOn w:val="5"/>
    <w:autoRedefine/>
    <w:qFormat/>
    <w:uiPriority w:val="0"/>
    <w:rPr>
      <w:rFonts w:hint="eastAsia" w:ascii="宋体" w:hAnsi="宋体" w:eastAsia="宋体" w:cs="宋体"/>
      <w:color w:val="FF0000"/>
      <w:sz w:val="22"/>
      <w:szCs w:val="22"/>
      <w:u w:val="none"/>
    </w:rPr>
  </w:style>
  <w:style w:type="character" w:customStyle="1" w:styleId="18">
    <w:name w:val="font21"/>
    <w:basedOn w:val="5"/>
    <w:autoRedefine/>
    <w:qFormat/>
    <w:uiPriority w:val="0"/>
    <w:rPr>
      <w:rFonts w:hint="eastAsia" w:ascii="宋体" w:hAnsi="宋体" w:eastAsia="宋体" w:cs="宋体"/>
      <w:color w:val="FF0000"/>
      <w:sz w:val="22"/>
      <w:szCs w:val="22"/>
      <w:u w:val="none"/>
    </w:rPr>
  </w:style>
  <w:style w:type="character" w:customStyle="1" w:styleId="19">
    <w:name w:val="hilite"/>
    <w:basedOn w:val="5"/>
    <w:autoRedefine/>
    <w:qFormat/>
    <w:uiPriority w:val="0"/>
    <w:rPr>
      <w:color w:val="FFFFFF"/>
      <w:shd w:val="clear" w:fill="666666"/>
    </w:rPr>
  </w:style>
  <w:style w:type="character" w:customStyle="1" w:styleId="20">
    <w:name w:val="icontext1"/>
    <w:basedOn w:val="5"/>
    <w:autoRedefine/>
    <w:qFormat/>
    <w:uiPriority w:val="0"/>
  </w:style>
  <w:style w:type="character" w:customStyle="1" w:styleId="21">
    <w:name w:val="icontext11"/>
    <w:basedOn w:val="5"/>
    <w:autoRedefine/>
    <w:qFormat/>
    <w:uiPriority w:val="0"/>
  </w:style>
  <w:style w:type="character" w:customStyle="1" w:styleId="22">
    <w:name w:val="icontext12"/>
    <w:basedOn w:val="5"/>
    <w:autoRedefine/>
    <w:qFormat/>
    <w:uiPriority w:val="0"/>
  </w:style>
  <w:style w:type="character" w:customStyle="1" w:styleId="23">
    <w:name w:val="cdropright"/>
    <w:basedOn w:val="5"/>
    <w:autoRedefine/>
    <w:qFormat/>
    <w:uiPriority w:val="0"/>
  </w:style>
  <w:style w:type="character" w:customStyle="1" w:styleId="24">
    <w:name w:val="choose-status"/>
    <w:basedOn w:val="5"/>
    <w:autoRedefine/>
    <w:qFormat/>
    <w:uiPriority w:val="0"/>
    <w:rPr>
      <w:color w:val="1F85EC"/>
      <w:shd w:val="clear" w:fill="FFFFFF"/>
    </w:rPr>
  </w:style>
  <w:style w:type="character" w:customStyle="1" w:styleId="25">
    <w:name w:val="cdropleft"/>
    <w:basedOn w:val="5"/>
    <w:autoRedefine/>
    <w:qFormat/>
    <w:uiPriority w:val="0"/>
  </w:style>
  <w:style w:type="character" w:customStyle="1" w:styleId="26">
    <w:name w:val="w32"/>
    <w:basedOn w:val="5"/>
    <w:autoRedefine/>
    <w:qFormat/>
    <w:uiPriority w:val="0"/>
  </w:style>
  <w:style w:type="character" w:customStyle="1" w:styleId="27">
    <w:name w:val="active"/>
    <w:basedOn w:val="5"/>
    <w:autoRedefine/>
    <w:qFormat/>
    <w:uiPriority w:val="0"/>
    <w:rPr>
      <w:color w:val="00FF00"/>
      <w:shd w:val="clear" w:fill="111111"/>
    </w:rPr>
  </w:style>
  <w:style w:type="character" w:customStyle="1" w:styleId="28">
    <w:name w:val="pagechatarealistclose_box"/>
    <w:basedOn w:val="5"/>
    <w:autoRedefine/>
    <w:qFormat/>
    <w:uiPriority w:val="0"/>
  </w:style>
  <w:style w:type="character" w:customStyle="1" w:styleId="29">
    <w:name w:val="pagechatarealistclose_box1"/>
    <w:basedOn w:val="5"/>
    <w:autoRedefine/>
    <w:qFormat/>
    <w:uiPriority w:val="0"/>
  </w:style>
  <w:style w:type="character" w:customStyle="1" w:styleId="30">
    <w:name w:val="layui-layer-tabnow"/>
    <w:basedOn w:val="5"/>
    <w:autoRedefine/>
    <w:qFormat/>
    <w:uiPriority w:val="0"/>
    <w:rPr>
      <w:bdr w:val="single" w:color="CCCCCC" w:sz="6" w:space="0"/>
      <w:shd w:val="clear" w:fill="FFFFFF"/>
    </w:rPr>
  </w:style>
  <w:style w:type="character" w:customStyle="1" w:styleId="31">
    <w:name w:val="first-child"/>
    <w:basedOn w:val="5"/>
    <w:autoRedefine/>
    <w:qFormat/>
    <w:uiPriority w:val="0"/>
  </w:style>
  <w:style w:type="character" w:customStyle="1" w:styleId="32">
    <w:name w:val="ico1654"/>
    <w:basedOn w:val="5"/>
    <w:autoRedefine/>
    <w:qFormat/>
    <w:uiPriority w:val="0"/>
  </w:style>
  <w:style w:type="character" w:customStyle="1" w:styleId="33">
    <w:name w:val="ico1655"/>
    <w:basedOn w:val="5"/>
    <w:autoRedefine/>
    <w:qFormat/>
    <w:uiPriority w:val="0"/>
  </w:style>
  <w:style w:type="character" w:customStyle="1" w:styleId="34">
    <w:name w:val="drapbtn"/>
    <w:basedOn w:val="5"/>
    <w:autoRedefine/>
    <w:qFormat/>
    <w:uiPriority w:val="0"/>
  </w:style>
  <w:style w:type="character" w:customStyle="1" w:styleId="35">
    <w:name w:val="associateddata"/>
    <w:basedOn w:val="5"/>
    <w:autoRedefine/>
    <w:qFormat/>
    <w:uiPriority w:val="0"/>
    <w:rPr>
      <w:shd w:val="clear" w:fill="50A6F9"/>
    </w:rPr>
  </w:style>
  <w:style w:type="character" w:customStyle="1" w:styleId="36">
    <w:name w:val="cy"/>
    <w:basedOn w:val="5"/>
    <w:autoRedefine/>
    <w:qFormat/>
    <w:uiPriority w:val="0"/>
  </w:style>
  <w:style w:type="character" w:customStyle="1" w:styleId="37">
    <w:name w:val="after"/>
    <w:basedOn w:val="5"/>
    <w:autoRedefine/>
    <w:qFormat/>
    <w:uiPriority w:val="0"/>
    <w:rPr>
      <w:sz w:val="0"/>
      <w:szCs w:val="0"/>
    </w:rPr>
  </w:style>
  <w:style w:type="character" w:customStyle="1" w:styleId="38">
    <w:name w:val="tmpztreemove_arrow"/>
    <w:basedOn w:val="5"/>
    <w:autoRedefine/>
    <w:qFormat/>
    <w:uiPriority w:val="0"/>
  </w:style>
  <w:style w:type="character" w:customStyle="1" w:styleId="39">
    <w:name w:val="icontext2"/>
    <w:basedOn w:val="5"/>
    <w:autoRedefine/>
    <w:qFormat/>
    <w:uiPriority w:val="0"/>
  </w:style>
  <w:style w:type="character" w:customStyle="1" w:styleId="40">
    <w:name w:val="icontext3"/>
    <w:basedOn w:val="5"/>
    <w:autoRedefine/>
    <w:qFormat/>
    <w:uiPriority w:val="0"/>
  </w:style>
  <w:style w:type="character" w:customStyle="1" w:styleId="41">
    <w:name w:val="iconline2"/>
    <w:basedOn w:val="5"/>
    <w:autoRedefine/>
    <w:qFormat/>
    <w:uiPriority w:val="0"/>
  </w:style>
  <w:style w:type="character" w:customStyle="1" w:styleId="42">
    <w:name w:val="iconline21"/>
    <w:basedOn w:val="5"/>
    <w:autoRedefine/>
    <w:qFormat/>
    <w:uiPriority w:val="0"/>
  </w:style>
  <w:style w:type="character" w:customStyle="1" w:styleId="43">
    <w:name w:val="button4"/>
    <w:basedOn w:val="5"/>
    <w:autoRedefine/>
    <w:qFormat/>
    <w:uiPriority w:val="0"/>
  </w:style>
  <w:style w:type="character" w:customStyle="1" w:styleId="44">
    <w:name w:val="button"/>
    <w:basedOn w:val="5"/>
    <w:autoRedefine/>
    <w:qFormat/>
    <w:uiPriority w:val="0"/>
  </w:style>
  <w:style w:type="character" w:customStyle="1" w:styleId="45">
    <w:name w:val="estimate_gray"/>
    <w:basedOn w:val="5"/>
    <w:autoRedefine/>
    <w:qFormat/>
    <w:uiPriority w:val="0"/>
  </w:style>
  <w:style w:type="character" w:customStyle="1" w:styleId="46">
    <w:name w:val="estimate_gray1"/>
    <w:basedOn w:val="5"/>
    <w:autoRedefine/>
    <w:qFormat/>
    <w:uiPriority w:val="0"/>
    <w:rPr>
      <w:color w:val="FFFFFF"/>
    </w:rPr>
  </w:style>
  <w:style w:type="character" w:customStyle="1" w:styleId="47">
    <w:name w:val="liked_gray"/>
    <w:basedOn w:val="5"/>
    <w:autoRedefine/>
    <w:qFormat/>
    <w:uiPriority w:val="0"/>
    <w:rPr>
      <w:color w:val="FFFFFF"/>
    </w:rPr>
  </w:style>
  <w:style w:type="character" w:customStyle="1" w:styleId="48">
    <w:name w:val="ico1656"/>
    <w:basedOn w:val="5"/>
    <w:autoRedefine/>
    <w:qFormat/>
    <w:uiPriority w:val="0"/>
  </w:style>
  <w:style w:type="character" w:customStyle="1" w:styleId="49">
    <w:name w:val="ico1657"/>
    <w:basedOn w:val="5"/>
    <w:autoRedefine/>
    <w:qFormat/>
    <w:uiPriority w:val="0"/>
  </w:style>
  <w:style w:type="character" w:customStyle="1" w:styleId="50">
    <w:name w:val="moreaction32"/>
    <w:basedOn w:val="5"/>
    <w:autoRedefine/>
    <w:qFormat/>
    <w:uiPriority w:val="0"/>
  </w:style>
  <w:style w:type="character" w:customStyle="1" w:styleId="51">
    <w:name w:val="copytolefthover"/>
    <w:basedOn w:val="5"/>
    <w:autoRedefine/>
    <w:qFormat/>
    <w:uiPriority w:val="0"/>
    <w:rPr>
      <w:vanish/>
    </w:rPr>
  </w:style>
  <w:style w:type="character" w:customStyle="1" w:styleId="52">
    <w:name w:val="active2"/>
    <w:basedOn w:val="5"/>
    <w:autoRedefine/>
    <w:qFormat/>
    <w:uiPriority w:val="0"/>
    <w:rPr>
      <w:color w:val="00FF00"/>
      <w:shd w:val="clear" w:fill="111111"/>
    </w:rPr>
  </w:style>
  <w:style w:type="character" w:customStyle="1" w:styleId="53">
    <w:name w:val="choosename"/>
    <w:basedOn w:val="5"/>
    <w:autoRedefine/>
    <w:qFormat/>
    <w:uiPriority w:val="0"/>
  </w:style>
  <w:style w:type="character" w:customStyle="1" w:styleId="54">
    <w:name w:val="hover43"/>
    <w:basedOn w:val="5"/>
    <w:autoRedefine/>
    <w:qFormat/>
    <w:uiPriority w:val="0"/>
    <w:rPr>
      <w:color w:val="FFFFFF"/>
    </w:rPr>
  </w:style>
  <w:style w:type="character" w:customStyle="1" w:styleId="55">
    <w:name w:val="hover44"/>
    <w:basedOn w:val="5"/>
    <w:autoRedefine/>
    <w:qFormat/>
    <w:uiPriority w:val="0"/>
    <w:rPr>
      <w:color w:val="2490F8"/>
    </w:rPr>
  </w:style>
  <w:style w:type="character" w:customStyle="1" w:styleId="56">
    <w:name w:val="viewscale"/>
    <w:basedOn w:val="5"/>
    <w:autoRedefine/>
    <w:qFormat/>
    <w:uiPriority w:val="0"/>
    <w:rPr>
      <w:color w:val="FFFFFF"/>
      <w:sz w:val="24"/>
      <w:szCs w:val="24"/>
    </w:rPr>
  </w:style>
  <w:style w:type="character" w:customStyle="1" w:styleId="57">
    <w:name w:val="active7"/>
    <w:basedOn w:val="5"/>
    <w:autoRedefine/>
    <w:qFormat/>
    <w:uiPriority w:val="0"/>
    <w:rPr>
      <w:color w:val="00FF00"/>
      <w:shd w:val="clear" w:fill="111111"/>
    </w:rPr>
  </w:style>
  <w:style w:type="character" w:customStyle="1" w:styleId="58">
    <w:name w:val="ico16"/>
    <w:basedOn w:val="5"/>
    <w:autoRedefine/>
    <w:qFormat/>
    <w:uiPriority w:val="0"/>
  </w:style>
  <w:style w:type="character" w:customStyle="1" w:styleId="59">
    <w:name w:val="ico161"/>
    <w:basedOn w:val="5"/>
    <w:autoRedefine/>
    <w:qFormat/>
    <w:uiPriority w:val="0"/>
  </w:style>
  <w:style w:type="character" w:customStyle="1" w:styleId="60">
    <w:name w:val="ico162"/>
    <w:basedOn w:val="5"/>
    <w:qFormat/>
    <w:uiPriority w:val="0"/>
  </w:style>
  <w:style w:type="character" w:customStyle="1" w:styleId="61">
    <w:name w:val="ico163"/>
    <w:basedOn w:val="5"/>
    <w:autoRedefine/>
    <w:qFormat/>
    <w:uiPriority w:val="0"/>
  </w:style>
  <w:style w:type="character" w:customStyle="1" w:styleId="62">
    <w:name w:val="active5"/>
    <w:basedOn w:val="5"/>
    <w:autoRedefine/>
    <w:qFormat/>
    <w:uiPriority w:val="0"/>
    <w:rPr>
      <w:color w:val="00FF00"/>
      <w:shd w:val="clear" w:fill="111111"/>
    </w:rPr>
  </w:style>
  <w:style w:type="character" w:customStyle="1" w:styleId="63">
    <w:name w:val="ico1652"/>
    <w:basedOn w:val="5"/>
    <w:autoRedefine/>
    <w:qFormat/>
    <w:uiPriority w:val="0"/>
  </w:style>
  <w:style w:type="character" w:customStyle="1" w:styleId="64">
    <w:name w:val="ico1653"/>
    <w:basedOn w:val="5"/>
    <w:autoRedefine/>
    <w:qFormat/>
    <w:uiPriority w:val="0"/>
  </w:style>
  <w:style w:type="character" w:customStyle="1" w:styleId="65">
    <w:name w:val="hover41"/>
    <w:basedOn w:val="5"/>
    <w:autoRedefine/>
    <w:qFormat/>
    <w:uiPriority w:val="0"/>
    <w:rPr>
      <w:color w:val="FFFFFF"/>
    </w:rPr>
  </w:style>
  <w:style w:type="character" w:customStyle="1" w:styleId="66">
    <w:name w:val="hover42"/>
    <w:basedOn w:val="5"/>
    <w:autoRedefine/>
    <w:qFormat/>
    <w:uiPriority w:val="0"/>
    <w:rPr>
      <w:color w:val="2490F8"/>
    </w:rPr>
  </w:style>
  <w:style w:type="character" w:customStyle="1" w:styleId="67">
    <w:name w:val="hilite6"/>
    <w:basedOn w:val="5"/>
    <w:autoRedefine/>
    <w:qFormat/>
    <w:uiPriority w:val="0"/>
    <w:rPr>
      <w:color w:val="FFFFFF"/>
      <w:shd w:val="clear" w:fill="666666"/>
    </w:rPr>
  </w:style>
  <w:style w:type="character" w:customStyle="1" w:styleId="68">
    <w:name w:val="active3"/>
    <w:basedOn w:val="5"/>
    <w:autoRedefine/>
    <w:qFormat/>
    <w:uiPriority w:val="0"/>
    <w:rPr>
      <w:color w:val="00FF00"/>
      <w:shd w:val="clear" w:fill="111111"/>
    </w:rPr>
  </w:style>
  <w:style w:type="character" w:customStyle="1" w:styleId="69">
    <w:name w:val="active6"/>
    <w:basedOn w:val="5"/>
    <w:autoRedefine/>
    <w:qFormat/>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14899</Words>
  <Characters>16301</Characters>
  <Lines>0</Lines>
  <Paragraphs>0</Paragraphs>
  <TotalTime>52</TotalTime>
  <ScaleCrop>false</ScaleCrop>
  <LinksUpToDate>false</LinksUpToDate>
  <CharactersWithSpaces>16983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2024-03-27T08:10:28Z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C34A15E2AD9E45DAB881EB619547230A_12</vt:lpwstr>
  </property>
</Properties>
</file>