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left="0" w:leftChars="0" w:firstLine="0" w:firstLineChars="0"/>
        <w:jc w:val="center"/>
        <w:rPr>
          <w:rFonts w:hint="eastAsia"/>
          <w:b/>
          <w:sz w:val="28"/>
          <w:szCs w:val="28"/>
          <w:highlight w:val="none"/>
          <w:lang w:eastAsia="zh-CN"/>
        </w:rPr>
      </w:pPr>
      <w:bookmarkStart w:id="0" w:name="_Hlk102747051"/>
      <w:bookmarkEnd w:id="0"/>
      <w:r>
        <w:rPr>
          <w:rFonts w:hint="eastAsia"/>
          <w:b/>
          <w:sz w:val="28"/>
          <w:szCs w:val="28"/>
          <w:highlight w:val="none"/>
          <w:lang w:eastAsia="zh-CN"/>
        </w:rPr>
        <w:t>广州城投综合能源投资经营管理有限公司</w:t>
      </w:r>
    </w:p>
    <w:p>
      <w:pPr>
        <w:spacing w:line="360" w:lineRule="auto"/>
        <w:ind w:left="0" w:leftChars="0" w:firstLine="0" w:firstLineChars="0"/>
        <w:jc w:val="center"/>
        <w:rPr>
          <w:rFonts w:hint="eastAsia" w:ascii="仿宋" w:hAnsi="仿宋" w:eastAsia="宋体"/>
          <w:b/>
          <w:sz w:val="36"/>
          <w:szCs w:val="36"/>
          <w:highlight w:val="none"/>
          <w:lang w:val="en-US" w:eastAsia="zh-CN"/>
        </w:rPr>
      </w:pPr>
      <w:r>
        <w:rPr>
          <w:rFonts w:hint="eastAsia"/>
          <w:b/>
          <w:sz w:val="28"/>
          <w:szCs w:val="28"/>
          <w:highlight w:val="none"/>
          <w:lang w:eastAsia="zh-CN"/>
        </w:rPr>
        <w:t>3#冷站首层室内参观区域外观质量提升工程</w:t>
      </w:r>
    </w:p>
    <w:p>
      <w:pPr>
        <w:tabs>
          <w:tab w:val="left" w:pos="720"/>
        </w:tabs>
        <w:spacing w:before="120" w:beforeLines="50" w:after="120" w:afterLines="50" w:line="360" w:lineRule="auto"/>
        <w:jc w:val="center"/>
        <w:rPr>
          <w:rFonts w:hint="eastAsia" w:eastAsia="宋体"/>
          <w:b/>
          <w:sz w:val="28"/>
          <w:szCs w:val="28"/>
          <w:highlight w:val="none"/>
          <w:lang w:eastAsia="zh-CN"/>
        </w:rPr>
      </w:pPr>
      <w:r>
        <w:rPr>
          <w:rFonts w:hint="eastAsia"/>
          <w:b/>
          <w:sz w:val="28"/>
          <w:szCs w:val="28"/>
          <w:highlight w:val="none"/>
        </w:rPr>
        <w:t>竞选文件</w:t>
      </w:r>
    </w:p>
    <w:p>
      <w:pPr>
        <w:numPr>
          <w:ilvl w:val="0"/>
          <w:numId w:val="1"/>
        </w:numPr>
        <w:spacing w:before="120" w:beforeLines="50" w:after="120" w:afterLines="50" w:line="360" w:lineRule="auto"/>
        <w:ind w:left="0" w:firstLine="482" w:firstLineChars="200"/>
        <w:rPr>
          <w:b/>
          <w:bCs/>
          <w:sz w:val="24"/>
          <w:highlight w:val="none"/>
        </w:rPr>
      </w:pPr>
      <w:r>
        <w:rPr>
          <w:rFonts w:hint="eastAsia"/>
          <w:b/>
          <w:bCs/>
          <w:sz w:val="24"/>
          <w:highlight w:val="none"/>
        </w:rPr>
        <w:t>项目基本情况</w:t>
      </w:r>
    </w:p>
    <w:p>
      <w:pPr>
        <w:numPr>
          <w:ilvl w:val="0"/>
          <w:numId w:val="2"/>
        </w:numPr>
        <w:spacing w:before="120" w:beforeLines="50" w:after="120" w:afterLines="50" w:line="360" w:lineRule="auto"/>
        <w:ind w:left="0" w:firstLine="480" w:firstLineChars="200"/>
        <w:rPr>
          <w:sz w:val="24"/>
          <w:highlight w:val="none"/>
        </w:rPr>
      </w:pPr>
      <w:r>
        <w:rPr>
          <w:rFonts w:hint="eastAsia"/>
          <w:sz w:val="24"/>
          <w:highlight w:val="none"/>
        </w:rPr>
        <w:t>项目名称：</w:t>
      </w:r>
      <w:r>
        <w:rPr>
          <w:rFonts w:hint="eastAsia" w:ascii="宋体"/>
          <w:sz w:val="24"/>
          <w:highlight w:val="none"/>
          <w:lang w:eastAsia="zh-CN"/>
        </w:rPr>
        <w:t>3#冷站首层室内参观区域外观质量提升工程</w:t>
      </w:r>
    </w:p>
    <w:p>
      <w:pPr>
        <w:numPr>
          <w:ilvl w:val="0"/>
          <w:numId w:val="2"/>
        </w:numPr>
        <w:spacing w:before="120" w:beforeLines="50" w:after="120" w:afterLines="50" w:line="360" w:lineRule="auto"/>
        <w:ind w:left="0" w:firstLine="480" w:firstLineChars="200"/>
        <w:rPr>
          <w:sz w:val="24"/>
          <w:highlight w:val="none"/>
        </w:rPr>
      </w:pPr>
      <w:r>
        <w:rPr>
          <w:rFonts w:hint="eastAsia"/>
          <w:sz w:val="24"/>
          <w:highlight w:val="none"/>
        </w:rPr>
        <w:t>项目地点：</w:t>
      </w:r>
      <w:r>
        <w:rPr>
          <w:rFonts w:hint="eastAsia"/>
          <w:sz w:val="24"/>
          <w:highlight w:val="none"/>
          <w:lang w:val="en-US" w:eastAsia="zh-CN"/>
        </w:rPr>
        <w:t>广州大学城</w:t>
      </w:r>
    </w:p>
    <w:p>
      <w:pPr>
        <w:numPr>
          <w:ilvl w:val="0"/>
          <w:numId w:val="2"/>
        </w:numPr>
        <w:spacing w:before="120" w:beforeLines="50" w:after="120" w:afterLines="50" w:line="360" w:lineRule="auto"/>
        <w:ind w:left="0" w:firstLine="480" w:firstLineChars="200"/>
        <w:rPr>
          <w:sz w:val="24"/>
          <w:highlight w:val="none"/>
        </w:rPr>
      </w:pPr>
      <w:r>
        <w:rPr>
          <w:rFonts w:hint="eastAsia"/>
          <w:sz w:val="24"/>
          <w:highlight w:val="none"/>
        </w:rPr>
        <w:t>采购限价：人民币</w:t>
      </w:r>
      <w:r>
        <w:rPr>
          <w:rFonts w:hint="eastAsia"/>
          <w:sz w:val="24"/>
          <w:highlight w:val="none"/>
          <w:lang w:val="en-US" w:eastAsia="zh-CN"/>
        </w:rPr>
        <w:t>4</w:t>
      </w:r>
      <w:r>
        <w:rPr>
          <w:rFonts w:hint="eastAsia"/>
          <w:sz w:val="24"/>
          <w:highlight w:val="none"/>
        </w:rPr>
        <w:t>万元（投标报价超过采购限价为无效投标）。</w:t>
      </w:r>
    </w:p>
    <w:p>
      <w:pPr>
        <w:numPr>
          <w:ilvl w:val="0"/>
          <w:numId w:val="2"/>
        </w:numPr>
        <w:spacing w:before="120" w:beforeLines="50" w:after="120" w:afterLines="50" w:line="360" w:lineRule="auto"/>
        <w:ind w:left="0" w:firstLine="480" w:firstLineChars="200"/>
        <w:rPr>
          <w:sz w:val="24"/>
          <w:highlight w:val="none"/>
        </w:rPr>
      </w:pPr>
      <w:r>
        <w:rPr>
          <w:rFonts w:hint="eastAsia"/>
          <w:sz w:val="24"/>
          <w:highlight w:val="none"/>
        </w:rPr>
        <w:t>项目概况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sz w:val="30"/>
          <w:szCs w:val="30"/>
        </w:rPr>
      </w:pPr>
      <w:r>
        <w:rPr>
          <w:rFonts w:hint="eastAsia" w:asciiTheme="minorEastAsia" w:hAnsiTheme="minorEastAsia" w:eastAsiaTheme="minorEastAsia" w:cstheme="minorEastAsia"/>
          <w:sz w:val="24"/>
          <w:szCs w:val="24"/>
        </w:rPr>
        <w:t>3#冷站首层室内参观区域外观质量提升内容：1、首层冰槽外立面发霉，外观不佳，粘贴白色墙纸，根部安装瓷砖遮挡；2、首层室内地面水沟无盖板，增设水沟盖板；3、首层室内地面局部发霉，自流平翻新；4、进出道路地面局部坑洼，铺沥青修复。</w:t>
      </w:r>
    </w:p>
    <w:p>
      <w:pPr>
        <w:spacing w:line="360" w:lineRule="auto"/>
        <w:jc w:val="center"/>
      </w:pPr>
      <w:r>
        <w:drawing>
          <wp:inline distT="0" distB="0" distL="114300" distR="114300">
            <wp:extent cx="1682115" cy="1245870"/>
            <wp:effectExtent l="0" t="0" r="13335" b="1143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4"/>
                    <a:stretch>
                      <a:fillRect/>
                    </a:stretch>
                  </pic:blipFill>
                  <pic:spPr>
                    <a:xfrm>
                      <a:off x="0" y="0"/>
                      <a:ext cx="1682115" cy="1245870"/>
                    </a:xfrm>
                    <a:prstGeom prst="rect">
                      <a:avLst/>
                    </a:prstGeom>
                    <a:noFill/>
                    <a:ln>
                      <a:noFill/>
                    </a:ln>
                  </pic:spPr>
                </pic:pic>
              </a:graphicData>
            </a:graphic>
          </wp:inline>
        </w:drawing>
      </w:r>
    </w:p>
    <w:p>
      <w:pPr>
        <w:spacing w:line="360" w:lineRule="auto"/>
        <w:jc w:val="center"/>
      </w:pPr>
      <w:r>
        <w:rPr>
          <w:rFonts w:hint="eastAsia"/>
        </w:rPr>
        <w:t>进出道路地面现状</w:t>
      </w:r>
    </w:p>
    <w:p>
      <w:pPr>
        <w:spacing w:line="360" w:lineRule="auto"/>
        <w:jc w:val="center"/>
      </w:pPr>
      <w:r>
        <w:drawing>
          <wp:inline distT="0" distB="0" distL="114300" distR="114300">
            <wp:extent cx="1744345" cy="1921510"/>
            <wp:effectExtent l="0" t="0" r="8255" b="254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5"/>
                    <a:stretch>
                      <a:fillRect/>
                    </a:stretch>
                  </pic:blipFill>
                  <pic:spPr>
                    <a:xfrm>
                      <a:off x="0" y="0"/>
                      <a:ext cx="1744345" cy="1921510"/>
                    </a:xfrm>
                    <a:prstGeom prst="rect">
                      <a:avLst/>
                    </a:prstGeom>
                    <a:noFill/>
                    <a:ln>
                      <a:noFill/>
                    </a:ln>
                  </pic:spPr>
                </pic:pic>
              </a:graphicData>
            </a:graphic>
          </wp:inline>
        </w:drawing>
      </w:r>
      <w:r>
        <w:t xml:space="preserve"> </w:t>
      </w:r>
      <w:r>
        <w:drawing>
          <wp:inline distT="0" distB="0" distL="114300" distR="114300">
            <wp:extent cx="2100580" cy="1732280"/>
            <wp:effectExtent l="0" t="0" r="13970" b="127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6"/>
                    <a:stretch>
                      <a:fillRect/>
                    </a:stretch>
                  </pic:blipFill>
                  <pic:spPr>
                    <a:xfrm>
                      <a:off x="0" y="0"/>
                      <a:ext cx="2100580" cy="1732280"/>
                    </a:xfrm>
                    <a:prstGeom prst="rect">
                      <a:avLst/>
                    </a:prstGeom>
                    <a:noFill/>
                    <a:ln>
                      <a:noFill/>
                    </a:ln>
                  </pic:spPr>
                </pic:pic>
              </a:graphicData>
            </a:graphic>
          </wp:inline>
        </w:drawing>
      </w:r>
    </w:p>
    <w:p>
      <w:pPr>
        <w:spacing w:line="360" w:lineRule="auto"/>
        <w:jc w:val="center"/>
      </w:pPr>
      <w:r>
        <w:rPr>
          <w:rFonts w:hint="eastAsia"/>
        </w:rPr>
        <w:t>首层室内地面和墙面现状</w:t>
      </w:r>
    </w:p>
    <w:p>
      <w:pPr>
        <w:numPr>
          <w:ilvl w:val="0"/>
          <w:numId w:val="1"/>
        </w:numPr>
        <w:spacing w:before="120" w:beforeLines="50" w:after="120" w:afterLines="50" w:line="360" w:lineRule="auto"/>
        <w:ind w:left="0" w:firstLine="482" w:firstLineChars="200"/>
        <w:rPr>
          <w:b/>
          <w:bCs/>
          <w:sz w:val="24"/>
          <w:szCs w:val="24"/>
          <w:highlight w:val="none"/>
        </w:rPr>
      </w:pPr>
      <w:r>
        <w:rPr>
          <w:rFonts w:hint="eastAsia"/>
          <w:b/>
          <w:bCs/>
          <w:sz w:val="24"/>
          <w:szCs w:val="24"/>
          <w:highlight w:val="none"/>
        </w:rPr>
        <w:t>合格投标人资格要求</w:t>
      </w:r>
    </w:p>
    <w:p>
      <w:pPr>
        <w:pStyle w:val="36"/>
        <w:numPr>
          <w:ilvl w:val="0"/>
          <w:numId w:val="3"/>
        </w:numPr>
        <w:spacing w:before="156" w:beforeLines="50" w:after="156" w:afterLines="50" w:line="360" w:lineRule="auto"/>
        <w:ind w:left="0" w:firstLine="480"/>
        <w:rPr>
          <w:rFonts w:ascii="宋体" w:hAnsi="宋体" w:eastAsia="宋体"/>
          <w:sz w:val="24"/>
          <w:szCs w:val="24"/>
        </w:rPr>
      </w:pPr>
      <w:r>
        <w:rPr>
          <w:rFonts w:hint="eastAsia" w:ascii="宋体" w:hAnsi="宋体" w:eastAsia="宋体"/>
          <w:sz w:val="24"/>
          <w:szCs w:val="24"/>
        </w:rPr>
        <w:t>必须是具有独立承担民事责任能力、在中华人民共和国境内注册的法人，按国家法律经营；</w:t>
      </w:r>
    </w:p>
    <w:p>
      <w:pPr>
        <w:pStyle w:val="36"/>
        <w:numPr>
          <w:ilvl w:val="0"/>
          <w:numId w:val="3"/>
        </w:numPr>
        <w:spacing w:before="156" w:beforeLines="50" w:after="156" w:afterLines="50" w:line="360" w:lineRule="auto"/>
        <w:ind w:left="0" w:firstLine="480"/>
        <w:rPr>
          <w:rFonts w:hint="eastAsia" w:ascii="宋体" w:hAnsi="宋体" w:eastAsia="宋体"/>
          <w:sz w:val="24"/>
          <w:szCs w:val="24"/>
        </w:rPr>
      </w:pPr>
      <w:r>
        <w:rPr>
          <w:rFonts w:hint="eastAsia" w:ascii="宋体" w:hAnsi="宋体" w:eastAsia="宋体"/>
          <w:sz w:val="24"/>
          <w:szCs w:val="24"/>
        </w:rPr>
        <w:t>投标人未被列入“信用中国”网站(www.creditchina.gov.cn)记录失信被执行人或重大税收违法案件当事人名单,投标人须提供《信用记录承诺函》附“信用中国”网站(www.creditchina.gov.cn)的信用记录查询结果截图并打印页面加盖公章;</w:t>
      </w:r>
    </w:p>
    <w:p>
      <w:pPr>
        <w:pStyle w:val="36"/>
        <w:numPr>
          <w:ilvl w:val="0"/>
          <w:numId w:val="3"/>
        </w:numPr>
        <w:spacing w:before="156" w:beforeLines="50" w:after="156" w:afterLines="50" w:line="360" w:lineRule="auto"/>
        <w:ind w:left="0" w:firstLine="480"/>
        <w:rPr>
          <w:rFonts w:ascii="宋体" w:hAnsi="宋体" w:eastAsia="宋体"/>
          <w:sz w:val="24"/>
          <w:szCs w:val="24"/>
        </w:rPr>
      </w:pPr>
      <w:r>
        <w:rPr>
          <w:rFonts w:hint="eastAsia" w:ascii="宋体" w:hAnsi="宋体" w:eastAsia="宋体"/>
          <w:sz w:val="24"/>
          <w:szCs w:val="24"/>
        </w:rPr>
        <w:t>投标人没有处于被责令停业或破产状态，且资产未被重组、接管和冻结，声明在投标活动中3 年内没有重大违法活动和涉嫌违规行为。(格式自拟)</w:t>
      </w:r>
    </w:p>
    <w:p>
      <w:pPr>
        <w:pStyle w:val="36"/>
        <w:numPr>
          <w:ilvl w:val="0"/>
          <w:numId w:val="3"/>
        </w:numPr>
        <w:spacing w:before="156" w:beforeLines="50" w:after="156" w:afterLines="50" w:line="360" w:lineRule="auto"/>
        <w:ind w:left="0" w:firstLine="480"/>
        <w:rPr>
          <w:rFonts w:ascii="宋体" w:hAnsi="宋体" w:eastAsia="宋体"/>
          <w:sz w:val="24"/>
          <w:szCs w:val="24"/>
        </w:rPr>
      </w:pPr>
      <w:r>
        <w:rPr>
          <w:rFonts w:hint="eastAsia" w:ascii="宋体" w:hAnsi="宋体" w:eastAsia="宋体"/>
          <w:sz w:val="24"/>
          <w:szCs w:val="24"/>
        </w:rPr>
        <w:t>具备有效的工商营业执照、企业法人组织机构代码证书、税务登记证书（或三证合一）；</w:t>
      </w:r>
    </w:p>
    <w:p>
      <w:pPr>
        <w:pStyle w:val="36"/>
        <w:numPr>
          <w:ilvl w:val="0"/>
          <w:numId w:val="3"/>
        </w:numPr>
        <w:spacing w:before="156" w:beforeLines="50" w:after="156" w:afterLines="50" w:line="360" w:lineRule="auto"/>
        <w:ind w:left="0" w:firstLine="480"/>
        <w:rPr>
          <w:rFonts w:hint="eastAsia" w:ascii="宋体" w:hAnsi="宋体" w:eastAsia="宋体"/>
          <w:sz w:val="24"/>
          <w:szCs w:val="24"/>
          <w:highlight w:val="none"/>
        </w:rPr>
      </w:pPr>
      <w:r>
        <w:rPr>
          <w:rFonts w:hint="eastAsia" w:ascii="宋体" w:hAnsi="宋体" w:eastAsia="宋体"/>
          <w:sz w:val="24"/>
          <w:szCs w:val="24"/>
          <w:highlight w:val="none"/>
        </w:rPr>
        <w:t>具有建筑工程施工总承包叁级及以上资质；或具有建筑装修装饰工程专业承包贰级及以上资质</w:t>
      </w:r>
      <w:r>
        <w:rPr>
          <w:rFonts w:hint="eastAsia"/>
          <w:sz w:val="24"/>
          <w:highlight w:val="none"/>
          <w:lang w:eastAsia="zh-CN"/>
        </w:rPr>
        <w:t>；</w:t>
      </w:r>
    </w:p>
    <w:p>
      <w:pPr>
        <w:pStyle w:val="36"/>
        <w:numPr>
          <w:ilvl w:val="0"/>
          <w:numId w:val="3"/>
        </w:numPr>
        <w:spacing w:before="156" w:beforeLines="50" w:after="156" w:afterLines="50" w:line="360" w:lineRule="auto"/>
        <w:ind w:left="0" w:firstLine="480"/>
        <w:rPr>
          <w:rFonts w:ascii="宋体" w:hAnsi="宋体" w:eastAsia="宋体"/>
          <w:sz w:val="24"/>
          <w:szCs w:val="24"/>
        </w:rPr>
      </w:pPr>
      <w:r>
        <w:rPr>
          <w:rFonts w:hint="eastAsia" w:ascii="宋体" w:hAnsi="宋体" w:eastAsia="宋体"/>
          <w:sz w:val="24"/>
          <w:szCs w:val="24"/>
        </w:rPr>
        <w:t>投标人近3年内(20</w:t>
      </w:r>
      <w:r>
        <w:rPr>
          <w:rFonts w:hint="eastAsia" w:ascii="宋体" w:hAnsi="宋体" w:eastAsia="宋体"/>
          <w:sz w:val="24"/>
          <w:szCs w:val="24"/>
          <w:lang w:val="en-US" w:eastAsia="zh-CN"/>
        </w:rPr>
        <w:t>2</w:t>
      </w:r>
      <w:r>
        <w:rPr>
          <w:rFonts w:hint="eastAsia" w:ascii="宋体" w:hAnsi="宋体"/>
          <w:sz w:val="24"/>
          <w:szCs w:val="24"/>
          <w:lang w:val="en-US" w:eastAsia="zh-CN"/>
        </w:rPr>
        <w:t>1</w:t>
      </w:r>
      <w:r>
        <w:rPr>
          <w:rFonts w:hint="eastAsia" w:ascii="宋体" w:hAnsi="宋体" w:eastAsia="宋体"/>
          <w:sz w:val="24"/>
          <w:szCs w:val="24"/>
        </w:rPr>
        <w:t>年1月1日至今)完成过质量合格的类似项目业绩（需提供合同</w:t>
      </w:r>
      <w:r>
        <w:rPr>
          <w:rFonts w:hint="eastAsia" w:ascii="宋体" w:hAnsi="宋体" w:eastAsia="宋体"/>
          <w:sz w:val="24"/>
          <w:szCs w:val="24"/>
          <w:lang w:val="en-US" w:eastAsia="zh-CN"/>
        </w:rPr>
        <w:t>等</w:t>
      </w:r>
      <w:r>
        <w:rPr>
          <w:rFonts w:hint="eastAsia" w:ascii="宋体" w:hAnsi="宋体" w:eastAsia="宋体"/>
          <w:sz w:val="24"/>
          <w:szCs w:val="24"/>
        </w:rPr>
        <w:t>相关证明材料复印件；</w:t>
      </w:r>
    </w:p>
    <w:p>
      <w:pPr>
        <w:pStyle w:val="36"/>
        <w:numPr>
          <w:ilvl w:val="0"/>
          <w:numId w:val="3"/>
        </w:numPr>
        <w:spacing w:before="156" w:beforeLines="50" w:after="156" w:afterLines="50" w:line="360" w:lineRule="auto"/>
        <w:ind w:left="0" w:firstLine="480"/>
        <w:rPr>
          <w:rFonts w:ascii="宋体" w:hAnsi="宋体" w:eastAsia="宋体"/>
          <w:sz w:val="24"/>
          <w:szCs w:val="24"/>
        </w:rPr>
      </w:pPr>
      <w:r>
        <w:rPr>
          <w:rFonts w:hint="eastAsia" w:ascii="宋体" w:hAnsi="宋体" w:eastAsia="宋体"/>
          <w:sz w:val="24"/>
          <w:szCs w:val="24"/>
        </w:rPr>
        <w:t>不接受联合体报价</w:t>
      </w:r>
      <w:r>
        <w:rPr>
          <w:rFonts w:hint="eastAsia" w:ascii="宋体" w:hAnsi="宋体"/>
          <w:sz w:val="24"/>
          <w:szCs w:val="24"/>
          <w:lang w:eastAsia="zh-CN"/>
        </w:rPr>
        <w:t>。</w:t>
      </w:r>
    </w:p>
    <w:p>
      <w:pPr>
        <w:numPr>
          <w:ilvl w:val="0"/>
          <w:numId w:val="1"/>
        </w:numPr>
        <w:spacing w:before="120" w:beforeLines="50" w:after="120" w:afterLines="50" w:line="360" w:lineRule="auto"/>
        <w:ind w:left="0" w:firstLine="482" w:firstLineChars="200"/>
        <w:rPr>
          <w:b/>
          <w:bCs/>
          <w:sz w:val="24"/>
          <w:szCs w:val="24"/>
          <w:highlight w:val="none"/>
        </w:rPr>
      </w:pPr>
      <w:r>
        <w:rPr>
          <w:rFonts w:hint="eastAsia"/>
          <w:b/>
          <w:bCs/>
          <w:sz w:val="24"/>
          <w:szCs w:val="24"/>
          <w:highlight w:val="none"/>
        </w:rPr>
        <w:t>项目</w:t>
      </w:r>
      <w:r>
        <w:rPr>
          <w:rFonts w:hint="eastAsia"/>
          <w:b/>
          <w:bCs/>
          <w:sz w:val="24"/>
          <w:szCs w:val="24"/>
          <w:highlight w:val="none"/>
          <w:lang w:val="en-US" w:eastAsia="zh-CN"/>
        </w:rPr>
        <w:t>工作范围</w:t>
      </w:r>
    </w:p>
    <w:p>
      <w:pPr>
        <w:spacing w:line="360" w:lineRule="auto"/>
        <w:ind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1、首层冰槽墙面、柱面局部发霉，外观不佳，采用皇冠万能胶粘贴白色墙纸，面积约400㎡；根部采用瓷砖遮挡。</w:t>
      </w:r>
    </w:p>
    <w:p>
      <w:pPr>
        <w:spacing w:line="360" w:lineRule="auto"/>
        <w:jc w:val="center"/>
      </w:pPr>
      <w:r>
        <w:drawing>
          <wp:inline distT="0" distB="0" distL="114300" distR="114300">
            <wp:extent cx="2237105" cy="2486660"/>
            <wp:effectExtent l="0" t="0" r="10795" b="889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7"/>
                    <a:stretch>
                      <a:fillRect/>
                    </a:stretch>
                  </pic:blipFill>
                  <pic:spPr>
                    <a:xfrm>
                      <a:off x="0" y="0"/>
                      <a:ext cx="2237105" cy="2486660"/>
                    </a:xfrm>
                    <a:prstGeom prst="rect">
                      <a:avLst/>
                    </a:prstGeom>
                    <a:noFill/>
                    <a:ln>
                      <a:noFill/>
                    </a:ln>
                  </pic:spPr>
                </pic:pic>
              </a:graphicData>
            </a:graphic>
          </wp:inline>
        </w:drawing>
      </w:r>
      <w:r>
        <w:t xml:space="preserve"> </w:t>
      </w:r>
    </w:p>
    <w:p>
      <w:pPr>
        <w:spacing w:line="360" w:lineRule="auto"/>
        <w:jc w:val="center"/>
      </w:pPr>
      <w:r>
        <w:rPr>
          <w:rFonts w:hint="eastAsia"/>
        </w:rPr>
        <w:t>冰槽</w:t>
      </w:r>
      <w:r>
        <w:t>墙面照片</w:t>
      </w:r>
    </w:p>
    <w:p>
      <w:pPr>
        <w:spacing w:line="360" w:lineRule="auto"/>
        <w:jc w:val="center"/>
        <w:rPr>
          <w:rFonts w:ascii="仿宋" w:hAnsi="仿宋" w:eastAsia="仿宋"/>
          <w:sz w:val="30"/>
          <w:szCs w:val="30"/>
        </w:rPr>
      </w:pPr>
      <w:r>
        <w:rPr>
          <w:rFonts w:ascii="仿宋" w:hAnsi="仿宋" w:eastAsia="仿宋"/>
          <w:sz w:val="30"/>
          <w:szCs w:val="30"/>
        </w:rPr>
        <w:drawing>
          <wp:inline distT="0" distB="0" distL="114300" distR="114300">
            <wp:extent cx="2232660" cy="2232660"/>
            <wp:effectExtent l="0" t="0" r="15240" b="15240"/>
            <wp:docPr id="7" name="图片 5" descr="edcc59ae7c854bd3efbc7bf9875c1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edcc59ae7c854bd3efbc7bf9875c1cf"/>
                    <pic:cNvPicPr>
                      <a:picLocks noChangeAspect="1"/>
                    </pic:cNvPicPr>
                  </pic:nvPicPr>
                  <pic:blipFill>
                    <a:blip r:embed="rId8"/>
                    <a:stretch>
                      <a:fillRect/>
                    </a:stretch>
                  </pic:blipFill>
                  <pic:spPr>
                    <a:xfrm>
                      <a:off x="0" y="0"/>
                      <a:ext cx="2232660" cy="2232660"/>
                    </a:xfrm>
                    <a:prstGeom prst="rect">
                      <a:avLst/>
                    </a:prstGeom>
                    <a:noFill/>
                    <a:ln>
                      <a:noFill/>
                    </a:ln>
                  </pic:spPr>
                </pic:pic>
              </a:graphicData>
            </a:graphic>
          </wp:inline>
        </w:drawing>
      </w:r>
    </w:p>
    <w:p>
      <w:pPr>
        <w:spacing w:line="360" w:lineRule="auto"/>
        <w:jc w:val="center"/>
      </w:pPr>
      <w:r>
        <w:rPr>
          <w:rFonts w:hint="eastAsia"/>
        </w:rPr>
        <w:t>白色（哑光磨砂，防水防潮，供参考）</w:t>
      </w:r>
    </w:p>
    <w:p>
      <w:pPr>
        <w:spacing w:line="360" w:lineRule="auto"/>
        <w:jc w:val="center"/>
      </w:pPr>
      <w:r>
        <w:drawing>
          <wp:inline distT="0" distB="0" distL="114300" distR="114300">
            <wp:extent cx="2134235" cy="2804795"/>
            <wp:effectExtent l="0" t="0" r="18415" b="14605"/>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9"/>
                    <a:stretch>
                      <a:fillRect/>
                    </a:stretch>
                  </pic:blipFill>
                  <pic:spPr>
                    <a:xfrm>
                      <a:off x="0" y="0"/>
                      <a:ext cx="2134235" cy="2804795"/>
                    </a:xfrm>
                    <a:prstGeom prst="rect">
                      <a:avLst/>
                    </a:prstGeom>
                    <a:noFill/>
                    <a:ln>
                      <a:noFill/>
                    </a:ln>
                  </pic:spPr>
                </pic:pic>
              </a:graphicData>
            </a:graphic>
          </wp:inline>
        </w:drawing>
      </w:r>
      <w:r>
        <w:drawing>
          <wp:inline distT="0" distB="0" distL="114300" distR="114300">
            <wp:extent cx="1836420" cy="2856865"/>
            <wp:effectExtent l="0" t="0" r="11430" b="635"/>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0"/>
                    <a:stretch>
                      <a:fillRect/>
                    </a:stretch>
                  </pic:blipFill>
                  <pic:spPr>
                    <a:xfrm>
                      <a:off x="0" y="0"/>
                      <a:ext cx="1836420" cy="2856865"/>
                    </a:xfrm>
                    <a:prstGeom prst="rect">
                      <a:avLst/>
                    </a:prstGeom>
                    <a:noFill/>
                    <a:ln>
                      <a:noFill/>
                    </a:ln>
                  </pic:spPr>
                </pic:pic>
              </a:graphicData>
            </a:graphic>
          </wp:inline>
        </w:drawing>
      </w:r>
    </w:p>
    <w:p>
      <w:pPr>
        <w:spacing w:line="360" w:lineRule="auto"/>
        <w:jc w:val="center"/>
        <w:rPr>
          <w:rFonts w:hint="eastAsia"/>
        </w:rPr>
      </w:pPr>
      <w:r>
        <w:rPr>
          <w:rFonts w:hint="eastAsia"/>
        </w:rPr>
        <w:t>冰槽墙根</w:t>
      </w:r>
      <w:r>
        <w:t>照片</w:t>
      </w:r>
      <w:r>
        <w:rPr>
          <w:rFonts w:hint="eastAsia"/>
        </w:rPr>
        <w:t xml:space="preserve"> </w:t>
      </w:r>
      <w:r>
        <w:t xml:space="preserve">             瓷砖</w:t>
      </w:r>
    </w:p>
    <w:p>
      <w:pPr>
        <w:spacing w:line="360" w:lineRule="auto"/>
        <w:ind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首层冰槽地面水沟积水、无盖板，水沟底部切槽并疏通，表面树脂复合水沟盖板，盖板宽度40cm，长度约64m；</w:t>
      </w:r>
    </w:p>
    <w:p>
      <w:pPr>
        <w:spacing w:line="360" w:lineRule="auto"/>
        <w:jc w:val="center"/>
      </w:pPr>
      <w:r>
        <w:drawing>
          <wp:inline distT="0" distB="0" distL="114300" distR="114300">
            <wp:extent cx="2181860" cy="1651000"/>
            <wp:effectExtent l="0" t="0" r="8890" b="635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1"/>
                    <a:stretch>
                      <a:fillRect/>
                    </a:stretch>
                  </pic:blipFill>
                  <pic:spPr>
                    <a:xfrm>
                      <a:off x="0" y="0"/>
                      <a:ext cx="2181860" cy="1651000"/>
                    </a:xfrm>
                    <a:prstGeom prst="rect">
                      <a:avLst/>
                    </a:prstGeom>
                    <a:noFill/>
                    <a:ln>
                      <a:noFill/>
                    </a:ln>
                  </pic:spPr>
                </pic:pic>
              </a:graphicData>
            </a:graphic>
          </wp:inline>
        </w:drawing>
      </w:r>
    </w:p>
    <w:p>
      <w:pPr>
        <w:spacing w:line="360" w:lineRule="auto"/>
        <w:jc w:val="center"/>
      </w:pPr>
      <w:r>
        <w:t>现场照片</w:t>
      </w:r>
    </w:p>
    <w:p>
      <w:pPr>
        <w:spacing w:line="360" w:lineRule="auto"/>
        <w:jc w:val="center"/>
      </w:pPr>
      <w:r>
        <w:drawing>
          <wp:inline distT="0" distB="0" distL="114300" distR="114300">
            <wp:extent cx="2712085" cy="2694305"/>
            <wp:effectExtent l="0" t="0" r="12065" b="10795"/>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12"/>
                    <a:stretch>
                      <a:fillRect/>
                    </a:stretch>
                  </pic:blipFill>
                  <pic:spPr>
                    <a:xfrm>
                      <a:off x="0" y="0"/>
                      <a:ext cx="2712085" cy="2694305"/>
                    </a:xfrm>
                    <a:prstGeom prst="rect">
                      <a:avLst/>
                    </a:prstGeom>
                    <a:noFill/>
                    <a:ln>
                      <a:noFill/>
                    </a:ln>
                  </pic:spPr>
                </pic:pic>
              </a:graphicData>
            </a:graphic>
          </wp:inline>
        </w:drawing>
      </w:r>
    </w:p>
    <w:p>
      <w:pPr>
        <w:spacing w:line="360" w:lineRule="auto"/>
        <w:jc w:val="center"/>
        <w:rPr>
          <w:rFonts w:hint="eastAsia" w:ascii="仿宋" w:hAnsi="仿宋" w:eastAsia="仿宋"/>
          <w:sz w:val="30"/>
          <w:szCs w:val="30"/>
        </w:rPr>
      </w:pPr>
      <w:r>
        <w:t>树脂复合盖板样式</w:t>
      </w:r>
    </w:p>
    <w:p>
      <w:pPr>
        <w:spacing w:line="360" w:lineRule="auto"/>
        <w:ind w:firstLine="480" w:firstLineChars="200"/>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3、首层地面局部发霉，铺自流平遮挡，面积约240㎡。</w:t>
      </w:r>
    </w:p>
    <w:p>
      <w:pPr>
        <w:spacing w:line="360" w:lineRule="auto"/>
        <w:jc w:val="center"/>
      </w:pPr>
      <w:r>
        <w:drawing>
          <wp:inline distT="0" distB="0" distL="114300" distR="114300">
            <wp:extent cx="2559685" cy="2074545"/>
            <wp:effectExtent l="0" t="0" r="12065" b="1905"/>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13"/>
                    <a:stretch>
                      <a:fillRect/>
                    </a:stretch>
                  </pic:blipFill>
                  <pic:spPr>
                    <a:xfrm>
                      <a:off x="0" y="0"/>
                      <a:ext cx="2559685" cy="2074545"/>
                    </a:xfrm>
                    <a:prstGeom prst="rect">
                      <a:avLst/>
                    </a:prstGeom>
                    <a:noFill/>
                    <a:ln>
                      <a:noFill/>
                    </a:ln>
                  </pic:spPr>
                </pic:pic>
              </a:graphicData>
            </a:graphic>
          </wp:inline>
        </w:drawing>
      </w:r>
      <w:r>
        <w:t xml:space="preserve"> </w:t>
      </w:r>
    </w:p>
    <w:p>
      <w:pPr>
        <w:spacing w:line="360" w:lineRule="auto"/>
        <w:jc w:val="center"/>
      </w:pPr>
      <w:r>
        <w:rPr>
          <w:rFonts w:hint="eastAsia"/>
        </w:rPr>
        <w:t>首层冰槽地面和墙面现状</w:t>
      </w:r>
    </w:p>
    <w:p>
      <w:pPr>
        <w:spacing w:line="360" w:lineRule="auto"/>
        <w:jc w:val="center"/>
      </w:pPr>
      <w:r>
        <w:drawing>
          <wp:inline distT="0" distB="0" distL="114300" distR="114300">
            <wp:extent cx="1895475" cy="1851025"/>
            <wp:effectExtent l="0" t="0" r="9525" b="15875"/>
            <wp:docPr id="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pic:cNvPicPr>
                      <a:picLocks noChangeAspect="1"/>
                    </pic:cNvPicPr>
                  </pic:nvPicPr>
                  <pic:blipFill>
                    <a:blip r:embed="rId14"/>
                    <a:stretch>
                      <a:fillRect/>
                    </a:stretch>
                  </pic:blipFill>
                  <pic:spPr>
                    <a:xfrm>
                      <a:off x="0" y="0"/>
                      <a:ext cx="1895475" cy="1851025"/>
                    </a:xfrm>
                    <a:prstGeom prst="rect">
                      <a:avLst/>
                    </a:prstGeom>
                    <a:noFill/>
                    <a:ln>
                      <a:noFill/>
                    </a:ln>
                  </pic:spPr>
                </pic:pic>
              </a:graphicData>
            </a:graphic>
          </wp:inline>
        </w:drawing>
      </w:r>
    </w:p>
    <w:p>
      <w:pPr>
        <w:spacing w:line="360" w:lineRule="auto"/>
        <w:jc w:val="center"/>
      </w:pPr>
      <w:r>
        <w:rPr>
          <w:rFonts w:hint="eastAsia"/>
        </w:rPr>
        <w:t>自流平</w:t>
      </w:r>
    </w:p>
    <w:p>
      <w:pPr>
        <w:spacing w:line="240" w:lineRule="atLeast"/>
        <w:ind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4、进出路面口坑洼，基层修复处理，恢复沥青层，面积约5㎡。</w:t>
      </w:r>
    </w:p>
    <w:p>
      <w:pPr>
        <w:spacing w:line="360" w:lineRule="auto"/>
        <w:jc w:val="center"/>
        <w:rPr>
          <w:rFonts w:hint="eastAsia"/>
        </w:rPr>
      </w:pPr>
      <w:r>
        <w:drawing>
          <wp:inline distT="0" distB="0" distL="114300" distR="114300">
            <wp:extent cx="1682115" cy="1245870"/>
            <wp:effectExtent l="0" t="0" r="13335" b="11430"/>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4"/>
                    <a:stretch>
                      <a:fillRect/>
                    </a:stretch>
                  </pic:blipFill>
                  <pic:spPr>
                    <a:xfrm>
                      <a:off x="0" y="0"/>
                      <a:ext cx="1682115" cy="124587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asciiTheme="minorEastAsia" w:hAnsiTheme="minorEastAsia"/>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rPr>
      </w:pPr>
    </w:p>
    <w:p>
      <w:pPr>
        <w:keepNext w:val="0"/>
        <w:keepLines w:val="0"/>
        <w:pageBreakBefore w:val="0"/>
        <w:numPr>
          <w:ilvl w:val="0"/>
          <w:numId w:val="1"/>
        </w:numPr>
        <w:kinsoku/>
        <w:wordWrap/>
        <w:overflowPunct/>
        <w:topLinePunct w:val="0"/>
        <w:bidi w:val="0"/>
        <w:spacing w:before="157" w:beforeLines="50" w:after="157" w:afterLines="50" w:line="360" w:lineRule="auto"/>
        <w:ind w:left="0" w:firstLine="482" w:firstLineChars="200"/>
        <w:textAlignment w:val="auto"/>
        <w:rPr>
          <w:rFonts w:hint="eastAsia" w:asciiTheme="minorEastAsia" w:hAnsiTheme="minorEastAsia" w:eastAsiaTheme="minorEastAsia" w:cstheme="minorEastAsia"/>
          <w:b/>
          <w:sz w:val="24"/>
          <w:szCs w:val="24"/>
          <w:highlight w:val="none"/>
        </w:rPr>
      </w:pPr>
      <w:r>
        <w:rPr>
          <w:rFonts w:hint="eastAsia" w:asciiTheme="minorEastAsia" w:hAnsiTheme="minorEastAsia" w:eastAsiaTheme="minorEastAsia" w:cstheme="minorEastAsia"/>
          <w:b/>
          <w:sz w:val="24"/>
          <w:szCs w:val="24"/>
          <w:highlight w:val="none"/>
        </w:rPr>
        <w:t>工程量及材料说明</w:t>
      </w:r>
    </w:p>
    <w:p>
      <w:pPr>
        <w:keepNext w:val="0"/>
        <w:keepLines w:val="0"/>
        <w:pageBreakBefore w:val="0"/>
        <w:kinsoku/>
        <w:wordWrap/>
        <w:overflowPunct/>
        <w:topLinePunct w:val="0"/>
        <w:bidi w:val="0"/>
        <w:spacing w:before="157" w:beforeLines="50" w:after="157" w:afterLines="50" w:line="360" w:lineRule="auto"/>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以下工程量仅作参考，本项目由投标人包工包料，投标人</w:t>
      </w:r>
      <w:r>
        <w:rPr>
          <w:rFonts w:hint="eastAsia" w:asciiTheme="minorEastAsia" w:hAnsiTheme="minorEastAsia" w:eastAsiaTheme="minorEastAsia" w:cstheme="minorEastAsia"/>
          <w:sz w:val="24"/>
          <w:szCs w:val="24"/>
          <w:highlight w:val="none"/>
          <w:lang w:val="en-US" w:eastAsia="zh-CN"/>
        </w:rPr>
        <w:t>应</w:t>
      </w:r>
      <w:r>
        <w:rPr>
          <w:rFonts w:hint="eastAsia" w:asciiTheme="minorEastAsia" w:hAnsiTheme="minorEastAsia" w:eastAsiaTheme="minorEastAsia" w:cstheme="minorEastAsia"/>
          <w:sz w:val="24"/>
          <w:szCs w:val="24"/>
          <w:highlight w:val="none"/>
        </w:rPr>
        <w:t>勘踏现场后，应根据下表及结合现场实际情况综合考虑再进行报价。</w:t>
      </w:r>
    </w:p>
    <w:tbl>
      <w:tblPr>
        <w:tblStyle w:val="24"/>
        <w:tblpPr w:leftFromText="180" w:rightFromText="180" w:vertAnchor="text" w:horzAnchor="page" w:tblpXSpec="center" w:tblpY="212"/>
        <w:tblOverlap w:val="never"/>
        <w:tblW w:w="946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3"/>
        <w:gridCol w:w="1200"/>
        <w:gridCol w:w="3828"/>
        <w:gridCol w:w="1331"/>
        <w:gridCol w:w="1134"/>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53" w:type="dxa"/>
            <w:noWrap w:val="0"/>
            <w:vAlign w:val="center"/>
          </w:tcPr>
          <w:p>
            <w:pPr>
              <w:widowControl/>
              <w:spacing w:line="0" w:lineRule="atLeast"/>
              <w:jc w:val="left"/>
              <w:textAlignment w:val="center"/>
              <w:rPr>
                <w:rFonts w:hint="eastAsia" w:ascii="宋体" w:hAnsi="宋体" w:cs="宋体"/>
                <w:b/>
                <w:sz w:val="24"/>
                <w:szCs w:val="24"/>
              </w:rPr>
            </w:pPr>
            <w:r>
              <w:rPr>
                <w:rFonts w:hint="eastAsia" w:ascii="宋体" w:hAnsi="宋体" w:cs="宋体"/>
                <w:color w:val="000000"/>
                <w:kern w:val="0"/>
                <w:sz w:val="24"/>
                <w:szCs w:val="24"/>
                <w:lang w:bidi="ar"/>
              </w:rPr>
              <w:t>序号</w:t>
            </w:r>
          </w:p>
        </w:tc>
        <w:tc>
          <w:tcPr>
            <w:tcW w:w="1200" w:type="dxa"/>
            <w:noWrap w:val="0"/>
            <w:vAlign w:val="center"/>
          </w:tcPr>
          <w:p>
            <w:pPr>
              <w:widowControl/>
              <w:spacing w:line="0" w:lineRule="atLeast"/>
              <w:jc w:val="center"/>
              <w:textAlignment w:val="center"/>
              <w:rPr>
                <w:rFonts w:hint="eastAsia" w:ascii="宋体" w:hAnsi="宋体" w:cs="宋体"/>
                <w:b/>
                <w:sz w:val="24"/>
                <w:szCs w:val="24"/>
              </w:rPr>
            </w:pPr>
            <w:r>
              <w:rPr>
                <w:rFonts w:hint="eastAsia" w:ascii="宋体" w:hAnsi="宋体" w:cs="宋体"/>
                <w:color w:val="000000"/>
                <w:kern w:val="0"/>
                <w:sz w:val="24"/>
                <w:szCs w:val="24"/>
                <w:lang w:bidi="ar"/>
              </w:rPr>
              <w:t>项目名称</w:t>
            </w:r>
          </w:p>
        </w:tc>
        <w:tc>
          <w:tcPr>
            <w:tcW w:w="3828" w:type="dxa"/>
            <w:noWrap w:val="0"/>
            <w:vAlign w:val="center"/>
          </w:tcPr>
          <w:p>
            <w:pPr>
              <w:widowControl/>
              <w:spacing w:line="0" w:lineRule="atLeast"/>
              <w:jc w:val="center"/>
              <w:textAlignment w:val="center"/>
              <w:rPr>
                <w:rFonts w:hint="eastAsia" w:ascii="宋体" w:hAnsi="宋体" w:cs="宋体"/>
                <w:b/>
                <w:sz w:val="24"/>
                <w:szCs w:val="24"/>
              </w:rPr>
            </w:pPr>
            <w:r>
              <w:rPr>
                <w:rFonts w:hint="eastAsia" w:ascii="宋体" w:hAnsi="宋体" w:cs="宋体"/>
                <w:color w:val="000000"/>
                <w:kern w:val="0"/>
                <w:sz w:val="24"/>
                <w:szCs w:val="24"/>
                <w:lang w:bidi="ar"/>
              </w:rPr>
              <w:t>项目特征</w:t>
            </w:r>
          </w:p>
        </w:tc>
        <w:tc>
          <w:tcPr>
            <w:tcW w:w="1331" w:type="dxa"/>
            <w:noWrap w:val="0"/>
            <w:vAlign w:val="center"/>
          </w:tcPr>
          <w:p>
            <w:pPr>
              <w:widowControl/>
              <w:spacing w:line="0" w:lineRule="atLeast"/>
              <w:jc w:val="center"/>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计量单位</w:t>
            </w:r>
          </w:p>
        </w:tc>
        <w:tc>
          <w:tcPr>
            <w:tcW w:w="1134" w:type="dxa"/>
            <w:noWrap w:val="0"/>
            <w:vAlign w:val="center"/>
          </w:tcPr>
          <w:p>
            <w:pPr>
              <w:widowControl/>
              <w:spacing w:line="0" w:lineRule="atLeast"/>
              <w:jc w:val="left"/>
              <w:textAlignment w:val="center"/>
              <w:rPr>
                <w:rFonts w:hint="eastAsia" w:ascii="宋体" w:hAnsi="宋体" w:cs="宋体"/>
                <w:b/>
                <w:sz w:val="24"/>
                <w:szCs w:val="24"/>
              </w:rPr>
            </w:pPr>
            <w:r>
              <w:rPr>
                <w:rFonts w:hint="eastAsia" w:ascii="宋体" w:hAnsi="宋体" w:cs="宋体"/>
                <w:color w:val="000000"/>
                <w:kern w:val="0"/>
                <w:sz w:val="24"/>
                <w:szCs w:val="24"/>
                <w:lang w:bidi="ar"/>
              </w:rPr>
              <w:t>工程量</w:t>
            </w:r>
          </w:p>
        </w:tc>
        <w:tc>
          <w:tcPr>
            <w:tcW w:w="1418" w:type="dxa"/>
            <w:noWrap w:val="0"/>
            <w:vAlign w:val="center"/>
          </w:tcPr>
          <w:p>
            <w:pPr>
              <w:widowControl/>
              <w:spacing w:line="0" w:lineRule="atLeast"/>
              <w:jc w:val="center"/>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jc w:val="center"/>
        </w:trPr>
        <w:tc>
          <w:tcPr>
            <w:tcW w:w="553" w:type="dxa"/>
            <w:noWrap w:val="0"/>
            <w:vAlign w:val="center"/>
          </w:tcPr>
          <w:p>
            <w:pPr>
              <w:widowControl/>
              <w:spacing w:line="0" w:lineRule="atLeast"/>
              <w:jc w:val="center"/>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1</w:t>
            </w:r>
          </w:p>
        </w:tc>
        <w:tc>
          <w:tcPr>
            <w:tcW w:w="1200" w:type="dxa"/>
            <w:noWrap w:val="0"/>
            <w:vAlign w:val="center"/>
          </w:tcPr>
          <w:p>
            <w:pPr>
              <w:spacing w:line="360" w:lineRule="auto"/>
              <w:jc w:val="center"/>
              <w:rPr>
                <w:rFonts w:hint="eastAsia"/>
                <w:bCs/>
                <w:szCs w:val="21"/>
              </w:rPr>
            </w:pPr>
            <w:r>
              <w:rPr>
                <w:rFonts w:hint="eastAsia"/>
                <w:szCs w:val="21"/>
              </w:rPr>
              <w:t>自流平地面</w:t>
            </w:r>
          </w:p>
        </w:tc>
        <w:tc>
          <w:tcPr>
            <w:tcW w:w="3828" w:type="dxa"/>
            <w:noWrap w:val="0"/>
            <w:vAlign w:val="center"/>
          </w:tcPr>
          <w:p>
            <w:pPr>
              <w:widowControl/>
              <w:jc w:val="left"/>
              <w:rPr>
                <w:bCs/>
                <w:szCs w:val="21"/>
              </w:rPr>
            </w:pPr>
            <w:r>
              <w:rPr>
                <w:rFonts w:hint="eastAsia"/>
                <w:bCs/>
                <w:szCs w:val="21"/>
              </w:rPr>
              <w:t>1、对基层进行清扫干净</w:t>
            </w:r>
            <w:r>
              <w:rPr>
                <w:bCs/>
                <w:szCs w:val="21"/>
              </w:rPr>
              <w:t xml:space="preserve"> </w:t>
            </w:r>
          </w:p>
          <w:p>
            <w:pPr>
              <w:widowControl/>
              <w:jc w:val="left"/>
              <w:rPr>
                <w:bCs/>
                <w:szCs w:val="21"/>
              </w:rPr>
            </w:pPr>
            <w:r>
              <w:rPr>
                <w:bCs/>
                <w:szCs w:val="21"/>
              </w:rPr>
              <w:t>2</w:t>
            </w:r>
            <w:r>
              <w:rPr>
                <w:rFonts w:hint="eastAsia"/>
                <w:bCs/>
                <w:szCs w:val="21"/>
              </w:rPr>
              <w:t>、进行底涂界面剂的施工，将界面剂材料涂刮在基面上，等彻底干燥后再进行自流平的施工</w:t>
            </w:r>
          </w:p>
          <w:p>
            <w:pPr>
              <w:widowControl/>
              <w:jc w:val="left"/>
              <w:rPr>
                <w:bCs/>
                <w:szCs w:val="21"/>
              </w:rPr>
            </w:pPr>
            <w:r>
              <w:rPr>
                <w:rFonts w:hint="eastAsia"/>
                <w:bCs/>
                <w:szCs w:val="21"/>
              </w:rPr>
              <w:t>3、</w:t>
            </w:r>
            <w:r>
              <w:rPr>
                <w:bCs/>
                <w:szCs w:val="21"/>
              </w:rPr>
              <w:t>等底涂界面剂呈现半干状态，浇筑浆料，使用刮板或者刮刀将浆料推至均匀状态。</w:t>
            </w:r>
          </w:p>
          <w:p>
            <w:pPr>
              <w:widowControl/>
              <w:jc w:val="left"/>
              <w:rPr>
                <w:bCs/>
                <w:szCs w:val="21"/>
              </w:rPr>
            </w:pPr>
            <w:r>
              <w:rPr>
                <w:bCs/>
                <w:szCs w:val="21"/>
              </w:rPr>
              <w:t>4</w:t>
            </w:r>
            <w:r>
              <w:rPr>
                <w:rFonts w:hint="eastAsia"/>
                <w:bCs/>
                <w:szCs w:val="21"/>
              </w:rPr>
              <w:t>、</w:t>
            </w:r>
            <w:r>
              <w:rPr>
                <w:bCs/>
                <w:szCs w:val="21"/>
              </w:rPr>
              <w:t>搅拌过程中会带入空气，因此在自流平初凝前，需穿钉鞋走入自流平地面，迅速用放气辊筒滚于浇注过的自流平地面，排出搅拌时带入的空气，避免气泡、麻面及条与条接口之间的高差。</w:t>
            </w:r>
          </w:p>
          <w:p>
            <w:pPr>
              <w:widowControl/>
              <w:jc w:val="left"/>
              <w:rPr>
                <w:rFonts w:hint="eastAsia"/>
                <w:bCs/>
                <w:szCs w:val="21"/>
              </w:rPr>
            </w:pPr>
            <w:r>
              <w:rPr>
                <w:rFonts w:hint="eastAsia"/>
                <w:bCs/>
                <w:szCs w:val="21"/>
              </w:rPr>
              <w:t>5、要求外观质量良好</w:t>
            </w:r>
          </w:p>
        </w:tc>
        <w:tc>
          <w:tcPr>
            <w:tcW w:w="1331" w:type="dxa"/>
            <w:noWrap w:val="0"/>
            <w:vAlign w:val="center"/>
          </w:tcPr>
          <w:p>
            <w:pPr>
              <w:widowControl/>
              <w:spacing w:line="0" w:lineRule="atLeast"/>
              <w:jc w:val="center"/>
              <w:textAlignment w:val="center"/>
              <w:rPr>
                <w:bCs/>
                <w:szCs w:val="21"/>
              </w:rPr>
            </w:pPr>
            <w:r>
              <w:rPr>
                <w:rFonts w:hint="eastAsia"/>
                <w:bCs/>
                <w:szCs w:val="21"/>
              </w:rPr>
              <w:t>㎡</w:t>
            </w:r>
          </w:p>
        </w:tc>
        <w:tc>
          <w:tcPr>
            <w:tcW w:w="1134" w:type="dxa"/>
            <w:noWrap w:val="0"/>
            <w:vAlign w:val="center"/>
          </w:tcPr>
          <w:p>
            <w:pPr>
              <w:widowControl/>
              <w:spacing w:line="0" w:lineRule="atLeast"/>
              <w:jc w:val="center"/>
              <w:textAlignment w:val="center"/>
              <w:rPr>
                <w:bCs/>
                <w:szCs w:val="21"/>
              </w:rPr>
            </w:pPr>
            <w:r>
              <w:rPr>
                <w:bCs/>
                <w:szCs w:val="21"/>
              </w:rPr>
              <w:t>230</w:t>
            </w:r>
          </w:p>
        </w:tc>
        <w:tc>
          <w:tcPr>
            <w:tcW w:w="1418" w:type="dxa"/>
            <w:noWrap w:val="0"/>
            <w:vAlign w:val="center"/>
          </w:tcPr>
          <w:p>
            <w:pPr>
              <w:spacing w:line="360" w:lineRule="auto"/>
              <w:jc w:val="center"/>
              <w:rPr>
                <w:rFonts w:hint="eastAsia" w:ascii="宋体" w:hAnsi="宋体" w:cs="宋体"/>
                <w:color w:val="000000"/>
                <w:kern w:val="0"/>
                <w:sz w:val="24"/>
                <w:szCs w:val="24"/>
                <w:lang w:bidi="ar"/>
              </w:rPr>
            </w:pPr>
            <w:r>
              <w:rPr>
                <w:bCs/>
                <w:szCs w:val="21"/>
              </w:rPr>
              <w:t>需考虑现场湿气较大</w:t>
            </w:r>
            <w:r>
              <w:rPr>
                <w:rFonts w:hint="eastAsia"/>
                <w:bCs/>
                <w:szCs w:val="21"/>
              </w:rPr>
              <w:t>、</w:t>
            </w:r>
            <w:r>
              <w:rPr>
                <w:bCs/>
                <w:szCs w:val="21"/>
              </w:rPr>
              <w:t>局部积水等实际条件</w:t>
            </w:r>
            <w:r>
              <w:rPr>
                <w:rFonts w:hint="eastAsia"/>
                <w:bCs/>
                <w:szCs w:val="21"/>
              </w:rPr>
              <w:t>增加的措施费，</w:t>
            </w:r>
            <w:r>
              <w:rPr>
                <w:bCs/>
                <w:szCs w:val="21"/>
              </w:rPr>
              <w:t>按实计量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jc w:val="center"/>
        </w:trPr>
        <w:tc>
          <w:tcPr>
            <w:tcW w:w="553" w:type="dxa"/>
            <w:noWrap w:val="0"/>
            <w:vAlign w:val="center"/>
          </w:tcPr>
          <w:p>
            <w:pPr>
              <w:widowControl/>
              <w:spacing w:line="0" w:lineRule="atLeast"/>
              <w:jc w:val="center"/>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2</w:t>
            </w:r>
          </w:p>
        </w:tc>
        <w:tc>
          <w:tcPr>
            <w:tcW w:w="1200" w:type="dxa"/>
            <w:noWrap w:val="0"/>
            <w:vAlign w:val="center"/>
          </w:tcPr>
          <w:p>
            <w:pPr>
              <w:spacing w:line="360" w:lineRule="auto"/>
              <w:jc w:val="center"/>
              <w:rPr>
                <w:rFonts w:hint="eastAsia"/>
                <w:szCs w:val="21"/>
              </w:rPr>
            </w:pPr>
            <w:r>
              <w:rPr>
                <w:szCs w:val="21"/>
              </w:rPr>
              <w:t>冰槽外立面粘贴</w:t>
            </w:r>
            <w:r>
              <w:rPr>
                <w:rFonts w:hint="eastAsia"/>
                <w:szCs w:val="21"/>
              </w:rPr>
              <w:t>墙纸</w:t>
            </w:r>
          </w:p>
        </w:tc>
        <w:tc>
          <w:tcPr>
            <w:tcW w:w="3828" w:type="dxa"/>
            <w:noWrap w:val="0"/>
            <w:vAlign w:val="center"/>
          </w:tcPr>
          <w:p>
            <w:pPr>
              <w:widowControl/>
              <w:numPr>
                <w:ilvl w:val="0"/>
                <w:numId w:val="4"/>
              </w:numPr>
              <w:jc w:val="left"/>
              <w:rPr>
                <w:bCs/>
                <w:szCs w:val="21"/>
              </w:rPr>
            </w:pPr>
            <w:r>
              <w:rPr>
                <w:rFonts w:hint="eastAsia"/>
                <w:bCs/>
                <w:szCs w:val="21"/>
              </w:rPr>
              <w:t>清扫墙面</w:t>
            </w:r>
          </w:p>
          <w:p>
            <w:pPr>
              <w:widowControl/>
              <w:numPr>
                <w:ilvl w:val="0"/>
                <w:numId w:val="4"/>
              </w:numPr>
              <w:jc w:val="left"/>
              <w:rPr>
                <w:bCs/>
                <w:szCs w:val="21"/>
              </w:rPr>
            </w:pPr>
            <w:r>
              <w:rPr>
                <w:bCs/>
                <w:szCs w:val="21"/>
              </w:rPr>
              <w:t>采用</w:t>
            </w:r>
            <w:r>
              <w:rPr>
                <w:rFonts w:hint="eastAsia"/>
                <w:bCs/>
                <w:szCs w:val="21"/>
              </w:rPr>
              <w:t>皇冠万能胶粘贴白色墙纸，</w:t>
            </w:r>
            <w:r>
              <w:rPr>
                <w:bCs/>
                <w:szCs w:val="21"/>
              </w:rPr>
              <w:t>外观良好</w:t>
            </w:r>
            <w:r>
              <w:rPr>
                <w:rFonts w:hint="eastAsia"/>
                <w:bCs/>
                <w:szCs w:val="21"/>
              </w:rPr>
              <w:t>，</w:t>
            </w:r>
            <w:r>
              <w:rPr>
                <w:bCs/>
                <w:szCs w:val="21"/>
              </w:rPr>
              <w:t>无污染</w:t>
            </w:r>
          </w:p>
          <w:p>
            <w:pPr>
              <w:widowControl/>
              <w:numPr>
                <w:ilvl w:val="0"/>
                <w:numId w:val="4"/>
              </w:numPr>
              <w:jc w:val="left"/>
              <w:rPr>
                <w:rFonts w:hint="eastAsia"/>
                <w:bCs/>
                <w:szCs w:val="21"/>
              </w:rPr>
            </w:pPr>
            <w:r>
              <w:rPr>
                <w:rFonts w:hint="eastAsia"/>
              </w:rPr>
              <w:t>墙纸哑光磨砂，防水防潮防油，不褪色，自带胶粘</w:t>
            </w:r>
          </w:p>
        </w:tc>
        <w:tc>
          <w:tcPr>
            <w:tcW w:w="1331" w:type="dxa"/>
            <w:noWrap w:val="0"/>
            <w:vAlign w:val="center"/>
          </w:tcPr>
          <w:p>
            <w:pPr>
              <w:widowControl/>
              <w:spacing w:line="0" w:lineRule="atLeast"/>
              <w:jc w:val="center"/>
              <w:textAlignment w:val="center"/>
              <w:rPr>
                <w:bCs/>
                <w:szCs w:val="21"/>
              </w:rPr>
            </w:pPr>
            <w:r>
              <w:rPr>
                <w:rFonts w:hint="eastAsia"/>
                <w:bCs/>
                <w:szCs w:val="21"/>
              </w:rPr>
              <w:t>㎡</w:t>
            </w:r>
          </w:p>
        </w:tc>
        <w:tc>
          <w:tcPr>
            <w:tcW w:w="1134" w:type="dxa"/>
            <w:noWrap w:val="0"/>
            <w:vAlign w:val="center"/>
          </w:tcPr>
          <w:p>
            <w:pPr>
              <w:widowControl/>
              <w:spacing w:line="0" w:lineRule="atLeast"/>
              <w:jc w:val="center"/>
              <w:textAlignment w:val="center"/>
              <w:rPr>
                <w:bCs/>
                <w:szCs w:val="21"/>
              </w:rPr>
            </w:pPr>
            <w:r>
              <w:rPr>
                <w:bCs/>
                <w:szCs w:val="21"/>
              </w:rPr>
              <w:t>400</w:t>
            </w:r>
          </w:p>
        </w:tc>
        <w:tc>
          <w:tcPr>
            <w:tcW w:w="1418" w:type="dxa"/>
            <w:noWrap w:val="0"/>
            <w:vAlign w:val="center"/>
          </w:tcPr>
          <w:p>
            <w:pPr>
              <w:spacing w:line="240" w:lineRule="atLeast"/>
              <w:jc w:val="left"/>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按实计量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jc w:val="center"/>
        </w:trPr>
        <w:tc>
          <w:tcPr>
            <w:tcW w:w="553" w:type="dxa"/>
            <w:noWrap w:val="0"/>
            <w:vAlign w:val="center"/>
          </w:tcPr>
          <w:p>
            <w:pPr>
              <w:widowControl/>
              <w:spacing w:line="0" w:lineRule="atLeast"/>
              <w:jc w:val="center"/>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3</w:t>
            </w:r>
          </w:p>
        </w:tc>
        <w:tc>
          <w:tcPr>
            <w:tcW w:w="1200" w:type="dxa"/>
            <w:noWrap w:val="0"/>
            <w:vAlign w:val="center"/>
          </w:tcPr>
          <w:p>
            <w:pPr>
              <w:spacing w:line="360" w:lineRule="auto"/>
              <w:jc w:val="center"/>
              <w:rPr>
                <w:szCs w:val="21"/>
              </w:rPr>
            </w:pPr>
            <w:r>
              <w:rPr>
                <w:rFonts w:hint="eastAsia"/>
                <w:szCs w:val="21"/>
              </w:rPr>
              <w:t>水沟盖板安装</w:t>
            </w:r>
          </w:p>
        </w:tc>
        <w:tc>
          <w:tcPr>
            <w:tcW w:w="3828" w:type="dxa"/>
            <w:noWrap w:val="0"/>
            <w:vAlign w:val="center"/>
          </w:tcPr>
          <w:p>
            <w:pPr>
              <w:widowControl/>
              <w:numPr>
                <w:ilvl w:val="0"/>
                <w:numId w:val="5"/>
              </w:numPr>
              <w:jc w:val="left"/>
              <w:rPr>
                <w:bCs/>
                <w:szCs w:val="21"/>
              </w:rPr>
            </w:pPr>
            <w:r>
              <w:rPr>
                <w:rFonts w:hint="eastAsia"/>
                <w:bCs/>
                <w:szCs w:val="21"/>
              </w:rPr>
              <w:t>清理水沟，水沟侧壁局部剔凿、局部水泥砂浆修复沟壁</w:t>
            </w:r>
          </w:p>
          <w:p>
            <w:pPr>
              <w:widowControl/>
              <w:numPr>
                <w:ilvl w:val="0"/>
                <w:numId w:val="5"/>
              </w:numPr>
              <w:jc w:val="left"/>
              <w:rPr>
                <w:rFonts w:hint="eastAsia"/>
                <w:bCs/>
                <w:szCs w:val="21"/>
              </w:rPr>
            </w:pPr>
            <w:r>
              <w:rPr>
                <w:rFonts w:hint="eastAsia"/>
                <w:bCs/>
                <w:szCs w:val="21"/>
              </w:rPr>
              <w:t>安装树枝</w:t>
            </w:r>
            <w:r>
              <w:rPr>
                <w:bCs/>
                <w:szCs w:val="21"/>
              </w:rPr>
              <w:t>复合</w:t>
            </w:r>
            <w:r>
              <w:rPr>
                <w:rFonts w:hint="eastAsia"/>
                <w:bCs/>
                <w:szCs w:val="21"/>
              </w:rPr>
              <w:t>盖板，水沟宽度约4</w:t>
            </w:r>
            <w:r>
              <w:rPr>
                <w:bCs/>
                <w:szCs w:val="21"/>
              </w:rPr>
              <w:t>0cm</w:t>
            </w:r>
          </w:p>
        </w:tc>
        <w:tc>
          <w:tcPr>
            <w:tcW w:w="1331" w:type="dxa"/>
            <w:noWrap w:val="0"/>
            <w:vAlign w:val="center"/>
          </w:tcPr>
          <w:p>
            <w:pPr>
              <w:widowControl/>
              <w:spacing w:line="0" w:lineRule="atLeast"/>
              <w:jc w:val="center"/>
              <w:textAlignment w:val="center"/>
              <w:rPr>
                <w:bCs/>
                <w:szCs w:val="21"/>
              </w:rPr>
            </w:pPr>
            <w:r>
              <w:rPr>
                <w:rFonts w:hint="eastAsia"/>
                <w:bCs/>
                <w:szCs w:val="21"/>
              </w:rPr>
              <w:t>m</w:t>
            </w:r>
          </w:p>
        </w:tc>
        <w:tc>
          <w:tcPr>
            <w:tcW w:w="1134" w:type="dxa"/>
            <w:noWrap w:val="0"/>
            <w:vAlign w:val="center"/>
          </w:tcPr>
          <w:p>
            <w:pPr>
              <w:widowControl/>
              <w:spacing w:line="0" w:lineRule="atLeast"/>
              <w:jc w:val="center"/>
              <w:textAlignment w:val="center"/>
              <w:rPr>
                <w:bCs/>
                <w:szCs w:val="21"/>
              </w:rPr>
            </w:pPr>
            <w:r>
              <w:rPr>
                <w:bCs/>
                <w:szCs w:val="21"/>
              </w:rPr>
              <w:t>64</w:t>
            </w:r>
          </w:p>
        </w:tc>
        <w:tc>
          <w:tcPr>
            <w:tcW w:w="1418" w:type="dxa"/>
            <w:noWrap w:val="0"/>
            <w:vAlign w:val="center"/>
          </w:tcPr>
          <w:p>
            <w:pPr>
              <w:spacing w:line="240" w:lineRule="atLeast"/>
              <w:jc w:val="left"/>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按水沟长度计量，按实计量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jc w:val="center"/>
        </w:trPr>
        <w:tc>
          <w:tcPr>
            <w:tcW w:w="553" w:type="dxa"/>
            <w:noWrap w:val="0"/>
            <w:vAlign w:val="center"/>
          </w:tcPr>
          <w:p>
            <w:pPr>
              <w:widowControl/>
              <w:spacing w:line="0" w:lineRule="atLeast"/>
              <w:jc w:val="center"/>
              <w:textAlignment w:val="center"/>
              <w:rPr>
                <w:rFonts w:ascii="宋体" w:hAnsi="宋体" w:cs="宋体"/>
                <w:color w:val="000000"/>
                <w:kern w:val="0"/>
                <w:sz w:val="24"/>
                <w:szCs w:val="24"/>
                <w:lang w:bidi="ar"/>
              </w:rPr>
            </w:pPr>
            <w:r>
              <w:rPr>
                <w:rFonts w:hint="eastAsia" w:ascii="宋体" w:hAnsi="宋体" w:cs="宋体"/>
                <w:color w:val="000000"/>
                <w:kern w:val="0"/>
                <w:sz w:val="24"/>
                <w:szCs w:val="24"/>
                <w:lang w:bidi="ar"/>
              </w:rPr>
              <w:t>4</w:t>
            </w:r>
          </w:p>
        </w:tc>
        <w:tc>
          <w:tcPr>
            <w:tcW w:w="1200" w:type="dxa"/>
            <w:noWrap w:val="0"/>
            <w:vAlign w:val="center"/>
          </w:tcPr>
          <w:p>
            <w:pPr>
              <w:spacing w:line="360" w:lineRule="auto"/>
              <w:jc w:val="center"/>
              <w:rPr>
                <w:szCs w:val="21"/>
              </w:rPr>
            </w:pPr>
            <w:r>
              <w:rPr>
                <w:szCs w:val="21"/>
              </w:rPr>
              <w:t>水沟侧壁遮挡</w:t>
            </w:r>
          </w:p>
        </w:tc>
        <w:tc>
          <w:tcPr>
            <w:tcW w:w="3828" w:type="dxa"/>
            <w:noWrap w:val="0"/>
            <w:vAlign w:val="center"/>
          </w:tcPr>
          <w:p>
            <w:pPr>
              <w:numPr>
                <w:ilvl w:val="0"/>
                <w:numId w:val="6"/>
              </w:numPr>
              <w:spacing w:line="240" w:lineRule="atLeast"/>
              <w:jc w:val="left"/>
              <w:rPr>
                <w:bCs/>
                <w:szCs w:val="21"/>
              </w:rPr>
            </w:pPr>
            <w:r>
              <w:rPr>
                <w:rFonts w:hint="eastAsia"/>
                <w:bCs/>
                <w:szCs w:val="21"/>
              </w:rPr>
              <w:t>采用干挂瓷砖</w:t>
            </w:r>
            <w:r>
              <w:rPr>
                <w:bCs/>
                <w:szCs w:val="21"/>
              </w:rPr>
              <w:t>措施遮挡</w:t>
            </w:r>
            <w:r>
              <w:rPr>
                <w:rFonts w:hint="eastAsia"/>
                <w:bCs/>
                <w:szCs w:val="21"/>
              </w:rPr>
              <w:t>，支架用30*3热镀锌角铁，AB胶粘贴；</w:t>
            </w:r>
            <w:r>
              <w:rPr>
                <w:bCs/>
                <w:szCs w:val="21"/>
              </w:rPr>
              <w:t>横平竖直</w:t>
            </w:r>
            <w:r>
              <w:rPr>
                <w:rFonts w:hint="eastAsia"/>
                <w:bCs/>
                <w:szCs w:val="21"/>
              </w:rPr>
              <w:t>，安装牢固，</w:t>
            </w:r>
            <w:r>
              <w:rPr>
                <w:bCs/>
                <w:szCs w:val="21"/>
              </w:rPr>
              <w:t>瓷砖与侧壁之间填充发泡材料</w:t>
            </w:r>
            <w:r>
              <w:rPr>
                <w:rFonts w:hint="eastAsia"/>
                <w:bCs/>
                <w:szCs w:val="21"/>
              </w:rPr>
              <w:t>，上部用铝合金收口外观良好，遮挡高度约4</w:t>
            </w:r>
            <w:r>
              <w:rPr>
                <w:bCs/>
                <w:szCs w:val="21"/>
              </w:rPr>
              <w:t>5cm</w:t>
            </w:r>
          </w:p>
          <w:p>
            <w:pPr>
              <w:numPr>
                <w:ilvl w:val="0"/>
                <w:numId w:val="6"/>
              </w:numPr>
              <w:spacing w:line="240" w:lineRule="atLeast"/>
              <w:jc w:val="left"/>
              <w:rPr>
                <w:rFonts w:hint="eastAsia"/>
                <w:bCs/>
                <w:szCs w:val="21"/>
              </w:rPr>
            </w:pPr>
            <w:r>
              <w:rPr>
                <w:rFonts w:hint="eastAsia"/>
                <w:bCs/>
                <w:szCs w:val="21"/>
              </w:rPr>
              <w:t>不低于奥米茄、宏陶、中盛等同档次品牌</w:t>
            </w:r>
          </w:p>
        </w:tc>
        <w:tc>
          <w:tcPr>
            <w:tcW w:w="1331" w:type="dxa"/>
            <w:noWrap w:val="0"/>
            <w:vAlign w:val="center"/>
          </w:tcPr>
          <w:p>
            <w:pPr>
              <w:widowControl/>
              <w:spacing w:line="0" w:lineRule="atLeast"/>
              <w:jc w:val="center"/>
              <w:textAlignment w:val="center"/>
              <w:rPr>
                <w:bCs/>
                <w:szCs w:val="21"/>
              </w:rPr>
            </w:pPr>
            <w:r>
              <w:rPr>
                <w:rFonts w:hint="eastAsia"/>
                <w:bCs/>
                <w:szCs w:val="21"/>
              </w:rPr>
              <w:t>m</w:t>
            </w:r>
          </w:p>
        </w:tc>
        <w:tc>
          <w:tcPr>
            <w:tcW w:w="1134" w:type="dxa"/>
            <w:noWrap w:val="0"/>
            <w:vAlign w:val="center"/>
          </w:tcPr>
          <w:p>
            <w:pPr>
              <w:widowControl/>
              <w:spacing w:line="0" w:lineRule="atLeast"/>
              <w:jc w:val="center"/>
              <w:textAlignment w:val="center"/>
              <w:rPr>
                <w:bCs/>
                <w:szCs w:val="21"/>
              </w:rPr>
            </w:pPr>
            <w:r>
              <w:rPr>
                <w:bCs/>
                <w:szCs w:val="21"/>
              </w:rPr>
              <w:t>90</w:t>
            </w:r>
          </w:p>
        </w:tc>
        <w:tc>
          <w:tcPr>
            <w:tcW w:w="1418" w:type="dxa"/>
            <w:noWrap w:val="0"/>
            <w:vAlign w:val="center"/>
          </w:tcPr>
          <w:p>
            <w:pPr>
              <w:spacing w:line="240" w:lineRule="atLeast"/>
              <w:jc w:val="left"/>
              <w:rPr>
                <w:rFonts w:ascii="宋体" w:hAnsi="宋体" w:cs="宋体"/>
                <w:color w:val="000000"/>
                <w:kern w:val="0"/>
                <w:sz w:val="24"/>
                <w:szCs w:val="24"/>
                <w:lang w:bidi="ar"/>
              </w:rPr>
            </w:pPr>
            <w:r>
              <w:rPr>
                <w:rFonts w:ascii="宋体" w:hAnsi="宋体" w:cs="宋体"/>
                <w:color w:val="000000"/>
                <w:kern w:val="0"/>
                <w:sz w:val="24"/>
                <w:szCs w:val="24"/>
                <w:lang w:bidi="ar"/>
              </w:rPr>
              <w:t>含外围周边立柱</w:t>
            </w:r>
            <w:r>
              <w:rPr>
                <w:rFonts w:hint="eastAsia" w:ascii="宋体" w:hAnsi="宋体" w:cs="宋体"/>
                <w:color w:val="000000"/>
                <w:kern w:val="0"/>
                <w:sz w:val="24"/>
                <w:szCs w:val="24"/>
                <w:lang w:bidi="ar"/>
              </w:rPr>
              <w:t>，按遮挡水平长度进行计量，按实结算，充分考虑瓷砖切割损耗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jc w:val="center"/>
        </w:trPr>
        <w:tc>
          <w:tcPr>
            <w:tcW w:w="553" w:type="dxa"/>
            <w:noWrap w:val="0"/>
            <w:vAlign w:val="center"/>
          </w:tcPr>
          <w:p>
            <w:pPr>
              <w:widowControl/>
              <w:spacing w:line="0" w:lineRule="atLeast"/>
              <w:jc w:val="center"/>
              <w:textAlignment w:val="center"/>
              <w:rPr>
                <w:rFonts w:ascii="宋体" w:hAnsi="宋体" w:cs="宋体"/>
                <w:color w:val="000000"/>
                <w:kern w:val="0"/>
                <w:sz w:val="24"/>
                <w:szCs w:val="24"/>
                <w:lang w:bidi="ar"/>
              </w:rPr>
            </w:pPr>
            <w:r>
              <w:rPr>
                <w:rFonts w:hint="eastAsia" w:ascii="宋体" w:hAnsi="宋体" w:cs="宋体"/>
                <w:color w:val="000000"/>
                <w:kern w:val="0"/>
                <w:sz w:val="24"/>
                <w:szCs w:val="24"/>
                <w:lang w:bidi="ar"/>
              </w:rPr>
              <w:t>5</w:t>
            </w:r>
          </w:p>
        </w:tc>
        <w:tc>
          <w:tcPr>
            <w:tcW w:w="1200" w:type="dxa"/>
            <w:noWrap w:val="0"/>
            <w:vAlign w:val="center"/>
          </w:tcPr>
          <w:p>
            <w:pPr>
              <w:spacing w:line="360" w:lineRule="auto"/>
              <w:jc w:val="center"/>
              <w:rPr>
                <w:rFonts w:ascii="宋体" w:hAnsi="宋体" w:cs="宋体"/>
                <w:color w:val="000000"/>
                <w:kern w:val="0"/>
                <w:sz w:val="28"/>
                <w:szCs w:val="28"/>
                <w:lang w:bidi="ar"/>
              </w:rPr>
            </w:pPr>
            <w:r>
              <w:rPr>
                <w:rFonts w:hint="eastAsia"/>
                <w:szCs w:val="21"/>
              </w:rPr>
              <w:t>沥青路面恢复</w:t>
            </w:r>
          </w:p>
        </w:tc>
        <w:tc>
          <w:tcPr>
            <w:tcW w:w="3828" w:type="dxa"/>
            <w:noWrap w:val="0"/>
            <w:vAlign w:val="center"/>
          </w:tcPr>
          <w:p>
            <w:pPr>
              <w:widowControl/>
              <w:jc w:val="left"/>
              <w:rPr>
                <w:szCs w:val="21"/>
              </w:rPr>
            </w:pPr>
            <w:r>
              <w:rPr>
                <w:szCs w:val="21"/>
              </w:rPr>
              <w:t>1</w:t>
            </w:r>
            <w:r>
              <w:rPr>
                <w:rFonts w:hint="eastAsia"/>
                <w:szCs w:val="21"/>
              </w:rPr>
              <w:t>、路面基层修复。灌缝、断板修补、</w:t>
            </w:r>
          </w:p>
          <w:p>
            <w:pPr>
              <w:spacing w:line="240" w:lineRule="atLeast"/>
              <w:jc w:val="left"/>
              <w:rPr>
                <w:szCs w:val="21"/>
              </w:rPr>
            </w:pPr>
            <w:r>
              <w:rPr>
                <w:rFonts w:hint="eastAsia"/>
                <w:szCs w:val="21"/>
              </w:rPr>
              <w:t>严重破碎板的修补、脱空板块的处理等。</w:t>
            </w:r>
            <w:r>
              <w:rPr>
                <w:szCs w:val="21"/>
              </w:rPr>
              <w:t>2</w:t>
            </w:r>
            <w:r>
              <w:rPr>
                <w:rFonts w:hint="eastAsia"/>
                <w:szCs w:val="21"/>
              </w:rPr>
              <w:t>、清理旧水泥混凝土路面，路面干燥。</w:t>
            </w:r>
          </w:p>
          <w:p>
            <w:pPr>
              <w:spacing w:line="240" w:lineRule="atLeast"/>
              <w:jc w:val="left"/>
              <w:rPr>
                <w:szCs w:val="21"/>
              </w:rPr>
            </w:pPr>
            <w:r>
              <w:rPr>
                <w:szCs w:val="21"/>
              </w:rPr>
              <w:t>3</w:t>
            </w:r>
            <w:r>
              <w:rPr>
                <w:rFonts w:hint="eastAsia"/>
                <w:szCs w:val="21"/>
              </w:rPr>
              <w:t>、铺洒沥青粘层油：在准备好的干燥旧路面上，喷洒粘层油，粘层油采用改性乳化沥青。</w:t>
            </w:r>
          </w:p>
          <w:p>
            <w:pPr>
              <w:spacing w:line="240" w:lineRule="atLeast"/>
              <w:jc w:val="left"/>
              <w:rPr>
                <w:szCs w:val="21"/>
              </w:rPr>
            </w:pPr>
            <w:r>
              <w:rPr>
                <w:szCs w:val="21"/>
              </w:rPr>
              <w:t>4</w:t>
            </w:r>
            <w:r>
              <w:rPr>
                <w:rFonts w:hint="eastAsia"/>
                <w:szCs w:val="21"/>
              </w:rPr>
              <w:t>、铺设土工布：将土工布横向、纵向拉展紧压在水泥砼路面上；注意土工布的搭接，纵向搭接和横向搭接处可采用固定器固定，也可采用粘层油固定。</w:t>
            </w:r>
          </w:p>
          <w:p>
            <w:pPr>
              <w:spacing w:line="240" w:lineRule="atLeast"/>
              <w:jc w:val="left"/>
              <w:rPr>
                <w:rFonts w:hint="eastAsia"/>
                <w:bCs/>
                <w:szCs w:val="21"/>
              </w:rPr>
            </w:pPr>
            <w:r>
              <w:rPr>
                <w:rFonts w:hint="eastAsia"/>
                <w:szCs w:val="21"/>
              </w:rPr>
              <w:t>5、</w:t>
            </w:r>
            <w:r>
              <w:rPr>
                <w:rFonts w:hint="eastAsia"/>
                <w:bCs/>
                <w:szCs w:val="21"/>
              </w:rPr>
              <w:t>沥青混合料的摊铺：平整度的控制；摊铺温度控制；摊铺速度控制；铺设碾压完成后路面平顺。</w:t>
            </w:r>
          </w:p>
        </w:tc>
        <w:tc>
          <w:tcPr>
            <w:tcW w:w="1331" w:type="dxa"/>
            <w:noWrap w:val="0"/>
            <w:vAlign w:val="center"/>
          </w:tcPr>
          <w:p>
            <w:pPr>
              <w:spacing w:line="360" w:lineRule="auto"/>
              <w:jc w:val="center"/>
              <w:rPr>
                <w:rFonts w:hint="eastAsia" w:ascii="宋体" w:hAnsi="宋体" w:cs="宋体"/>
                <w:color w:val="000000"/>
                <w:kern w:val="0"/>
                <w:sz w:val="24"/>
                <w:szCs w:val="24"/>
                <w:lang w:bidi="ar"/>
              </w:rPr>
            </w:pPr>
            <w:r>
              <w:rPr>
                <w:rFonts w:hint="eastAsia"/>
                <w:szCs w:val="21"/>
              </w:rPr>
              <w:t>㎡</w:t>
            </w:r>
          </w:p>
        </w:tc>
        <w:tc>
          <w:tcPr>
            <w:tcW w:w="1134" w:type="dxa"/>
            <w:noWrap w:val="0"/>
            <w:vAlign w:val="center"/>
          </w:tcPr>
          <w:p>
            <w:pPr>
              <w:widowControl/>
              <w:jc w:val="center"/>
              <w:rPr>
                <w:rFonts w:ascii="宋体" w:hAnsi="宋体" w:cs="宋体"/>
                <w:color w:val="000000"/>
                <w:kern w:val="0"/>
                <w:sz w:val="24"/>
                <w:szCs w:val="24"/>
                <w:lang w:bidi="ar"/>
              </w:rPr>
            </w:pPr>
            <w:r>
              <w:rPr>
                <w:szCs w:val="21"/>
              </w:rPr>
              <w:t>5</w:t>
            </w:r>
          </w:p>
        </w:tc>
        <w:tc>
          <w:tcPr>
            <w:tcW w:w="1418" w:type="dxa"/>
            <w:noWrap w:val="0"/>
            <w:vAlign w:val="center"/>
          </w:tcPr>
          <w:p>
            <w:pPr>
              <w:spacing w:line="360" w:lineRule="auto"/>
              <w:jc w:val="center"/>
              <w:rPr>
                <w:rFonts w:ascii="仿宋" w:hAnsi="仿宋" w:eastAsia="仿宋"/>
                <w:sz w:val="30"/>
                <w:szCs w:val="30"/>
              </w:rPr>
            </w:pPr>
            <w:r>
              <w:rPr>
                <w:szCs w:val="21"/>
              </w:rPr>
              <w:t>夜间或周末施工</w:t>
            </w:r>
          </w:p>
        </w:tc>
      </w:tr>
    </w:tbl>
    <w:p>
      <w:pPr>
        <w:keepNext w:val="0"/>
        <w:keepLines w:val="0"/>
        <w:pageBreakBefore w:val="0"/>
        <w:kinsoku/>
        <w:wordWrap/>
        <w:overflowPunct/>
        <w:topLinePunct w:val="0"/>
        <w:bidi w:val="0"/>
        <w:spacing w:before="157" w:beforeLines="50" w:after="157" w:afterLines="50" w:line="360" w:lineRule="auto"/>
        <w:ind w:firstLine="420" w:firstLineChars="200"/>
        <w:textAlignment w:val="auto"/>
        <w:rPr>
          <w:rFonts w:hint="eastAsia" w:asciiTheme="minorEastAsia" w:hAnsiTheme="minorEastAsia" w:eastAsiaTheme="minorEastAsia" w:cstheme="minorEastAsia"/>
          <w:bCs/>
          <w:kern w:val="0"/>
          <w:sz w:val="24"/>
          <w:szCs w:val="24"/>
          <w:highlight w:val="none"/>
        </w:rPr>
      </w:pPr>
      <w:r>
        <w:rPr>
          <w:rFonts w:hint="eastAsia" w:asciiTheme="minorEastAsia" w:hAnsiTheme="minorEastAsia"/>
          <w:szCs w:val="24"/>
        </w:rPr>
        <w:t>备注：</w:t>
      </w:r>
      <w:r>
        <w:rPr>
          <w:rFonts w:hint="eastAsia" w:asciiTheme="minorEastAsia" w:hAnsiTheme="minorEastAsia" w:eastAsiaTheme="minorEastAsia" w:cstheme="minorEastAsia"/>
          <w:bCs/>
          <w:kern w:val="0"/>
          <w:sz w:val="24"/>
          <w:szCs w:val="24"/>
          <w:highlight w:val="none"/>
        </w:rPr>
        <w:t>工程量清单报价时建议按上述表格人工、材料分开单列报价。</w:t>
      </w:r>
    </w:p>
    <w:p>
      <w:pPr>
        <w:numPr>
          <w:ilvl w:val="0"/>
          <w:numId w:val="1"/>
        </w:numPr>
        <w:spacing w:before="120" w:beforeLines="50" w:after="120" w:afterLines="50" w:line="360" w:lineRule="auto"/>
        <w:ind w:left="0" w:firstLine="482" w:firstLineChars="200"/>
        <w:rPr>
          <w:rFonts w:hint="eastAsia" w:asciiTheme="minorEastAsia" w:hAnsiTheme="minorEastAsia" w:eastAsiaTheme="minorEastAsia" w:cstheme="minorEastAsia"/>
          <w:b/>
          <w:sz w:val="24"/>
          <w:szCs w:val="24"/>
          <w:highlight w:val="none"/>
          <w:lang w:val="en-US" w:eastAsia="zh-CN"/>
        </w:rPr>
      </w:pPr>
      <w:r>
        <w:rPr>
          <w:rFonts w:hint="eastAsia" w:asciiTheme="minorEastAsia" w:hAnsiTheme="minorEastAsia" w:eastAsiaTheme="minorEastAsia" w:cstheme="minorEastAsia"/>
          <w:b/>
          <w:sz w:val="24"/>
          <w:szCs w:val="24"/>
          <w:highlight w:val="none"/>
          <w:lang w:val="en-US" w:eastAsia="zh-CN"/>
        </w:rPr>
        <w:t xml:space="preserve"> 施工要求及注意事项</w:t>
      </w:r>
    </w:p>
    <w:p>
      <w:pPr>
        <w:numPr>
          <w:ilvl w:val="0"/>
          <w:numId w:val="7"/>
        </w:numPr>
        <w:spacing w:line="360" w:lineRule="auto"/>
        <w:ind w:left="0" w:leftChars="0" w:firstLine="42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施工方应充分察勘现场，对影响施工质量的潜在风险进行评估，施工时注意成品保</w:t>
      </w:r>
    </w:p>
    <w:p>
      <w:pPr>
        <w:numPr>
          <w:ilvl w:val="0"/>
          <w:numId w:val="7"/>
        </w:numPr>
        <w:spacing w:line="360" w:lineRule="auto"/>
        <w:ind w:left="0" w:leftChars="0" w:firstLine="42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注意文明、安全施工，做好个人防护措施。</w:t>
      </w:r>
    </w:p>
    <w:p>
      <w:pPr>
        <w:numPr>
          <w:ilvl w:val="0"/>
          <w:numId w:val="7"/>
        </w:numPr>
        <w:spacing w:line="360" w:lineRule="auto"/>
        <w:ind w:left="0" w:leftChars="0" w:firstLine="42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施工结束后，要做到工完场清后才能离开现场。</w:t>
      </w:r>
    </w:p>
    <w:p>
      <w:pPr>
        <w:numPr>
          <w:ilvl w:val="0"/>
          <w:numId w:val="7"/>
        </w:numPr>
        <w:spacing w:line="360" w:lineRule="auto"/>
        <w:ind w:left="0" w:leftChars="0" w:firstLine="42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安全第一，执行采购方的安全管理规章制度，办票作业，</w:t>
      </w:r>
      <w:r>
        <w:rPr>
          <w:rFonts w:hint="eastAsia" w:asciiTheme="minorEastAsia" w:hAnsiTheme="minorEastAsia" w:eastAsiaTheme="minorEastAsia" w:cstheme="minorEastAsia"/>
          <w:sz w:val="24"/>
          <w:szCs w:val="24"/>
          <w:highlight w:val="none"/>
        </w:rPr>
        <w:t>严格按施工方案进行施工，如改变施工方案须经我司批准后方可实施，雷雨大风天气禁止户外作业</w:t>
      </w:r>
      <w:r>
        <w:rPr>
          <w:rFonts w:hint="eastAsia" w:asciiTheme="minorEastAsia" w:hAnsiTheme="minorEastAsia" w:eastAsiaTheme="minorEastAsia" w:cstheme="minorEastAsia"/>
          <w:sz w:val="24"/>
          <w:szCs w:val="24"/>
          <w:highlight w:val="none"/>
          <w:lang w:val="en-US" w:eastAsia="zh-CN"/>
        </w:rPr>
        <w:t>。</w:t>
      </w:r>
    </w:p>
    <w:p>
      <w:pPr>
        <w:pStyle w:val="2"/>
        <w:rPr>
          <w:rFonts w:hint="eastAsia"/>
          <w:lang w:val="en-US" w:eastAsia="zh-CN"/>
        </w:rPr>
      </w:pPr>
      <w:r>
        <w:rPr>
          <w:rFonts w:hint="eastAsia" w:asciiTheme="minorEastAsia" w:hAnsiTheme="minorEastAsia" w:eastAsiaTheme="minorEastAsia" w:cstheme="minorEastAsia"/>
          <w:sz w:val="24"/>
          <w:szCs w:val="24"/>
          <w:highlight w:val="none"/>
          <w:lang w:val="en-US" w:eastAsia="zh-CN"/>
        </w:rPr>
        <w:t>（五）</w:t>
      </w:r>
      <w:r>
        <w:rPr>
          <w:rFonts w:hint="eastAsia" w:asciiTheme="minorEastAsia" w:hAnsiTheme="minorEastAsia" w:eastAsiaTheme="minorEastAsia" w:cstheme="minorEastAsia"/>
          <w:kern w:val="2"/>
          <w:sz w:val="24"/>
          <w:szCs w:val="24"/>
          <w:highlight w:val="none"/>
          <w:lang w:val="en-US" w:eastAsia="zh-CN" w:bidi="ar-SA"/>
        </w:rPr>
        <w:t>项目经理或安全员到场管理，且人证合一。</w:t>
      </w:r>
    </w:p>
    <w:p>
      <w:pPr>
        <w:numPr>
          <w:ilvl w:val="0"/>
          <w:numId w:val="1"/>
        </w:numPr>
        <w:spacing w:before="120" w:beforeLines="50" w:after="120" w:afterLines="50" w:line="360" w:lineRule="auto"/>
        <w:ind w:left="0" w:firstLine="482" w:firstLineChars="200"/>
        <w:rPr>
          <w:rFonts w:ascii="宋体" w:hAnsi="宋体"/>
          <w:b/>
          <w:sz w:val="24"/>
          <w:highlight w:val="none"/>
        </w:rPr>
      </w:pPr>
      <w:r>
        <w:rPr>
          <w:rFonts w:hint="eastAsia" w:ascii="宋体" w:hAnsi="宋体"/>
          <w:b/>
          <w:sz w:val="24"/>
          <w:highlight w:val="none"/>
        </w:rPr>
        <w:t>项目工期、验收标准及质保期限</w:t>
      </w:r>
    </w:p>
    <w:p>
      <w:pPr>
        <w:numPr>
          <w:ilvl w:val="0"/>
          <w:numId w:val="8"/>
        </w:numPr>
        <w:spacing w:before="120" w:beforeLines="50" w:after="120" w:afterLines="50" w:line="360" w:lineRule="auto"/>
        <w:ind w:left="0" w:firstLine="480" w:firstLineChars="200"/>
        <w:rPr>
          <w:sz w:val="24"/>
          <w:highlight w:val="none"/>
        </w:rPr>
      </w:pPr>
      <w:r>
        <w:rPr>
          <w:rFonts w:hint="eastAsia"/>
          <w:sz w:val="24"/>
          <w:highlight w:val="none"/>
        </w:rPr>
        <w:t>施工工期</w:t>
      </w:r>
    </w:p>
    <w:p>
      <w:pPr>
        <w:spacing w:before="120" w:beforeLines="50" w:after="120" w:afterLines="50" w:line="360" w:lineRule="auto"/>
        <w:ind w:left="425" w:right="425" w:firstLine="480" w:firstLineChars="200"/>
        <w:rPr>
          <w:rFonts w:ascii="宋体" w:hAnsi="宋体" w:cs="宋体"/>
          <w:bCs/>
          <w:kern w:val="0"/>
          <w:sz w:val="24"/>
          <w:highlight w:val="none"/>
        </w:rPr>
      </w:pPr>
      <w:r>
        <w:rPr>
          <w:rFonts w:hint="eastAsia" w:asciiTheme="minorEastAsia" w:hAnsiTheme="minorEastAsia" w:eastAsiaTheme="minorEastAsia" w:cstheme="minorEastAsia"/>
          <w:sz w:val="24"/>
          <w:szCs w:val="24"/>
          <w:highlight w:val="none"/>
        </w:rPr>
        <w:t>本项目施工工期</w:t>
      </w:r>
      <w:r>
        <w:rPr>
          <w:rFonts w:hint="eastAsia" w:asciiTheme="minorEastAsia" w:hAnsiTheme="minorEastAsia" w:eastAsiaTheme="minorEastAsia" w:cstheme="minorEastAsia"/>
          <w:sz w:val="24"/>
          <w:szCs w:val="24"/>
          <w:highlight w:val="none"/>
          <w:lang w:val="en-US" w:eastAsia="zh-CN"/>
        </w:rPr>
        <w:t>30</w:t>
      </w:r>
      <w:r>
        <w:rPr>
          <w:rFonts w:hint="eastAsia" w:asciiTheme="minorEastAsia" w:hAnsiTheme="minorEastAsia" w:eastAsiaTheme="minorEastAsia" w:cstheme="minorEastAsia"/>
          <w:sz w:val="24"/>
          <w:szCs w:val="24"/>
          <w:highlight w:val="none"/>
        </w:rPr>
        <w:t>天</w:t>
      </w:r>
      <w:r>
        <w:rPr>
          <w:rFonts w:hint="eastAsia" w:asciiTheme="minorEastAsia" w:hAnsiTheme="minorEastAsia" w:eastAsiaTheme="minorEastAsia" w:cstheme="minorEastAsia"/>
          <w:sz w:val="24"/>
          <w:szCs w:val="24"/>
          <w:highlight w:val="none"/>
          <w:lang w:eastAsia="zh-CN"/>
        </w:rPr>
        <w:t>。</w:t>
      </w:r>
      <w:r>
        <w:rPr>
          <w:rFonts w:hint="eastAsia" w:asciiTheme="minorEastAsia" w:hAnsiTheme="minorEastAsia" w:eastAsiaTheme="minorEastAsia" w:cstheme="minorEastAsia"/>
          <w:sz w:val="24"/>
          <w:szCs w:val="24"/>
          <w:highlight w:val="none"/>
        </w:rPr>
        <w:t>具体开工时间由</w:t>
      </w:r>
      <w:r>
        <w:rPr>
          <w:rFonts w:hint="eastAsia" w:asciiTheme="minorEastAsia" w:hAnsiTheme="minorEastAsia" w:eastAsiaTheme="minorEastAsia" w:cstheme="minorEastAsia"/>
          <w:sz w:val="24"/>
          <w:szCs w:val="24"/>
          <w:highlight w:val="none"/>
          <w:lang w:val="en-US" w:eastAsia="zh-CN"/>
        </w:rPr>
        <w:t>采购</w:t>
      </w:r>
      <w:r>
        <w:rPr>
          <w:rFonts w:hint="eastAsia" w:asciiTheme="minorEastAsia" w:hAnsiTheme="minorEastAsia" w:eastAsiaTheme="minorEastAsia" w:cstheme="minorEastAsia"/>
          <w:sz w:val="24"/>
          <w:szCs w:val="24"/>
          <w:highlight w:val="none"/>
        </w:rPr>
        <w:t>人通知。</w:t>
      </w:r>
    </w:p>
    <w:p>
      <w:pPr>
        <w:numPr>
          <w:ilvl w:val="0"/>
          <w:numId w:val="8"/>
        </w:numPr>
        <w:spacing w:before="120" w:beforeLines="50" w:after="120" w:afterLines="50" w:line="360" w:lineRule="auto"/>
        <w:ind w:left="0" w:firstLine="480" w:firstLineChars="200"/>
        <w:rPr>
          <w:sz w:val="24"/>
          <w:highlight w:val="none"/>
        </w:rPr>
      </w:pPr>
      <w:r>
        <w:rPr>
          <w:rFonts w:hint="eastAsia"/>
          <w:sz w:val="24"/>
          <w:highlight w:val="none"/>
        </w:rPr>
        <w:t>工程验收标准及方式</w:t>
      </w:r>
    </w:p>
    <w:p>
      <w:pPr>
        <w:numPr>
          <w:ilvl w:val="0"/>
          <w:numId w:val="0"/>
        </w:numPr>
        <w:spacing w:before="120" w:beforeLines="50" w:after="120" w:afterLines="50" w:line="360" w:lineRule="auto"/>
        <w:ind w:firstLine="480" w:firstLineChars="200"/>
        <w:rPr>
          <w:rFonts w:hint="eastAsia" w:asciiTheme="minorEastAsia" w:hAnsiTheme="minorEastAsia" w:eastAsiaTheme="minorEastAsia" w:cstheme="minorEastAsia"/>
          <w:bCs/>
          <w:kern w:val="0"/>
          <w:sz w:val="24"/>
          <w:szCs w:val="24"/>
          <w:highlight w:val="none"/>
        </w:rPr>
      </w:pPr>
      <w:r>
        <w:rPr>
          <w:rFonts w:hint="eastAsia" w:asciiTheme="minorEastAsia" w:hAnsiTheme="minorEastAsia" w:eastAsiaTheme="minorEastAsia" w:cstheme="minorEastAsia"/>
          <w:bCs/>
          <w:kern w:val="0"/>
          <w:sz w:val="24"/>
          <w:szCs w:val="24"/>
          <w:highlight w:val="none"/>
          <w:lang w:val="en-US" w:eastAsia="zh-CN"/>
        </w:rPr>
        <w:t>工程验收的参考标准：满足最新《建筑装饰装修工程质量验收标准》（GB50210-2018）、《建筑工程施工质量验收统一标准》（GB50300-2013）、《沥青路面施工及验收标准》（GB50092）及</w:t>
      </w:r>
      <w:r>
        <w:rPr>
          <w:rFonts w:hint="eastAsia" w:asciiTheme="minorEastAsia" w:hAnsiTheme="minorEastAsia" w:eastAsiaTheme="minorEastAsia" w:cstheme="minorEastAsia"/>
          <w:bCs/>
          <w:kern w:val="0"/>
          <w:sz w:val="24"/>
          <w:szCs w:val="24"/>
          <w:highlight w:val="none"/>
        </w:rPr>
        <w:t>国家和行业相关的其他质量验收标准要求执行。</w:t>
      </w:r>
    </w:p>
    <w:p>
      <w:pPr>
        <w:numPr>
          <w:ilvl w:val="0"/>
          <w:numId w:val="0"/>
        </w:numPr>
        <w:spacing w:before="120" w:beforeLines="50" w:after="120" w:afterLines="50" w:line="360" w:lineRule="auto"/>
        <w:ind w:leftChars="200"/>
        <w:rPr>
          <w:rFonts w:hint="eastAsia" w:asciiTheme="minorEastAsia" w:hAnsiTheme="minorEastAsia" w:eastAsiaTheme="minorEastAsia" w:cstheme="minorEastAsia"/>
          <w:b w:val="0"/>
          <w:bCs w:val="0"/>
          <w:sz w:val="24"/>
          <w:szCs w:val="24"/>
          <w:highlight w:val="none"/>
        </w:rPr>
      </w:pPr>
      <w:r>
        <w:rPr>
          <w:rFonts w:hint="eastAsia" w:asciiTheme="minorEastAsia" w:hAnsiTheme="minorEastAsia" w:eastAsiaTheme="minorEastAsia" w:cstheme="minorEastAsia"/>
          <w:b w:val="0"/>
          <w:bCs w:val="0"/>
          <w:sz w:val="24"/>
          <w:szCs w:val="24"/>
          <w:highlight w:val="none"/>
          <w:lang w:eastAsia="zh-CN"/>
        </w:rPr>
        <w:t>（</w:t>
      </w:r>
      <w:r>
        <w:rPr>
          <w:rFonts w:hint="eastAsia" w:asciiTheme="minorEastAsia" w:hAnsiTheme="minorEastAsia" w:eastAsiaTheme="minorEastAsia" w:cstheme="minorEastAsia"/>
          <w:b w:val="0"/>
          <w:bCs w:val="0"/>
          <w:sz w:val="24"/>
          <w:szCs w:val="24"/>
          <w:highlight w:val="none"/>
          <w:lang w:val="en-US" w:eastAsia="zh-CN"/>
        </w:rPr>
        <w:t>三</w:t>
      </w:r>
      <w:r>
        <w:rPr>
          <w:rFonts w:hint="eastAsia" w:asciiTheme="minorEastAsia" w:hAnsiTheme="minorEastAsia" w:eastAsiaTheme="minorEastAsia" w:cstheme="minorEastAsia"/>
          <w:b w:val="0"/>
          <w:bCs w:val="0"/>
          <w:sz w:val="24"/>
          <w:szCs w:val="24"/>
          <w:highlight w:val="none"/>
          <w:lang w:eastAsia="zh-CN"/>
        </w:rPr>
        <w:t>）</w:t>
      </w:r>
      <w:r>
        <w:rPr>
          <w:rFonts w:hint="eastAsia" w:asciiTheme="minorEastAsia" w:hAnsiTheme="minorEastAsia" w:eastAsiaTheme="minorEastAsia" w:cstheme="minorEastAsia"/>
          <w:b w:val="0"/>
          <w:bCs w:val="0"/>
          <w:sz w:val="24"/>
          <w:szCs w:val="24"/>
          <w:highlight w:val="none"/>
        </w:rPr>
        <w:t>工程验收的方式</w:t>
      </w:r>
    </w:p>
    <w:p>
      <w:pPr>
        <w:numPr>
          <w:ilvl w:val="0"/>
          <w:numId w:val="9"/>
        </w:numPr>
        <w:spacing w:before="120" w:beforeLines="50" w:after="120" w:afterLines="50" w:line="360" w:lineRule="auto"/>
        <w:ind w:left="0" w:firstLine="480" w:firstLineChars="200"/>
        <w:rPr>
          <w:rFonts w:hint="eastAsia" w:asciiTheme="minorEastAsia" w:hAnsiTheme="minorEastAsia" w:eastAsiaTheme="minorEastAsia" w:cstheme="minorEastAsia"/>
          <w:b w:val="0"/>
          <w:bCs w:val="0"/>
          <w:kern w:val="0"/>
          <w:sz w:val="24"/>
          <w:szCs w:val="24"/>
          <w:highlight w:val="none"/>
        </w:rPr>
      </w:pPr>
      <w:r>
        <w:rPr>
          <w:rFonts w:hint="eastAsia" w:asciiTheme="minorEastAsia" w:hAnsiTheme="minorEastAsia" w:eastAsiaTheme="minorEastAsia" w:cstheme="minorEastAsia"/>
          <w:b w:val="0"/>
          <w:bCs w:val="0"/>
          <w:kern w:val="0"/>
          <w:sz w:val="24"/>
          <w:szCs w:val="24"/>
          <w:highlight w:val="none"/>
          <w:lang w:val="en-US" w:eastAsia="zh-CN"/>
        </w:rPr>
        <w:t>项目分</w:t>
      </w:r>
      <w:r>
        <w:rPr>
          <w:rFonts w:hint="eastAsia" w:asciiTheme="minorEastAsia" w:hAnsiTheme="minorEastAsia" w:eastAsiaTheme="minorEastAsia" w:cstheme="minorEastAsia"/>
          <w:b w:val="0"/>
          <w:bCs w:val="0"/>
          <w:kern w:val="0"/>
          <w:sz w:val="24"/>
          <w:szCs w:val="24"/>
          <w:highlight w:val="none"/>
        </w:rPr>
        <w:t>材料验收</w:t>
      </w:r>
      <w:r>
        <w:rPr>
          <w:rFonts w:hint="eastAsia" w:asciiTheme="minorEastAsia" w:hAnsiTheme="minorEastAsia" w:eastAsiaTheme="minorEastAsia" w:cstheme="minorEastAsia"/>
          <w:b w:val="0"/>
          <w:bCs w:val="0"/>
          <w:kern w:val="0"/>
          <w:sz w:val="24"/>
          <w:szCs w:val="24"/>
          <w:highlight w:val="none"/>
          <w:lang w:eastAsia="zh-CN"/>
        </w:rPr>
        <w:t>、</w:t>
      </w:r>
      <w:r>
        <w:rPr>
          <w:rFonts w:hint="eastAsia" w:asciiTheme="minorEastAsia" w:hAnsiTheme="minorEastAsia" w:eastAsiaTheme="minorEastAsia" w:cstheme="minorEastAsia"/>
          <w:b w:val="0"/>
          <w:bCs w:val="0"/>
          <w:kern w:val="0"/>
          <w:sz w:val="24"/>
          <w:szCs w:val="24"/>
          <w:highlight w:val="none"/>
          <w:lang w:val="en-US" w:eastAsia="zh-CN"/>
        </w:rPr>
        <w:t>过程验收及竣工验收</w:t>
      </w:r>
      <w:r>
        <w:rPr>
          <w:rFonts w:hint="eastAsia" w:asciiTheme="minorEastAsia" w:hAnsiTheme="minorEastAsia" w:eastAsiaTheme="minorEastAsia" w:cstheme="minorEastAsia"/>
          <w:b w:val="0"/>
          <w:bCs w:val="0"/>
          <w:kern w:val="0"/>
          <w:sz w:val="24"/>
          <w:szCs w:val="24"/>
          <w:highlight w:val="none"/>
        </w:rPr>
        <w:t>。</w:t>
      </w:r>
    </w:p>
    <w:p>
      <w:pPr>
        <w:numPr>
          <w:ilvl w:val="0"/>
          <w:numId w:val="9"/>
        </w:numPr>
        <w:spacing w:before="120" w:beforeLines="50" w:after="120" w:afterLines="50" w:line="360" w:lineRule="auto"/>
        <w:ind w:left="0" w:firstLine="480" w:firstLineChars="200"/>
        <w:rPr>
          <w:rFonts w:hint="eastAsia" w:asciiTheme="minorEastAsia" w:hAnsiTheme="minorEastAsia" w:eastAsiaTheme="minorEastAsia" w:cstheme="minorEastAsia"/>
          <w:b w:val="0"/>
          <w:bCs w:val="0"/>
          <w:kern w:val="0"/>
          <w:sz w:val="24"/>
          <w:szCs w:val="24"/>
          <w:highlight w:val="none"/>
        </w:rPr>
      </w:pPr>
      <w:r>
        <w:rPr>
          <w:rFonts w:hint="eastAsia" w:asciiTheme="minorEastAsia" w:hAnsiTheme="minorEastAsia" w:eastAsiaTheme="minorEastAsia" w:cstheme="minorEastAsia"/>
          <w:b w:val="0"/>
          <w:bCs w:val="0"/>
          <w:kern w:val="0"/>
          <w:sz w:val="24"/>
          <w:szCs w:val="24"/>
          <w:highlight w:val="none"/>
        </w:rPr>
        <w:t>施工单位在完工后，须提前3天提交工程验收进度计划给采购人，以便采购人组织相关人员对项目进行验收。</w:t>
      </w:r>
    </w:p>
    <w:p>
      <w:pPr>
        <w:numPr>
          <w:ilvl w:val="0"/>
          <w:numId w:val="9"/>
        </w:numPr>
        <w:spacing w:before="120" w:beforeLines="50" w:after="120" w:afterLines="50" w:line="360" w:lineRule="auto"/>
        <w:ind w:left="0" w:firstLine="480" w:firstLineChars="200"/>
        <w:rPr>
          <w:rFonts w:hint="eastAsia" w:asciiTheme="minorEastAsia" w:hAnsiTheme="minorEastAsia" w:eastAsiaTheme="minorEastAsia" w:cstheme="minorEastAsia"/>
          <w:b w:val="0"/>
          <w:bCs w:val="0"/>
          <w:kern w:val="0"/>
          <w:sz w:val="24"/>
          <w:szCs w:val="24"/>
          <w:highlight w:val="none"/>
        </w:rPr>
      </w:pPr>
      <w:r>
        <w:rPr>
          <w:rFonts w:hint="eastAsia" w:asciiTheme="minorEastAsia" w:hAnsiTheme="minorEastAsia" w:eastAsiaTheme="minorEastAsia" w:cstheme="minorEastAsia"/>
          <w:b w:val="0"/>
          <w:bCs w:val="0"/>
          <w:kern w:val="0"/>
          <w:sz w:val="24"/>
          <w:szCs w:val="24"/>
          <w:highlight w:val="none"/>
        </w:rPr>
        <w:t>经采购人组织相关人员进行验收合格后，签发验收合格证明文件。</w:t>
      </w:r>
    </w:p>
    <w:p>
      <w:pPr>
        <w:numPr>
          <w:ilvl w:val="0"/>
          <w:numId w:val="9"/>
        </w:numPr>
        <w:spacing w:before="120" w:beforeLines="50" w:after="120" w:afterLines="50" w:line="360" w:lineRule="auto"/>
        <w:ind w:left="0" w:firstLine="480" w:firstLineChars="200"/>
        <w:rPr>
          <w:rFonts w:hint="eastAsia" w:asciiTheme="minorEastAsia" w:hAnsiTheme="minorEastAsia" w:eastAsiaTheme="minorEastAsia" w:cstheme="minorEastAsia"/>
          <w:b w:val="0"/>
          <w:bCs w:val="0"/>
          <w:kern w:val="0"/>
          <w:sz w:val="24"/>
          <w:szCs w:val="24"/>
          <w:highlight w:val="none"/>
        </w:rPr>
      </w:pPr>
      <w:r>
        <w:rPr>
          <w:rFonts w:hint="eastAsia" w:asciiTheme="minorEastAsia" w:hAnsiTheme="minorEastAsia" w:eastAsiaTheme="minorEastAsia" w:cstheme="minorEastAsia"/>
          <w:b w:val="0"/>
          <w:bCs w:val="0"/>
          <w:sz w:val="24"/>
          <w:szCs w:val="24"/>
          <w:highlight w:val="none"/>
        </w:rPr>
        <w:t>施工单位必须将产品所有随机资料（包括但不限于设备及材料检验合格证书等）提交业主，同时将与项目有关的竣工资料一式两份一起提交给</w:t>
      </w:r>
      <w:r>
        <w:rPr>
          <w:rFonts w:hint="eastAsia" w:asciiTheme="minorEastAsia" w:hAnsiTheme="minorEastAsia" w:eastAsiaTheme="minorEastAsia" w:cstheme="minorEastAsia"/>
          <w:b w:val="0"/>
          <w:bCs w:val="0"/>
          <w:sz w:val="24"/>
          <w:szCs w:val="24"/>
          <w:highlight w:val="none"/>
          <w:lang w:val="en-US" w:eastAsia="zh-CN"/>
        </w:rPr>
        <w:t>采购人</w:t>
      </w:r>
      <w:r>
        <w:rPr>
          <w:rFonts w:hint="eastAsia" w:asciiTheme="minorEastAsia" w:hAnsiTheme="minorEastAsia" w:eastAsiaTheme="minorEastAsia" w:cstheme="minorEastAsia"/>
          <w:b w:val="0"/>
          <w:bCs w:val="0"/>
          <w:kern w:val="0"/>
          <w:sz w:val="24"/>
          <w:szCs w:val="24"/>
          <w:highlight w:val="none"/>
        </w:rPr>
        <w:t>。</w:t>
      </w:r>
    </w:p>
    <w:p>
      <w:pPr>
        <w:numPr>
          <w:ilvl w:val="0"/>
          <w:numId w:val="0"/>
        </w:numPr>
        <w:spacing w:line="360" w:lineRule="auto"/>
        <w:ind w:left="400" w:leftChars="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四</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质保期：</w:t>
      </w:r>
      <w:r>
        <w:rPr>
          <w:rFonts w:hint="eastAsia" w:asciiTheme="minorEastAsia" w:hAnsiTheme="minorEastAsia" w:eastAsiaTheme="minorEastAsia" w:cstheme="minorEastAsia"/>
          <w:b w:val="0"/>
          <w:bCs w:val="0"/>
          <w:sz w:val="24"/>
          <w:szCs w:val="24"/>
        </w:rPr>
        <w:t>本工程质保期要求为</w:t>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t>年，</w:t>
      </w:r>
      <w:r>
        <w:rPr>
          <w:rFonts w:hint="eastAsia" w:asciiTheme="minorEastAsia" w:hAnsiTheme="minorEastAsia" w:eastAsiaTheme="minorEastAsia" w:cstheme="minorEastAsia"/>
          <w:b w:val="0"/>
          <w:bCs w:val="0"/>
          <w:sz w:val="24"/>
          <w:szCs w:val="24"/>
          <w:lang w:bidi="ar"/>
        </w:rPr>
        <w:t>质保期从验收合格之日起计算，质保期内出现任何质量问题均由施工单位</w:t>
      </w:r>
      <w:r>
        <w:rPr>
          <w:rFonts w:hint="eastAsia" w:asciiTheme="minorEastAsia" w:hAnsiTheme="minorEastAsia" w:eastAsiaTheme="minorEastAsia" w:cstheme="minorEastAsia"/>
          <w:b w:val="0"/>
          <w:bCs w:val="0"/>
          <w:sz w:val="24"/>
          <w:szCs w:val="24"/>
          <w:lang w:val="en-US" w:eastAsia="zh-CN" w:bidi="ar"/>
        </w:rPr>
        <w:t>免费</w:t>
      </w:r>
      <w:r>
        <w:rPr>
          <w:rFonts w:hint="eastAsia" w:asciiTheme="minorEastAsia" w:hAnsiTheme="minorEastAsia" w:eastAsiaTheme="minorEastAsia" w:cstheme="minorEastAsia"/>
          <w:b w:val="0"/>
          <w:bCs w:val="0"/>
          <w:sz w:val="24"/>
          <w:szCs w:val="24"/>
          <w:lang w:bidi="ar"/>
        </w:rPr>
        <w:t>负责维修。</w:t>
      </w:r>
    </w:p>
    <w:p>
      <w:pPr>
        <w:numPr>
          <w:ilvl w:val="0"/>
          <w:numId w:val="1"/>
        </w:numPr>
        <w:spacing w:before="120" w:beforeLines="50" w:after="120" w:afterLines="50" w:line="360" w:lineRule="auto"/>
        <w:ind w:left="0" w:firstLine="482" w:firstLineChars="200"/>
        <w:rPr>
          <w:rFonts w:ascii="宋体" w:hAnsi="宋体"/>
          <w:b/>
          <w:sz w:val="24"/>
          <w:highlight w:val="none"/>
        </w:rPr>
      </w:pPr>
      <w:r>
        <w:rPr>
          <w:rFonts w:hint="eastAsia" w:ascii="宋体" w:hAnsi="宋体"/>
          <w:b/>
          <w:sz w:val="24"/>
          <w:highlight w:val="none"/>
        </w:rPr>
        <w:t>工程费用及支付方式</w:t>
      </w:r>
    </w:p>
    <w:p>
      <w:pPr>
        <w:numPr>
          <w:ilvl w:val="0"/>
          <w:numId w:val="10"/>
        </w:numPr>
        <w:spacing w:before="120" w:beforeLines="50" w:after="120" w:afterLines="50" w:line="360" w:lineRule="auto"/>
        <w:ind w:left="0" w:firstLine="480" w:firstLineChars="200"/>
        <w:rPr>
          <w:sz w:val="24"/>
          <w:highlight w:val="none"/>
        </w:rPr>
      </w:pPr>
      <w:r>
        <w:rPr>
          <w:rFonts w:hint="eastAsia"/>
          <w:sz w:val="24"/>
          <w:highlight w:val="none"/>
        </w:rPr>
        <w:t>本工程采用综合单价包干</w:t>
      </w:r>
      <w:r>
        <w:rPr>
          <w:sz w:val="24"/>
          <w:highlight w:val="none"/>
        </w:rPr>
        <w:t>，</w:t>
      </w:r>
      <w:r>
        <w:rPr>
          <w:rFonts w:hint="eastAsia"/>
          <w:sz w:val="24"/>
          <w:highlight w:val="none"/>
        </w:rPr>
        <w:t>包工、包料、包工期、包质量、包安全、包安全文明施工、包验收、包结算、包资料整理、包综合治理</w:t>
      </w:r>
      <w:r>
        <w:rPr>
          <w:rFonts w:hint="eastAsia"/>
          <w:b w:val="0"/>
          <w:bCs w:val="0"/>
          <w:sz w:val="24"/>
          <w:highlight w:val="none"/>
        </w:rPr>
        <w:t>、</w:t>
      </w:r>
      <w:r>
        <w:rPr>
          <w:rFonts w:hint="eastAsia"/>
          <w:b w:val="0"/>
          <w:bCs w:val="0"/>
          <w:sz w:val="24"/>
          <w:highlight w:val="none"/>
          <w:lang w:val="en-US" w:eastAsia="zh-CN"/>
        </w:rPr>
        <w:t>包现场卫生清洁、</w:t>
      </w:r>
      <w:r>
        <w:rPr>
          <w:rFonts w:hint="eastAsia"/>
          <w:sz w:val="24"/>
          <w:highlight w:val="none"/>
        </w:rPr>
        <w:t>包风险、包利润和管理费等完成本项目的全部费用</w:t>
      </w:r>
      <w:r>
        <w:rPr>
          <w:sz w:val="24"/>
          <w:highlight w:val="none"/>
        </w:rPr>
        <w:t>。</w:t>
      </w:r>
    </w:p>
    <w:p>
      <w:pPr>
        <w:numPr>
          <w:ilvl w:val="0"/>
          <w:numId w:val="10"/>
        </w:numPr>
        <w:spacing w:before="120" w:beforeLines="50" w:after="120" w:afterLines="50" w:line="360" w:lineRule="auto"/>
        <w:ind w:left="0" w:firstLine="480" w:firstLineChars="200"/>
        <w:rPr>
          <w:sz w:val="24"/>
          <w:highlight w:val="none"/>
        </w:rPr>
      </w:pPr>
      <w:r>
        <w:rPr>
          <w:rFonts w:hint="eastAsia"/>
          <w:sz w:val="24"/>
          <w:highlight w:val="none"/>
        </w:rPr>
        <w:t>本项目的投标总价应</w:t>
      </w:r>
      <w:r>
        <w:rPr>
          <w:sz w:val="24"/>
          <w:highlight w:val="none"/>
        </w:rPr>
        <w:t>包含</w:t>
      </w:r>
      <w:r>
        <w:rPr>
          <w:rFonts w:hint="eastAsia"/>
          <w:sz w:val="24"/>
          <w:highlight w:val="none"/>
        </w:rPr>
        <w:t>投标人按施工现场现状及施工范围根据采购人要求</w:t>
      </w:r>
      <w:r>
        <w:rPr>
          <w:sz w:val="24"/>
          <w:highlight w:val="none"/>
        </w:rPr>
        <w:t>完成项</w:t>
      </w:r>
      <w:r>
        <w:rPr>
          <w:rFonts w:hint="eastAsia"/>
          <w:sz w:val="24"/>
          <w:highlight w:val="none"/>
        </w:rPr>
        <w:t>目约定全部</w:t>
      </w:r>
      <w:r>
        <w:rPr>
          <w:sz w:val="24"/>
          <w:highlight w:val="none"/>
        </w:rPr>
        <w:t>工作所需的</w:t>
      </w:r>
      <w:r>
        <w:rPr>
          <w:rFonts w:hint="eastAsia"/>
          <w:sz w:val="24"/>
          <w:highlight w:val="none"/>
        </w:rPr>
        <w:t>税费及相关措施费及合同实施过程中应预见和不可预见的费用等等。工程量清单和竞选范围内的报价如有漏计或漏项的，视为投标人单方面作出的让利，费用不另行增加。</w:t>
      </w:r>
    </w:p>
    <w:p>
      <w:pPr>
        <w:numPr>
          <w:ilvl w:val="0"/>
          <w:numId w:val="10"/>
        </w:numPr>
        <w:spacing w:before="120" w:beforeLines="50" w:after="120" w:afterLines="50" w:line="360" w:lineRule="auto"/>
        <w:ind w:left="0" w:firstLine="480" w:firstLineChars="200"/>
        <w:rPr>
          <w:sz w:val="24"/>
          <w:highlight w:val="none"/>
        </w:rPr>
      </w:pPr>
      <w:r>
        <w:rPr>
          <w:rFonts w:hint="eastAsia"/>
          <w:sz w:val="24"/>
          <w:highlight w:val="none"/>
        </w:rPr>
        <w:t>付款方式</w:t>
      </w:r>
    </w:p>
    <w:p>
      <w:pPr>
        <w:numPr>
          <w:ilvl w:val="0"/>
          <w:numId w:val="11"/>
        </w:numPr>
        <w:spacing w:before="120" w:beforeLines="50" w:after="120" w:afterLines="50" w:line="360" w:lineRule="auto"/>
        <w:ind w:left="0" w:firstLine="480" w:firstLineChars="200"/>
        <w:rPr>
          <w:rFonts w:ascii="宋体" w:hAnsi="宋体" w:cs="Arial"/>
          <w:color w:val="000000"/>
          <w:sz w:val="24"/>
          <w:highlight w:val="none"/>
        </w:rPr>
      </w:pPr>
      <w:r>
        <w:rPr>
          <w:rFonts w:hint="eastAsia" w:ascii="宋体" w:hAnsi="宋体" w:cs="Arial"/>
          <w:color w:val="000000"/>
          <w:sz w:val="24"/>
          <w:highlight w:val="none"/>
        </w:rPr>
        <w:t>在本合同履行期内，若国家税费调整，合同含税金额按国家规定税率作出相应调整，供方每次申请付款应按照合同内容开具相应税率的合法有效的增值税专用发票。</w:t>
      </w:r>
    </w:p>
    <w:p>
      <w:pPr>
        <w:numPr>
          <w:ilvl w:val="0"/>
          <w:numId w:val="11"/>
        </w:numPr>
        <w:spacing w:before="120" w:beforeLines="50" w:after="120" w:afterLines="50" w:line="360" w:lineRule="auto"/>
        <w:ind w:left="0" w:firstLine="480" w:firstLineChars="200"/>
        <w:rPr>
          <w:rFonts w:ascii="宋体" w:hAnsi="宋体" w:cs="Arial"/>
          <w:color w:val="000000"/>
          <w:sz w:val="24"/>
          <w:highlight w:val="none"/>
        </w:rPr>
      </w:pPr>
      <w:r>
        <w:rPr>
          <w:rFonts w:hint="eastAsia" w:ascii="宋体" w:hAnsi="宋体" w:cs="Arial"/>
          <w:color w:val="000000"/>
          <w:sz w:val="24"/>
          <w:highlight w:val="none"/>
        </w:rPr>
        <w:t>合同付款按施工进度支付，具体为：</w:t>
      </w:r>
    </w:p>
    <w:p>
      <w:pPr>
        <w:numPr>
          <w:ilvl w:val="0"/>
          <w:numId w:val="0"/>
        </w:numPr>
        <w:spacing w:before="120" w:beforeLines="50" w:after="120" w:afterLines="50" w:line="360" w:lineRule="auto"/>
        <w:ind w:firstLine="480" w:firstLineChars="200"/>
        <w:rPr>
          <w:rFonts w:ascii="宋体" w:hAnsi="宋体" w:cs="Arial"/>
          <w:color w:val="000000"/>
          <w:sz w:val="24"/>
        </w:rPr>
      </w:pPr>
      <w:r>
        <w:rPr>
          <w:rFonts w:hint="eastAsia" w:ascii="宋体" w:hAnsi="宋体" w:cs="Arial"/>
          <w:color w:val="000000"/>
          <w:sz w:val="24"/>
          <w:lang w:eastAsia="zh-CN"/>
        </w:rPr>
        <w:t>（</w:t>
      </w:r>
      <w:r>
        <w:rPr>
          <w:rFonts w:hint="eastAsia" w:ascii="宋体" w:hAnsi="宋体" w:cs="Arial"/>
          <w:color w:val="000000"/>
          <w:sz w:val="24"/>
          <w:lang w:val="en-US" w:eastAsia="zh-CN"/>
        </w:rPr>
        <w:t>1</w:t>
      </w:r>
      <w:r>
        <w:rPr>
          <w:rFonts w:hint="eastAsia" w:ascii="宋体" w:hAnsi="宋体" w:cs="Arial"/>
          <w:color w:val="000000"/>
          <w:sz w:val="24"/>
          <w:lang w:eastAsia="zh-CN"/>
        </w:rPr>
        <w:t>）</w:t>
      </w:r>
      <w:r>
        <w:rPr>
          <w:rFonts w:hint="eastAsia" w:ascii="宋体" w:hAnsi="宋体" w:cs="Arial"/>
          <w:color w:val="000000"/>
          <w:sz w:val="24"/>
        </w:rPr>
        <w:t>合同签订并进场后，甲方收到乙方请款资料后15个工作日内支付暂定合同总价</w:t>
      </w:r>
      <w:r>
        <w:rPr>
          <w:rFonts w:ascii="宋体" w:hAnsi="宋体" w:cs="Arial"/>
          <w:color w:val="000000"/>
          <w:sz w:val="24"/>
        </w:rPr>
        <w:t>2</w:t>
      </w:r>
      <w:r>
        <w:rPr>
          <w:rFonts w:hint="eastAsia" w:ascii="宋体" w:hAnsi="宋体" w:cs="Arial"/>
          <w:color w:val="000000"/>
          <w:sz w:val="24"/>
        </w:rPr>
        <w:t>0%的预付款。</w:t>
      </w:r>
    </w:p>
    <w:p>
      <w:pPr>
        <w:numPr>
          <w:ilvl w:val="0"/>
          <w:numId w:val="0"/>
        </w:numPr>
        <w:spacing w:before="120" w:beforeLines="50" w:after="120" w:afterLines="50" w:line="360" w:lineRule="auto"/>
        <w:ind w:firstLine="480" w:firstLineChars="200"/>
        <w:rPr>
          <w:rFonts w:ascii="宋体" w:hAnsi="宋体" w:cs="Arial"/>
          <w:color w:val="000000"/>
          <w:sz w:val="24"/>
        </w:rPr>
      </w:pPr>
      <w:r>
        <w:rPr>
          <w:rFonts w:hint="eastAsia" w:ascii="宋体" w:hAnsi="宋体" w:cs="Arial"/>
          <w:color w:val="000000"/>
          <w:sz w:val="24"/>
          <w:lang w:eastAsia="zh-CN"/>
        </w:rPr>
        <w:t>（</w:t>
      </w:r>
      <w:r>
        <w:rPr>
          <w:rFonts w:hint="eastAsia" w:ascii="宋体" w:hAnsi="宋体" w:cs="Arial"/>
          <w:color w:val="000000"/>
          <w:sz w:val="24"/>
          <w:lang w:val="en-US" w:eastAsia="zh-CN"/>
        </w:rPr>
        <w:t>2</w:t>
      </w:r>
      <w:r>
        <w:rPr>
          <w:rFonts w:hint="eastAsia" w:ascii="宋体" w:hAnsi="宋体" w:cs="Arial"/>
          <w:color w:val="000000"/>
          <w:sz w:val="24"/>
          <w:lang w:eastAsia="zh-CN"/>
        </w:rPr>
        <w:t>）</w:t>
      </w:r>
      <w:r>
        <w:rPr>
          <w:rFonts w:hint="eastAsia" w:ascii="宋体" w:hAnsi="宋体" w:cs="Arial"/>
          <w:color w:val="000000"/>
          <w:sz w:val="24"/>
        </w:rPr>
        <w:t>项目形象进度完成合同工程量80%，甲方收到乙方请款资料后15个工作日内支付至合同总价的6</w:t>
      </w:r>
      <w:r>
        <w:rPr>
          <w:rFonts w:ascii="宋体" w:hAnsi="宋体" w:cs="Arial"/>
          <w:color w:val="000000"/>
          <w:sz w:val="24"/>
        </w:rPr>
        <w:t>0</w:t>
      </w:r>
      <w:r>
        <w:rPr>
          <w:rFonts w:hint="eastAsia" w:ascii="宋体" w:hAnsi="宋体" w:cs="Arial"/>
          <w:color w:val="000000"/>
          <w:sz w:val="24"/>
        </w:rPr>
        <w:t>%。</w:t>
      </w:r>
    </w:p>
    <w:p>
      <w:pPr>
        <w:numPr>
          <w:ilvl w:val="0"/>
          <w:numId w:val="0"/>
        </w:numPr>
        <w:spacing w:before="120" w:beforeLines="50" w:after="120" w:afterLines="50" w:line="360" w:lineRule="auto"/>
        <w:ind w:firstLine="480" w:firstLineChars="200"/>
        <w:rPr>
          <w:rFonts w:ascii="宋体" w:hAnsi="宋体" w:cs="Arial"/>
          <w:color w:val="000000"/>
          <w:sz w:val="24"/>
        </w:rPr>
      </w:pPr>
      <w:r>
        <w:rPr>
          <w:rFonts w:hint="eastAsia" w:ascii="宋体" w:hAnsi="宋体" w:cs="Arial"/>
          <w:color w:val="000000"/>
          <w:sz w:val="24"/>
          <w:lang w:eastAsia="zh-CN"/>
        </w:rPr>
        <w:t>（</w:t>
      </w:r>
      <w:r>
        <w:rPr>
          <w:rFonts w:hint="eastAsia" w:ascii="宋体" w:hAnsi="宋体" w:cs="Arial"/>
          <w:color w:val="000000"/>
          <w:sz w:val="24"/>
          <w:lang w:val="en-US" w:eastAsia="zh-CN"/>
        </w:rPr>
        <w:t>3</w:t>
      </w:r>
      <w:r>
        <w:rPr>
          <w:rFonts w:hint="eastAsia" w:ascii="宋体" w:hAnsi="宋体" w:cs="Arial"/>
          <w:color w:val="000000"/>
          <w:sz w:val="24"/>
          <w:lang w:eastAsia="zh-CN"/>
        </w:rPr>
        <w:t>）</w:t>
      </w:r>
      <w:r>
        <w:rPr>
          <w:rFonts w:hint="eastAsia" w:ascii="宋体" w:hAnsi="宋体" w:cs="Arial"/>
          <w:color w:val="000000"/>
          <w:sz w:val="24"/>
        </w:rPr>
        <w:t>工程全部完工，甲方收到乙方请款资料后15个工作日内支付至合同总价的</w:t>
      </w:r>
      <w:r>
        <w:rPr>
          <w:rFonts w:ascii="宋体" w:hAnsi="宋体" w:cs="Arial"/>
          <w:color w:val="000000"/>
          <w:sz w:val="24"/>
        </w:rPr>
        <w:t>80</w:t>
      </w:r>
      <w:r>
        <w:rPr>
          <w:rFonts w:hint="eastAsia" w:ascii="宋体" w:hAnsi="宋体" w:cs="Arial"/>
          <w:color w:val="000000"/>
          <w:sz w:val="24"/>
        </w:rPr>
        <w:t>%。</w:t>
      </w:r>
    </w:p>
    <w:p>
      <w:pPr>
        <w:numPr>
          <w:ilvl w:val="0"/>
          <w:numId w:val="0"/>
        </w:numPr>
        <w:spacing w:before="120" w:beforeLines="50" w:after="120" w:afterLines="50" w:line="360" w:lineRule="auto"/>
        <w:ind w:firstLine="480" w:firstLineChars="200"/>
        <w:rPr>
          <w:rFonts w:ascii="宋体" w:hAnsi="宋体" w:cs="Arial"/>
          <w:color w:val="000000"/>
          <w:sz w:val="24"/>
        </w:rPr>
      </w:pPr>
      <w:r>
        <w:rPr>
          <w:rFonts w:hint="eastAsia" w:ascii="宋体" w:hAnsi="宋体" w:cs="Arial"/>
          <w:color w:val="000000"/>
          <w:sz w:val="24"/>
          <w:lang w:eastAsia="zh-CN"/>
        </w:rPr>
        <w:t>（</w:t>
      </w:r>
      <w:r>
        <w:rPr>
          <w:rFonts w:hint="eastAsia" w:ascii="宋体" w:hAnsi="宋体" w:cs="Arial"/>
          <w:color w:val="000000"/>
          <w:sz w:val="24"/>
          <w:lang w:val="en-US" w:eastAsia="zh-CN"/>
        </w:rPr>
        <w:t>4</w:t>
      </w:r>
      <w:r>
        <w:rPr>
          <w:rFonts w:hint="eastAsia" w:ascii="宋体" w:hAnsi="宋体" w:cs="Arial"/>
          <w:color w:val="000000"/>
          <w:sz w:val="24"/>
          <w:lang w:eastAsia="zh-CN"/>
        </w:rPr>
        <w:t>）</w:t>
      </w:r>
      <w:r>
        <w:rPr>
          <w:rFonts w:hint="eastAsia" w:ascii="宋体" w:hAnsi="宋体" w:cs="Arial"/>
          <w:color w:val="000000"/>
          <w:sz w:val="24"/>
        </w:rPr>
        <w:t>项目竣工验收合格并按甲方要求完成合同结算手续后，甲方收到乙方请款资料后15个工作日内支付工程款至合同结算总造价的9</w:t>
      </w:r>
      <w:r>
        <w:rPr>
          <w:rFonts w:hint="eastAsia" w:ascii="宋体" w:hAnsi="宋体" w:cs="Arial"/>
          <w:color w:val="000000"/>
          <w:sz w:val="24"/>
          <w:lang w:val="en-US" w:eastAsia="zh-CN"/>
        </w:rPr>
        <w:t>7</w:t>
      </w:r>
      <w:r>
        <w:rPr>
          <w:rFonts w:hint="eastAsia" w:ascii="宋体" w:hAnsi="宋体" w:cs="Arial"/>
          <w:color w:val="000000"/>
          <w:sz w:val="24"/>
        </w:rPr>
        <w:t>%。</w:t>
      </w:r>
    </w:p>
    <w:p>
      <w:pPr>
        <w:numPr>
          <w:ilvl w:val="0"/>
          <w:numId w:val="0"/>
        </w:numPr>
        <w:spacing w:before="120" w:beforeLines="50" w:after="120" w:afterLines="50" w:line="360" w:lineRule="auto"/>
        <w:ind w:firstLine="480" w:firstLineChars="200"/>
        <w:rPr>
          <w:rFonts w:ascii="宋体" w:hAnsi="宋体" w:cs="Arial"/>
          <w:color w:val="000000"/>
          <w:sz w:val="24"/>
        </w:rPr>
      </w:pPr>
      <w:r>
        <w:rPr>
          <w:rFonts w:hint="eastAsia" w:ascii="宋体" w:hAnsi="宋体" w:cs="Arial"/>
          <w:color w:val="000000"/>
          <w:sz w:val="24"/>
          <w:lang w:eastAsia="zh-CN"/>
        </w:rPr>
        <w:t>（</w:t>
      </w:r>
      <w:r>
        <w:rPr>
          <w:rFonts w:hint="eastAsia" w:ascii="宋体" w:hAnsi="宋体" w:cs="Arial"/>
          <w:color w:val="000000"/>
          <w:sz w:val="24"/>
          <w:lang w:val="en-US" w:eastAsia="zh-CN"/>
        </w:rPr>
        <w:t>5</w:t>
      </w:r>
      <w:r>
        <w:rPr>
          <w:rFonts w:hint="eastAsia" w:ascii="宋体" w:hAnsi="宋体" w:cs="Arial"/>
          <w:color w:val="000000"/>
          <w:sz w:val="24"/>
          <w:lang w:eastAsia="zh-CN"/>
        </w:rPr>
        <w:t>）</w:t>
      </w:r>
      <w:r>
        <w:rPr>
          <w:rFonts w:hint="eastAsia" w:ascii="宋体" w:hAnsi="宋体" w:cs="Arial"/>
          <w:color w:val="000000"/>
          <w:sz w:val="24"/>
        </w:rPr>
        <w:t>质保期期满且乙方质保期义务按要求履行完毕后，甲方收到乙方请款资料后15个工作日内付清余款（不计利息）。</w:t>
      </w:r>
    </w:p>
    <w:p>
      <w:pPr>
        <w:numPr>
          <w:ilvl w:val="0"/>
          <w:numId w:val="11"/>
        </w:numPr>
        <w:spacing w:before="120" w:beforeLines="50" w:after="120" w:afterLines="50" w:line="360" w:lineRule="auto"/>
        <w:ind w:left="0" w:firstLine="480" w:firstLineChars="200"/>
        <w:rPr>
          <w:rFonts w:ascii="宋体" w:hAnsi="宋体" w:cs="Arial"/>
          <w:color w:val="000000"/>
          <w:sz w:val="24"/>
        </w:rPr>
      </w:pPr>
      <w:r>
        <w:rPr>
          <w:rFonts w:hint="eastAsia" w:ascii="宋体" w:hAnsi="宋体" w:cs="Arial"/>
          <w:color w:val="000000"/>
          <w:sz w:val="24"/>
        </w:rPr>
        <w:t>每次付款前，乙方应开具符合国家税务规定的等额合格的增值税专用发票给甲方。乙方晚于付款期限提供的，甲方付款期限相应顺延。</w:t>
      </w:r>
    </w:p>
    <w:p>
      <w:pPr>
        <w:numPr>
          <w:ilvl w:val="0"/>
          <w:numId w:val="1"/>
        </w:numPr>
        <w:spacing w:before="120" w:beforeLines="50" w:after="120" w:afterLines="50" w:line="360" w:lineRule="auto"/>
        <w:ind w:left="0" w:firstLine="482" w:firstLineChars="200"/>
        <w:rPr>
          <w:rFonts w:ascii="宋体" w:hAnsi="宋体"/>
          <w:b/>
          <w:sz w:val="24"/>
          <w:highlight w:val="none"/>
        </w:rPr>
      </w:pPr>
      <w:r>
        <w:rPr>
          <w:rFonts w:hint="eastAsia" w:ascii="宋体" w:hAnsi="宋体"/>
          <w:b/>
          <w:sz w:val="24"/>
          <w:highlight w:val="none"/>
        </w:rPr>
        <w:t>投标文件</w:t>
      </w:r>
    </w:p>
    <w:p>
      <w:pPr>
        <w:spacing w:before="120" w:beforeLines="50" w:after="120" w:afterLines="50" w:line="360" w:lineRule="auto"/>
        <w:ind w:firstLine="480" w:firstLineChars="200"/>
        <w:rPr>
          <w:sz w:val="24"/>
          <w:highlight w:val="none"/>
        </w:rPr>
      </w:pPr>
      <w:r>
        <w:rPr>
          <w:rFonts w:hint="eastAsia"/>
          <w:sz w:val="24"/>
          <w:highlight w:val="none"/>
        </w:rPr>
        <w:t>根据采购人要求的投标文件格式，进行密封报价（盖章）。投标文件应包含以下内容：</w:t>
      </w:r>
    </w:p>
    <w:p>
      <w:pPr>
        <w:numPr>
          <w:ilvl w:val="0"/>
          <w:numId w:val="12"/>
        </w:numPr>
        <w:spacing w:before="120" w:beforeLines="50" w:after="120" w:afterLines="50" w:line="360" w:lineRule="auto"/>
        <w:ind w:left="0" w:firstLine="480" w:firstLineChars="200"/>
        <w:rPr>
          <w:sz w:val="24"/>
          <w:highlight w:val="none"/>
        </w:rPr>
      </w:pPr>
      <w:r>
        <w:rPr>
          <w:rFonts w:hint="eastAsia"/>
          <w:sz w:val="24"/>
          <w:highlight w:val="none"/>
        </w:rPr>
        <w:t>商务部分（提供复印件，并加盖公章）</w:t>
      </w:r>
    </w:p>
    <w:p>
      <w:pPr>
        <w:numPr>
          <w:ilvl w:val="0"/>
          <w:numId w:val="13"/>
        </w:numPr>
        <w:spacing w:before="120" w:beforeLines="50" w:after="120" w:afterLines="50" w:line="360" w:lineRule="auto"/>
        <w:ind w:left="0" w:firstLine="480" w:firstLineChars="200"/>
        <w:rPr>
          <w:rFonts w:ascii="宋体" w:hAnsi="宋体" w:cs="Arial"/>
          <w:color w:val="000000"/>
          <w:sz w:val="24"/>
          <w:highlight w:val="none"/>
        </w:rPr>
      </w:pPr>
      <w:bookmarkStart w:id="1" w:name="_Hlk33472787"/>
      <w:r>
        <w:rPr>
          <w:rFonts w:hint="eastAsia" w:ascii="宋体" w:hAnsi="宋体" w:cs="Arial"/>
          <w:color w:val="000000"/>
          <w:sz w:val="24"/>
          <w:highlight w:val="none"/>
        </w:rPr>
        <w:t>有效的企业工商营业执照、企业法人组织机构代码证书、税务登记证书（或三证合一）；</w:t>
      </w:r>
    </w:p>
    <w:p>
      <w:pPr>
        <w:numPr>
          <w:ilvl w:val="0"/>
          <w:numId w:val="13"/>
        </w:numPr>
        <w:spacing w:before="120" w:beforeLines="50" w:after="120" w:afterLines="50" w:line="360" w:lineRule="auto"/>
        <w:ind w:left="0" w:firstLine="480" w:firstLineChars="200"/>
        <w:rPr>
          <w:rFonts w:ascii="宋体" w:hAnsi="宋体" w:cs="Arial"/>
          <w:color w:val="000000"/>
          <w:sz w:val="24"/>
        </w:rPr>
      </w:pPr>
      <w:r>
        <w:rPr>
          <w:rFonts w:hint="eastAsia" w:asciiTheme="minorEastAsia" w:hAnsiTheme="minorEastAsia"/>
          <w:sz w:val="24"/>
          <w:szCs w:val="28"/>
        </w:rPr>
        <w:t>信用中国”网站（www.creditchina.gov.cn）的信用记录查询结果截图并打印页面加盖公章</w:t>
      </w:r>
      <w:r>
        <w:rPr>
          <w:rFonts w:hint="eastAsia" w:asciiTheme="minorEastAsia" w:hAnsiTheme="minorEastAsia"/>
          <w:sz w:val="24"/>
          <w:szCs w:val="28"/>
          <w:lang w:eastAsia="zh-CN"/>
        </w:rPr>
        <w:t>；</w:t>
      </w:r>
    </w:p>
    <w:p>
      <w:pPr>
        <w:numPr>
          <w:ilvl w:val="0"/>
          <w:numId w:val="13"/>
        </w:numPr>
        <w:spacing w:before="120" w:beforeLines="50" w:after="120" w:afterLines="50" w:line="360" w:lineRule="auto"/>
        <w:ind w:left="0" w:firstLine="480" w:firstLineChars="200"/>
        <w:rPr>
          <w:rFonts w:ascii="宋体" w:hAnsi="宋体" w:cs="Arial"/>
          <w:color w:val="000000"/>
          <w:sz w:val="24"/>
          <w:highlight w:val="none"/>
        </w:rPr>
      </w:pPr>
      <w:r>
        <w:rPr>
          <w:rFonts w:hint="eastAsia" w:asciiTheme="minorEastAsia" w:hAnsiTheme="minorEastAsia"/>
          <w:sz w:val="24"/>
          <w:szCs w:val="28"/>
        </w:rPr>
        <w:t>在投标活动中3年内没有重大违法活动和涉嫌违规行为声明。（格式自</w:t>
      </w:r>
      <w:r>
        <w:rPr>
          <w:rFonts w:hint="eastAsia" w:asciiTheme="minorEastAsia" w:hAnsiTheme="minorEastAsia"/>
          <w:sz w:val="24"/>
          <w:szCs w:val="28"/>
          <w:lang w:val="en-US" w:eastAsia="zh-CN"/>
        </w:rPr>
        <w:t>拟）</w:t>
      </w:r>
    </w:p>
    <w:p>
      <w:pPr>
        <w:numPr>
          <w:ilvl w:val="0"/>
          <w:numId w:val="13"/>
        </w:numPr>
        <w:spacing w:before="120" w:beforeLines="50" w:after="120" w:afterLines="50" w:line="360" w:lineRule="auto"/>
        <w:ind w:left="0" w:firstLine="480" w:firstLineChars="200"/>
        <w:rPr>
          <w:rFonts w:ascii="宋体" w:hAnsi="宋体" w:cs="Arial"/>
          <w:color w:val="000000"/>
          <w:sz w:val="24"/>
          <w:highlight w:val="none"/>
        </w:rPr>
      </w:pPr>
      <w:r>
        <w:rPr>
          <w:rFonts w:hint="eastAsia" w:ascii="宋体" w:hAnsi="宋体" w:cs="Arial"/>
          <w:color w:val="000000"/>
          <w:sz w:val="24"/>
          <w:highlight w:val="none"/>
        </w:rPr>
        <w:t>供应商调查表（格式见附件2）</w:t>
      </w:r>
    </w:p>
    <w:p>
      <w:pPr>
        <w:numPr>
          <w:ilvl w:val="0"/>
          <w:numId w:val="13"/>
        </w:numPr>
        <w:spacing w:before="120" w:beforeLines="50" w:after="120" w:afterLines="50" w:line="360" w:lineRule="auto"/>
        <w:ind w:left="0" w:firstLine="480" w:firstLineChars="200"/>
        <w:rPr>
          <w:rFonts w:ascii="宋体" w:hAnsi="宋体" w:cs="Arial"/>
          <w:color w:val="000000"/>
          <w:sz w:val="24"/>
          <w:highlight w:val="none"/>
        </w:rPr>
      </w:pPr>
      <w:r>
        <w:rPr>
          <w:rFonts w:hint="eastAsia" w:ascii="宋体" w:hAnsi="宋体" w:cs="Arial"/>
          <w:color w:val="000000"/>
          <w:sz w:val="24"/>
          <w:highlight w:val="none"/>
        </w:rPr>
        <w:t>法定代表人证明书、法定代表人授权委托书原件（格式见附件3和附件4）；</w:t>
      </w:r>
    </w:p>
    <w:p>
      <w:pPr>
        <w:numPr>
          <w:ilvl w:val="0"/>
          <w:numId w:val="13"/>
        </w:numPr>
        <w:spacing w:before="120" w:beforeLines="50" w:after="120" w:afterLines="50" w:line="360" w:lineRule="auto"/>
        <w:ind w:left="0" w:firstLine="480" w:firstLineChars="200"/>
        <w:rPr>
          <w:rFonts w:ascii="宋体" w:hAnsi="宋体" w:cs="Arial"/>
          <w:color w:val="000000"/>
          <w:sz w:val="24"/>
          <w:highlight w:val="none"/>
        </w:rPr>
      </w:pPr>
      <w:r>
        <w:rPr>
          <w:rFonts w:hint="eastAsia" w:ascii="宋体" w:hAnsi="宋体" w:cs="Arial"/>
          <w:color w:val="000000"/>
          <w:sz w:val="24"/>
          <w:highlight w:val="none"/>
        </w:rPr>
        <w:t>有效的安全生产许可证及资质证书；</w:t>
      </w:r>
    </w:p>
    <w:p>
      <w:pPr>
        <w:numPr>
          <w:ilvl w:val="0"/>
          <w:numId w:val="13"/>
        </w:numPr>
        <w:spacing w:before="120" w:beforeLines="50" w:after="120" w:afterLines="50" w:line="360" w:lineRule="auto"/>
        <w:ind w:left="0" w:firstLine="480" w:firstLineChars="200"/>
        <w:rPr>
          <w:rFonts w:ascii="宋体" w:hAnsi="宋体" w:cs="Arial"/>
          <w:color w:val="000000"/>
          <w:sz w:val="24"/>
          <w:highlight w:val="none"/>
        </w:rPr>
      </w:pPr>
      <w:r>
        <w:rPr>
          <w:rFonts w:hint="eastAsia" w:ascii="宋体" w:hAnsi="宋体" w:cs="Arial"/>
          <w:color w:val="000000"/>
          <w:sz w:val="24"/>
          <w:highlight w:val="none"/>
        </w:rPr>
        <w:t>本工程拟派项目负责人简历表</w:t>
      </w:r>
      <w:r>
        <w:rPr>
          <w:rFonts w:ascii="宋体" w:hAnsi="宋体" w:cs="Arial"/>
          <w:color w:val="000000"/>
          <w:sz w:val="24"/>
          <w:highlight w:val="none"/>
        </w:rPr>
        <w:t>（包括姓名、部门和职务、</w:t>
      </w:r>
      <w:r>
        <w:rPr>
          <w:rFonts w:hint="eastAsia" w:ascii="宋体" w:hAnsi="宋体" w:cs="Arial"/>
          <w:color w:val="000000"/>
          <w:sz w:val="24"/>
          <w:highlight w:val="none"/>
        </w:rPr>
        <w:t>所学专业和</w:t>
      </w:r>
      <w:r>
        <w:rPr>
          <w:rFonts w:ascii="宋体" w:hAnsi="宋体" w:cs="Arial"/>
          <w:color w:val="000000"/>
          <w:sz w:val="24"/>
          <w:highlight w:val="none"/>
        </w:rPr>
        <w:t>毕业</w:t>
      </w:r>
      <w:r>
        <w:rPr>
          <w:rFonts w:hint="eastAsia" w:ascii="宋体" w:hAnsi="宋体" w:cs="Arial"/>
          <w:color w:val="000000"/>
          <w:sz w:val="24"/>
          <w:highlight w:val="none"/>
        </w:rPr>
        <w:t>院校名称及毕业</w:t>
      </w:r>
      <w:r>
        <w:rPr>
          <w:rFonts w:ascii="宋体" w:hAnsi="宋体" w:cs="Arial"/>
          <w:color w:val="000000"/>
          <w:sz w:val="24"/>
          <w:highlight w:val="none"/>
        </w:rPr>
        <w:t>时间、主要资历、经验及承担过的</w:t>
      </w:r>
      <w:r>
        <w:rPr>
          <w:rFonts w:hint="eastAsia" w:ascii="宋体" w:hAnsi="宋体" w:cs="Arial"/>
          <w:color w:val="000000"/>
          <w:sz w:val="24"/>
          <w:highlight w:val="none"/>
        </w:rPr>
        <w:t>类似</w:t>
      </w:r>
      <w:r>
        <w:rPr>
          <w:rFonts w:ascii="宋体" w:hAnsi="宋体" w:cs="Arial"/>
          <w:color w:val="000000"/>
          <w:sz w:val="24"/>
          <w:highlight w:val="none"/>
        </w:rPr>
        <w:t>项目</w:t>
      </w:r>
      <w:r>
        <w:rPr>
          <w:rFonts w:hint="eastAsia" w:ascii="宋体" w:hAnsi="宋体" w:cs="Arial"/>
          <w:color w:val="000000"/>
          <w:sz w:val="24"/>
          <w:highlight w:val="none"/>
        </w:rPr>
        <w:t>，</w:t>
      </w:r>
      <w:r>
        <w:rPr>
          <w:rFonts w:ascii="宋体" w:hAnsi="宋体" w:cs="Arial"/>
          <w:color w:val="000000"/>
          <w:sz w:val="24"/>
          <w:highlight w:val="none"/>
        </w:rPr>
        <w:t>获得认证资质证书</w:t>
      </w:r>
      <w:r>
        <w:rPr>
          <w:rFonts w:hint="eastAsia" w:ascii="宋体" w:hAnsi="宋体" w:cs="Arial"/>
          <w:color w:val="000000"/>
          <w:sz w:val="24"/>
          <w:highlight w:val="none"/>
        </w:rPr>
        <w:t>及复印件</w:t>
      </w:r>
      <w:r>
        <w:rPr>
          <w:rFonts w:ascii="宋体" w:hAnsi="宋体" w:cs="Arial"/>
          <w:color w:val="000000"/>
          <w:sz w:val="24"/>
          <w:highlight w:val="none"/>
        </w:rPr>
        <w:t>）</w:t>
      </w:r>
      <w:r>
        <w:rPr>
          <w:rFonts w:hint="eastAsia" w:ascii="宋体" w:hAnsi="宋体" w:cs="Arial"/>
          <w:color w:val="000000"/>
          <w:sz w:val="24"/>
          <w:highlight w:val="none"/>
        </w:rPr>
        <w:t>；</w:t>
      </w:r>
    </w:p>
    <w:p>
      <w:pPr>
        <w:numPr>
          <w:ilvl w:val="0"/>
          <w:numId w:val="13"/>
        </w:numPr>
        <w:spacing w:before="120" w:beforeLines="50" w:after="120" w:afterLines="50" w:line="360" w:lineRule="auto"/>
        <w:ind w:left="0" w:firstLine="480" w:firstLineChars="200"/>
        <w:rPr>
          <w:rFonts w:ascii="宋体" w:hAnsi="宋体" w:cs="Arial"/>
          <w:color w:val="000000"/>
          <w:sz w:val="24"/>
          <w:highlight w:val="none"/>
        </w:rPr>
      </w:pPr>
      <w:r>
        <w:rPr>
          <w:rFonts w:hint="eastAsia" w:ascii="宋体" w:hAnsi="宋体" w:cs="Arial"/>
          <w:color w:val="000000"/>
          <w:sz w:val="24"/>
          <w:highlight w:val="none"/>
        </w:rPr>
        <w:t>近3年内(20</w:t>
      </w:r>
      <w:r>
        <w:rPr>
          <w:rFonts w:hint="eastAsia" w:ascii="宋体" w:hAnsi="宋体" w:cs="Arial"/>
          <w:color w:val="000000"/>
          <w:sz w:val="24"/>
          <w:highlight w:val="none"/>
          <w:lang w:val="en-US" w:eastAsia="zh-CN"/>
        </w:rPr>
        <w:t>21</w:t>
      </w:r>
      <w:r>
        <w:rPr>
          <w:rFonts w:hint="eastAsia" w:ascii="宋体" w:hAnsi="宋体" w:cs="Arial"/>
          <w:color w:val="000000"/>
          <w:sz w:val="24"/>
          <w:highlight w:val="none"/>
        </w:rPr>
        <w:t>年1月1日至今) 完成过质量合格的类似项目业绩（需提供合同等相关证明材料复印件）；</w:t>
      </w:r>
    </w:p>
    <w:p>
      <w:pPr>
        <w:numPr>
          <w:ilvl w:val="0"/>
          <w:numId w:val="13"/>
        </w:numPr>
        <w:spacing w:before="120" w:beforeLines="50" w:after="120" w:afterLines="50" w:line="360" w:lineRule="auto"/>
        <w:ind w:left="0" w:firstLine="480" w:firstLineChars="200"/>
        <w:rPr>
          <w:rFonts w:ascii="宋体" w:hAnsi="宋体" w:cs="Arial"/>
          <w:color w:val="000000"/>
          <w:sz w:val="24"/>
          <w:highlight w:val="none"/>
        </w:rPr>
      </w:pPr>
      <w:r>
        <w:rPr>
          <w:rFonts w:hint="eastAsia" w:ascii="宋体" w:hAnsi="宋体" w:cs="Arial"/>
          <w:color w:val="000000"/>
          <w:sz w:val="24"/>
        </w:rPr>
        <w:t>专职安全员具有有效的安全生产考核合格证（C类）或建筑施工企业专职安全生产管理人员有安全生产考核合格证书（C3），提供复印件</w:t>
      </w:r>
      <w:r>
        <w:rPr>
          <w:rFonts w:hint="eastAsia" w:ascii="宋体" w:hAnsi="宋体" w:cs="Arial"/>
          <w:color w:val="000000"/>
          <w:sz w:val="24"/>
          <w:lang w:eastAsia="zh-CN"/>
        </w:rPr>
        <w:t>；</w:t>
      </w:r>
    </w:p>
    <w:p>
      <w:pPr>
        <w:numPr>
          <w:ilvl w:val="0"/>
          <w:numId w:val="13"/>
        </w:numPr>
        <w:spacing w:before="120" w:beforeLines="50" w:after="120" w:afterLines="50" w:line="360" w:lineRule="auto"/>
        <w:ind w:left="0" w:firstLine="480" w:firstLineChars="200"/>
        <w:rPr>
          <w:sz w:val="28"/>
          <w:szCs w:val="28"/>
          <w:highlight w:val="none"/>
        </w:rPr>
      </w:pPr>
      <w:r>
        <w:rPr>
          <w:rFonts w:hint="eastAsia" w:ascii="宋体" w:hAnsi="宋体" w:cs="Arial"/>
          <w:color w:val="000000"/>
          <w:sz w:val="24"/>
          <w:highlight w:val="none"/>
        </w:rPr>
        <w:t>投标人认为有必要的其他材料复印件</w:t>
      </w:r>
      <w:bookmarkEnd w:id="1"/>
      <w:r>
        <w:rPr>
          <w:rFonts w:hint="eastAsia" w:ascii="宋体" w:hAnsi="宋体" w:cs="Arial"/>
          <w:color w:val="000000"/>
          <w:sz w:val="24"/>
          <w:highlight w:val="none"/>
        </w:rPr>
        <w:t>。</w:t>
      </w:r>
    </w:p>
    <w:p>
      <w:pPr>
        <w:numPr>
          <w:ilvl w:val="0"/>
          <w:numId w:val="12"/>
        </w:numPr>
        <w:spacing w:before="120" w:beforeLines="50" w:after="120" w:afterLines="50" w:line="360" w:lineRule="auto"/>
        <w:ind w:left="0" w:firstLine="480" w:firstLineChars="200"/>
        <w:rPr>
          <w:sz w:val="24"/>
          <w:highlight w:val="none"/>
        </w:rPr>
      </w:pPr>
      <w:r>
        <w:rPr>
          <w:rFonts w:hint="eastAsia"/>
          <w:sz w:val="24"/>
          <w:highlight w:val="none"/>
        </w:rPr>
        <w:t>技术部分（格式自定，加盖公章）</w:t>
      </w:r>
    </w:p>
    <w:p>
      <w:pPr>
        <w:spacing w:before="120" w:beforeLines="50" w:after="120" w:afterLines="50" w:line="360" w:lineRule="auto"/>
        <w:ind w:firstLine="480" w:firstLineChars="200"/>
        <w:rPr>
          <w:sz w:val="24"/>
          <w:highlight w:val="none"/>
        </w:rPr>
      </w:pPr>
      <w:r>
        <w:rPr>
          <w:rFonts w:hint="eastAsia"/>
          <w:sz w:val="24"/>
          <w:highlight w:val="none"/>
        </w:rPr>
        <w:t>施工方案：施工单位应充分了解现场条件，并针对本项目制定切实可行的施工方案，包括但不限于：</w:t>
      </w:r>
    </w:p>
    <w:p>
      <w:pPr>
        <w:numPr>
          <w:ilvl w:val="0"/>
          <w:numId w:val="14"/>
        </w:numPr>
        <w:spacing w:before="120" w:beforeLines="50" w:after="120" w:afterLines="50" w:line="360" w:lineRule="auto"/>
        <w:ind w:left="0" w:firstLine="480" w:firstLineChars="200"/>
        <w:rPr>
          <w:rFonts w:ascii="宋体" w:hAnsi="宋体" w:cs="Arial"/>
          <w:color w:val="000000"/>
          <w:sz w:val="24"/>
          <w:highlight w:val="none"/>
        </w:rPr>
      </w:pPr>
      <w:bookmarkStart w:id="2" w:name="_Hlk33472829"/>
      <w:r>
        <w:rPr>
          <w:rFonts w:hint="eastAsia" w:ascii="宋体" w:hAnsi="宋体" w:cs="Arial"/>
          <w:color w:val="000000"/>
          <w:sz w:val="24"/>
          <w:highlight w:val="none"/>
          <w:lang w:val="en-US" w:eastAsia="zh-CN"/>
        </w:rPr>
        <w:t>总体</w:t>
      </w:r>
      <w:r>
        <w:rPr>
          <w:rFonts w:hint="eastAsia" w:ascii="宋体" w:hAnsi="宋体" w:cs="Arial"/>
          <w:color w:val="000000"/>
          <w:sz w:val="24"/>
          <w:highlight w:val="none"/>
        </w:rPr>
        <w:t>实施方案</w:t>
      </w:r>
      <w:r>
        <w:rPr>
          <w:rFonts w:hint="eastAsia" w:asciiTheme="minorEastAsia" w:hAnsiTheme="minorEastAsia" w:eastAsiaTheme="minorEastAsia" w:cstheme="minorEastAsia"/>
          <w:color w:val="000000"/>
          <w:sz w:val="24"/>
          <w:szCs w:val="24"/>
          <w:highlight w:val="none"/>
        </w:rPr>
        <w:t>；</w:t>
      </w:r>
    </w:p>
    <w:p>
      <w:pPr>
        <w:numPr>
          <w:ilvl w:val="0"/>
          <w:numId w:val="14"/>
        </w:numPr>
        <w:spacing w:before="120" w:beforeLines="50" w:after="120" w:afterLines="50" w:line="360" w:lineRule="auto"/>
        <w:ind w:left="0" w:firstLine="480" w:firstLineChars="200"/>
        <w:rPr>
          <w:rFonts w:ascii="宋体" w:hAnsi="宋体" w:cs="Arial"/>
          <w:color w:val="000000"/>
          <w:sz w:val="24"/>
          <w:highlight w:val="none"/>
        </w:rPr>
      </w:pPr>
      <w:r>
        <w:rPr>
          <w:rFonts w:hint="eastAsia" w:ascii="宋体" w:hAnsi="宋体" w:cs="Arial"/>
          <w:color w:val="000000"/>
          <w:sz w:val="24"/>
          <w:highlight w:val="none"/>
        </w:rPr>
        <w:t>实施进度计划和工期承诺书；</w:t>
      </w:r>
    </w:p>
    <w:p>
      <w:pPr>
        <w:numPr>
          <w:ilvl w:val="0"/>
          <w:numId w:val="14"/>
        </w:numPr>
        <w:spacing w:before="120" w:beforeLines="50" w:after="120" w:afterLines="50" w:line="360" w:lineRule="auto"/>
        <w:ind w:left="0" w:firstLine="480" w:firstLineChars="200"/>
        <w:rPr>
          <w:rFonts w:hint="eastAsia" w:ascii="宋体" w:hAnsi="宋体" w:cs="Arial"/>
          <w:color w:val="000000"/>
          <w:sz w:val="24"/>
          <w:highlight w:val="none"/>
        </w:rPr>
      </w:pPr>
      <w:r>
        <w:rPr>
          <w:rFonts w:hint="eastAsia" w:ascii="宋体" w:hAnsi="宋体" w:cs="Arial"/>
          <w:color w:val="000000"/>
          <w:sz w:val="24"/>
          <w:highlight w:val="none"/>
        </w:rPr>
        <w:t>确保实施进度的技术和组织措施</w:t>
      </w:r>
    </w:p>
    <w:p>
      <w:pPr>
        <w:numPr>
          <w:ilvl w:val="0"/>
          <w:numId w:val="14"/>
        </w:numPr>
        <w:spacing w:before="120" w:beforeLines="50" w:after="120" w:afterLines="50" w:line="360" w:lineRule="auto"/>
        <w:ind w:left="0" w:firstLine="480" w:firstLineChars="200"/>
        <w:rPr>
          <w:rFonts w:hint="eastAsia" w:ascii="宋体" w:hAnsi="宋体" w:cs="Arial"/>
          <w:color w:val="000000"/>
          <w:sz w:val="24"/>
          <w:highlight w:val="none"/>
        </w:rPr>
      </w:pPr>
      <w:r>
        <w:rPr>
          <w:rFonts w:hint="eastAsia" w:ascii="宋体" w:hAnsi="宋体" w:cs="Arial"/>
          <w:color w:val="000000"/>
          <w:sz w:val="24"/>
          <w:highlight w:val="none"/>
        </w:rPr>
        <w:t>确保安全文明施工的技术和组织措施；</w:t>
      </w:r>
    </w:p>
    <w:p>
      <w:pPr>
        <w:numPr>
          <w:ilvl w:val="0"/>
          <w:numId w:val="14"/>
        </w:numPr>
        <w:spacing w:before="120" w:beforeLines="50" w:after="120" w:afterLines="50" w:line="360" w:lineRule="auto"/>
        <w:ind w:left="0" w:firstLine="480" w:firstLineChars="200"/>
        <w:rPr>
          <w:rFonts w:ascii="宋体" w:hAnsi="宋体" w:cs="Arial"/>
          <w:color w:val="000000"/>
          <w:sz w:val="24"/>
          <w:highlight w:val="none"/>
        </w:rPr>
      </w:pPr>
      <w:r>
        <w:rPr>
          <w:rFonts w:hint="eastAsia" w:ascii="宋体" w:hAnsi="宋体" w:cs="Arial"/>
          <w:color w:val="000000"/>
          <w:sz w:val="24"/>
          <w:highlight w:val="none"/>
        </w:rPr>
        <w:t>投入的机械设备；</w:t>
      </w:r>
    </w:p>
    <w:p>
      <w:pPr>
        <w:numPr>
          <w:ilvl w:val="0"/>
          <w:numId w:val="14"/>
        </w:numPr>
        <w:spacing w:before="120" w:beforeLines="50" w:after="120" w:afterLines="50" w:line="360" w:lineRule="auto"/>
        <w:ind w:left="0" w:firstLine="480" w:firstLineChars="200"/>
        <w:rPr>
          <w:rFonts w:ascii="宋体" w:hAnsi="宋体" w:cs="Arial"/>
          <w:color w:val="000000"/>
          <w:sz w:val="24"/>
          <w:highlight w:val="none"/>
        </w:rPr>
      </w:pPr>
      <w:r>
        <w:rPr>
          <w:rFonts w:hint="eastAsia" w:ascii="宋体" w:hAnsi="宋体" w:cs="Arial"/>
          <w:color w:val="000000"/>
          <w:sz w:val="24"/>
          <w:highlight w:val="none"/>
        </w:rPr>
        <w:t>投标人认为其它需要说明的文字</w:t>
      </w:r>
      <w:bookmarkEnd w:id="2"/>
      <w:r>
        <w:rPr>
          <w:rFonts w:hint="eastAsia" w:ascii="宋体" w:hAnsi="宋体" w:cs="Arial"/>
          <w:color w:val="000000"/>
          <w:sz w:val="24"/>
          <w:highlight w:val="none"/>
        </w:rPr>
        <w:t>。</w:t>
      </w:r>
    </w:p>
    <w:p>
      <w:pPr>
        <w:numPr>
          <w:ilvl w:val="0"/>
          <w:numId w:val="12"/>
        </w:numPr>
        <w:spacing w:before="120" w:beforeLines="50" w:after="120" w:afterLines="50" w:line="360" w:lineRule="auto"/>
        <w:ind w:left="0" w:firstLine="480" w:firstLineChars="200"/>
        <w:rPr>
          <w:sz w:val="24"/>
          <w:highlight w:val="none"/>
        </w:rPr>
      </w:pPr>
      <w:r>
        <w:rPr>
          <w:rFonts w:hint="eastAsia"/>
          <w:sz w:val="24"/>
          <w:highlight w:val="none"/>
        </w:rPr>
        <w:t>价格文件（加盖公章）</w:t>
      </w:r>
    </w:p>
    <w:p>
      <w:pPr>
        <w:numPr>
          <w:ilvl w:val="0"/>
          <w:numId w:val="15"/>
        </w:numPr>
        <w:spacing w:before="120" w:beforeLines="50" w:after="120" w:afterLines="50" w:line="360" w:lineRule="auto"/>
        <w:ind w:left="0" w:firstLine="480" w:firstLineChars="200"/>
        <w:rPr>
          <w:rFonts w:ascii="宋体" w:hAnsi="宋体" w:cs="Arial"/>
          <w:color w:val="000000"/>
          <w:sz w:val="24"/>
          <w:highlight w:val="none"/>
        </w:rPr>
      </w:pPr>
      <w:bookmarkStart w:id="3" w:name="_Hlk33472852"/>
      <w:r>
        <w:rPr>
          <w:rFonts w:hint="eastAsia" w:ascii="宋体" w:hAnsi="宋体" w:cs="Arial"/>
          <w:color w:val="000000"/>
          <w:sz w:val="24"/>
          <w:highlight w:val="none"/>
        </w:rPr>
        <w:t>报价一览表（格式见附件1）</w:t>
      </w:r>
    </w:p>
    <w:p>
      <w:pPr>
        <w:numPr>
          <w:ilvl w:val="0"/>
          <w:numId w:val="15"/>
        </w:numPr>
        <w:spacing w:before="120" w:beforeLines="50" w:after="120" w:afterLines="50" w:line="360" w:lineRule="auto"/>
        <w:ind w:left="0" w:firstLine="480" w:firstLineChars="200"/>
        <w:rPr>
          <w:rFonts w:ascii="宋体" w:hAnsi="宋体" w:cs="Arial"/>
          <w:color w:val="000000"/>
          <w:sz w:val="24"/>
          <w:highlight w:val="none"/>
        </w:rPr>
      </w:pPr>
      <w:r>
        <w:rPr>
          <w:rFonts w:hint="eastAsia" w:ascii="宋体" w:hAnsi="宋体" w:cs="Arial"/>
          <w:color w:val="000000"/>
          <w:sz w:val="24"/>
          <w:highlight w:val="none"/>
        </w:rPr>
        <w:t>报价明细表：采用工程量清单计价，按本竞选文件所附工程量清单和乙供主要材料清单报价，并以此作为结算依据，包括但不限于工程量清单和乙供主要材料清单各项目单价及综合总报价，并注明未含税总价、税率和含税总价</w:t>
      </w:r>
      <w:bookmarkEnd w:id="3"/>
      <w:r>
        <w:rPr>
          <w:rFonts w:hint="eastAsia" w:ascii="宋体" w:hAnsi="宋体" w:cs="Arial"/>
          <w:color w:val="000000"/>
          <w:sz w:val="24"/>
          <w:highlight w:val="none"/>
        </w:rPr>
        <w:t>。</w:t>
      </w:r>
    </w:p>
    <w:p>
      <w:pPr>
        <w:numPr>
          <w:ilvl w:val="0"/>
          <w:numId w:val="1"/>
        </w:numPr>
        <w:spacing w:before="120" w:beforeLines="50" w:after="120" w:afterLines="50" w:line="360" w:lineRule="auto"/>
        <w:ind w:left="0" w:firstLine="482" w:firstLineChars="200"/>
        <w:rPr>
          <w:rFonts w:ascii="宋体" w:hAnsi="宋体"/>
          <w:b/>
          <w:sz w:val="24"/>
          <w:highlight w:val="none"/>
        </w:rPr>
      </w:pPr>
      <w:r>
        <w:rPr>
          <w:rFonts w:hint="eastAsia" w:ascii="宋体" w:hAnsi="宋体"/>
          <w:b/>
          <w:sz w:val="24"/>
          <w:highlight w:val="none"/>
        </w:rPr>
        <w:t>评标方法</w:t>
      </w:r>
    </w:p>
    <w:p>
      <w:pPr>
        <w:spacing w:before="120" w:beforeLines="50" w:after="120" w:afterLines="50" w:line="360" w:lineRule="auto"/>
        <w:ind w:firstLine="480" w:firstLineChars="200"/>
        <w:rPr>
          <w:sz w:val="24"/>
          <w:highlight w:val="none"/>
        </w:rPr>
      </w:pPr>
      <w:bookmarkStart w:id="4" w:name="_Hlk33472865"/>
      <w:r>
        <w:rPr>
          <w:rFonts w:hint="eastAsia"/>
          <w:sz w:val="24"/>
          <w:highlight w:val="none"/>
        </w:rPr>
        <w:t>本项目采用经评审的最低</w:t>
      </w:r>
      <w:r>
        <w:rPr>
          <w:rFonts w:hint="eastAsia"/>
          <w:sz w:val="24"/>
          <w:highlight w:val="none"/>
          <w:lang w:val="en-US" w:eastAsia="zh-CN"/>
        </w:rPr>
        <w:t>评</w:t>
      </w:r>
      <w:r>
        <w:rPr>
          <w:rFonts w:hint="eastAsia"/>
          <w:sz w:val="24"/>
          <w:highlight w:val="none"/>
        </w:rPr>
        <w:t>标价加信用评分评标，对投标人进行价格和信用评审，其中价格评审部分占</w:t>
      </w:r>
      <w:r>
        <w:rPr>
          <w:sz w:val="24"/>
          <w:highlight w:val="none"/>
        </w:rPr>
        <w:t>90%</w:t>
      </w:r>
      <w:r>
        <w:rPr>
          <w:rFonts w:hint="eastAsia"/>
          <w:sz w:val="24"/>
          <w:highlight w:val="none"/>
        </w:rPr>
        <w:t>，供应商诚信部分占</w:t>
      </w:r>
      <w:r>
        <w:rPr>
          <w:sz w:val="24"/>
          <w:highlight w:val="none"/>
        </w:rPr>
        <w:t>10%</w:t>
      </w:r>
      <w:r>
        <w:rPr>
          <w:rFonts w:hint="eastAsia"/>
          <w:sz w:val="24"/>
          <w:highlight w:val="none"/>
        </w:rPr>
        <w:t>，投标人</w:t>
      </w:r>
      <w:r>
        <w:rPr>
          <w:rFonts w:hint="eastAsia" w:ascii="宋体" w:hAnsi="宋体"/>
          <w:sz w:val="24"/>
          <w:highlight w:val="none"/>
        </w:rPr>
        <w:t>评审</w:t>
      </w:r>
      <w:r>
        <w:rPr>
          <w:rFonts w:hint="eastAsia"/>
          <w:sz w:val="24"/>
          <w:highlight w:val="none"/>
        </w:rPr>
        <w:t>得分</w:t>
      </w:r>
      <w:r>
        <w:rPr>
          <w:sz w:val="24"/>
          <w:highlight w:val="none"/>
        </w:rPr>
        <w:t>=</w:t>
      </w:r>
      <w:r>
        <w:rPr>
          <w:rFonts w:hint="eastAsia"/>
          <w:sz w:val="24"/>
          <w:highlight w:val="none"/>
        </w:rPr>
        <w:t>价格得分</w:t>
      </w:r>
      <w:r>
        <w:rPr>
          <w:sz w:val="24"/>
          <w:highlight w:val="none"/>
        </w:rPr>
        <w:t>+</w:t>
      </w:r>
      <w:r>
        <w:rPr>
          <w:rFonts w:hint="eastAsia"/>
          <w:sz w:val="24"/>
          <w:highlight w:val="none"/>
        </w:rPr>
        <w:t>诚信分。以经评审的最低投标报价作为评标基准价，当投标价等于评标基准价时价格分得满分，投标价每高于评标基准价</w:t>
      </w:r>
      <w:r>
        <w:rPr>
          <w:sz w:val="24"/>
          <w:highlight w:val="none"/>
        </w:rPr>
        <w:t>1%</w:t>
      </w:r>
      <w:r>
        <w:rPr>
          <w:rFonts w:hint="eastAsia"/>
          <w:sz w:val="24"/>
          <w:highlight w:val="none"/>
        </w:rPr>
        <w:t>扣</w:t>
      </w:r>
      <w:r>
        <w:rPr>
          <w:sz w:val="24"/>
          <w:highlight w:val="none"/>
        </w:rPr>
        <w:t>1</w:t>
      </w:r>
      <w:r>
        <w:rPr>
          <w:rFonts w:hint="eastAsia"/>
          <w:sz w:val="24"/>
          <w:highlight w:val="none"/>
        </w:rPr>
        <w:t>分，扣至</w:t>
      </w:r>
      <w:r>
        <w:rPr>
          <w:sz w:val="24"/>
          <w:highlight w:val="none"/>
        </w:rPr>
        <w:t>0</w:t>
      </w:r>
      <w:r>
        <w:rPr>
          <w:rFonts w:hint="eastAsia"/>
          <w:sz w:val="24"/>
          <w:highlight w:val="none"/>
        </w:rPr>
        <w:t>分为止。供应商诚信分以评标当天采购人供应商管理系统查到的分值直接计取（供应商诚信分原始分为</w:t>
      </w:r>
      <w:r>
        <w:rPr>
          <w:sz w:val="24"/>
          <w:highlight w:val="none"/>
        </w:rPr>
        <w:t>0</w:t>
      </w:r>
      <w:r>
        <w:rPr>
          <w:rFonts w:hint="eastAsia"/>
          <w:sz w:val="24"/>
          <w:highlight w:val="none"/>
        </w:rPr>
        <w:t>分），投标人不在供应商管理系统内的，诚信分按</w:t>
      </w:r>
      <w:r>
        <w:rPr>
          <w:sz w:val="24"/>
          <w:highlight w:val="none"/>
        </w:rPr>
        <w:t>0</w:t>
      </w:r>
      <w:r>
        <w:rPr>
          <w:rFonts w:hint="eastAsia"/>
          <w:sz w:val="24"/>
          <w:highlight w:val="none"/>
        </w:rPr>
        <w:t>分计算。供应商诚信分在采购人官方网站上定期公布。同时通过投标人资格审查（见附件</w:t>
      </w:r>
      <w:r>
        <w:rPr>
          <w:sz w:val="24"/>
          <w:highlight w:val="none"/>
        </w:rPr>
        <w:t>5</w:t>
      </w:r>
      <w:r>
        <w:rPr>
          <w:rFonts w:hint="eastAsia"/>
          <w:sz w:val="24"/>
          <w:highlight w:val="none"/>
        </w:rPr>
        <w:t>）和投标文件有效性审查（见附件</w:t>
      </w:r>
      <w:r>
        <w:rPr>
          <w:sz w:val="24"/>
          <w:highlight w:val="none"/>
        </w:rPr>
        <w:t>6</w:t>
      </w:r>
      <w:r>
        <w:rPr>
          <w:rFonts w:hint="eastAsia"/>
          <w:sz w:val="24"/>
          <w:highlight w:val="none"/>
        </w:rPr>
        <w:t>）后，各投标人按综合评分由高至低的顺序依次排列，排名第一为第一中标候选人。采购人对中标人实行信用评价管理，中标后采购人将中标人纳入供应商管理系统，按项目对中标人的合同履约行为进行考核，具体按采购人供应商管理办法进行。</w:t>
      </w:r>
    </w:p>
    <w:bookmarkEnd w:id="4"/>
    <w:p>
      <w:pPr>
        <w:numPr>
          <w:ilvl w:val="0"/>
          <w:numId w:val="1"/>
        </w:numPr>
        <w:spacing w:before="120" w:beforeLines="50" w:after="120" w:afterLines="50" w:line="360" w:lineRule="auto"/>
        <w:ind w:left="0" w:firstLine="482" w:firstLineChars="200"/>
        <w:rPr>
          <w:rFonts w:ascii="宋体" w:hAnsi="宋体"/>
          <w:b/>
          <w:sz w:val="24"/>
          <w:highlight w:val="none"/>
        </w:rPr>
      </w:pPr>
      <w:r>
        <w:rPr>
          <w:rFonts w:hint="eastAsia" w:ascii="宋体" w:hAnsi="宋体"/>
          <w:b/>
          <w:sz w:val="24"/>
          <w:highlight w:val="none"/>
        </w:rPr>
        <w:t>勘踏现场</w:t>
      </w:r>
    </w:p>
    <w:p>
      <w:pPr>
        <w:spacing w:before="120" w:beforeLines="50" w:after="120" w:afterLines="50" w:line="360" w:lineRule="auto"/>
        <w:ind w:firstLine="480" w:firstLineChars="200"/>
        <w:rPr>
          <w:sz w:val="24"/>
          <w:highlight w:val="none"/>
        </w:rPr>
      </w:pPr>
      <w:bookmarkStart w:id="5" w:name="_Hlk33472887"/>
      <w:r>
        <w:rPr>
          <w:rFonts w:hint="eastAsia"/>
          <w:sz w:val="24"/>
          <w:highlight w:val="none"/>
        </w:rPr>
        <w:t>投标人有必要勘踏现场，充分了解清楚施工现场的环境和要求，以便投标人获取那些须投标人自己负责的有关编制投标文件和签署合同所涉及现场所有的资料。一旦中标，这种考察即被认为其结果已在中标文件中得到充分反映。考察现场的费用由投标人自己承担，如因对现场不了解导致报价的失误，由投标人承担</w:t>
      </w:r>
      <w:bookmarkEnd w:id="5"/>
      <w:r>
        <w:rPr>
          <w:rFonts w:hint="eastAsia"/>
          <w:sz w:val="24"/>
          <w:highlight w:val="none"/>
        </w:rPr>
        <w:t>。勘踏现场时间：</w:t>
      </w:r>
      <w:r>
        <w:rPr>
          <w:sz w:val="24"/>
          <w:highlight w:val="none"/>
        </w:rPr>
        <w:t>202</w:t>
      </w:r>
      <w:r>
        <w:rPr>
          <w:rFonts w:hint="eastAsia"/>
          <w:sz w:val="24"/>
          <w:highlight w:val="none"/>
          <w:lang w:val="en-US" w:eastAsia="zh-CN"/>
        </w:rPr>
        <w:t>4</w:t>
      </w:r>
      <w:r>
        <w:rPr>
          <w:rFonts w:hint="eastAsia"/>
          <w:color w:val="FF0000"/>
          <w:sz w:val="24"/>
          <w:highlight w:val="none"/>
        </w:rPr>
        <w:t>年</w:t>
      </w:r>
      <w:r>
        <w:rPr>
          <w:rFonts w:hint="eastAsia"/>
          <w:color w:val="FF0000"/>
          <w:sz w:val="24"/>
          <w:highlight w:val="none"/>
          <w:lang w:val="en-US" w:eastAsia="zh-CN"/>
        </w:rPr>
        <w:t>4</w:t>
      </w:r>
      <w:r>
        <w:rPr>
          <w:rFonts w:hint="eastAsia"/>
          <w:color w:val="FF0000"/>
          <w:sz w:val="24"/>
          <w:highlight w:val="none"/>
        </w:rPr>
        <w:t>月</w:t>
      </w:r>
      <w:r>
        <w:rPr>
          <w:rFonts w:hint="eastAsia"/>
          <w:color w:val="FF0000"/>
          <w:sz w:val="24"/>
          <w:highlight w:val="none"/>
          <w:lang w:val="en-US" w:eastAsia="zh-CN"/>
        </w:rPr>
        <w:t>1</w:t>
      </w:r>
      <w:r>
        <w:rPr>
          <w:rFonts w:hint="eastAsia"/>
          <w:color w:val="FF0000"/>
          <w:sz w:val="24"/>
          <w:highlight w:val="none"/>
        </w:rPr>
        <w:t>日</w:t>
      </w:r>
      <w:r>
        <w:rPr>
          <w:rFonts w:hint="eastAsia"/>
          <w:sz w:val="24"/>
          <w:highlight w:val="none"/>
          <w:lang w:val="en-US" w:eastAsia="zh-CN"/>
        </w:rPr>
        <w:t>10</w:t>
      </w:r>
      <w:r>
        <w:rPr>
          <w:rFonts w:hint="eastAsia"/>
          <w:sz w:val="24"/>
          <w:highlight w:val="none"/>
        </w:rPr>
        <w:t>时</w:t>
      </w:r>
      <w:r>
        <w:rPr>
          <w:rFonts w:hint="eastAsia"/>
          <w:sz w:val="24"/>
          <w:highlight w:val="none"/>
          <w:lang w:val="en-US" w:eastAsia="zh-CN"/>
        </w:rPr>
        <w:t>0</w:t>
      </w:r>
      <w:r>
        <w:rPr>
          <w:rFonts w:hint="eastAsia"/>
          <w:sz w:val="24"/>
          <w:highlight w:val="none"/>
        </w:rPr>
        <w:t>分，集中地点：广州市番禺区大学城明志街1号信息枢纽楼一楼西门。勘踏现场联系人生产部</w:t>
      </w:r>
      <w:r>
        <w:rPr>
          <w:rFonts w:hint="eastAsia"/>
          <w:sz w:val="24"/>
          <w:highlight w:val="none"/>
          <w:lang w:val="en-US" w:eastAsia="zh-CN"/>
        </w:rPr>
        <w:t>周工</w:t>
      </w:r>
      <w:r>
        <w:rPr>
          <w:rFonts w:hint="eastAsia"/>
          <w:sz w:val="24"/>
          <w:highlight w:val="none"/>
        </w:rPr>
        <w:t>，联系电话：</w:t>
      </w:r>
      <w:r>
        <w:rPr>
          <w:rFonts w:hint="eastAsia"/>
          <w:sz w:val="24"/>
          <w:highlight w:val="none"/>
          <w:lang w:val="en-US" w:eastAsia="zh-CN"/>
        </w:rPr>
        <w:t>020-39302059</w:t>
      </w:r>
      <w:r>
        <w:rPr>
          <w:rFonts w:hint="eastAsia"/>
          <w:sz w:val="24"/>
          <w:highlight w:val="none"/>
        </w:rPr>
        <w:t>。投标人未在规定时间勘踏现场的，采购人不再另行组织，由投标人自行前往勘踏。</w:t>
      </w:r>
    </w:p>
    <w:p>
      <w:pPr>
        <w:numPr>
          <w:ilvl w:val="0"/>
          <w:numId w:val="1"/>
        </w:numPr>
        <w:spacing w:before="120" w:beforeLines="50" w:after="120" w:afterLines="50" w:line="360" w:lineRule="auto"/>
        <w:ind w:left="0" w:firstLine="482" w:firstLineChars="200"/>
        <w:rPr>
          <w:rFonts w:ascii="宋体" w:hAnsi="宋体"/>
          <w:b/>
          <w:sz w:val="24"/>
          <w:highlight w:val="none"/>
        </w:rPr>
      </w:pPr>
      <w:bookmarkStart w:id="6" w:name="_Hlk33473031"/>
      <w:r>
        <w:rPr>
          <w:rFonts w:hint="eastAsia" w:ascii="宋体" w:hAnsi="宋体"/>
          <w:b/>
          <w:sz w:val="24"/>
          <w:highlight w:val="none"/>
        </w:rPr>
        <w:t>递交投标文件</w:t>
      </w:r>
    </w:p>
    <w:p>
      <w:pPr>
        <w:numPr>
          <w:ilvl w:val="0"/>
          <w:numId w:val="16"/>
        </w:numPr>
        <w:spacing w:before="120" w:beforeLines="50" w:after="120" w:afterLines="50" w:line="360" w:lineRule="auto"/>
        <w:ind w:left="0" w:firstLine="480" w:firstLineChars="200"/>
        <w:rPr>
          <w:sz w:val="24"/>
          <w:highlight w:val="none"/>
        </w:rPr>
      </w:pPr>
      <w:bookmarkStart w:id="7" w:name="_Hlk33472917"/>
      <w:bookmarkStart w:id="8" w:name="_Hlk33473061"/>
      <w:r>
        <w:rPr>
          <w:rFonts w:hint="eastAsia"/>
          <w:sz w:val="24"/>
          <w:highlight w:val="none"/>
        </w:rPr>
        <w:t>投标文件递交截止时间</w:t>
      </w:r>
      <w:r>
        <w:rPr>
          <w:rFonts w:hint="eastAsia"/>
          <w:color w:val="FF0000"/>
          <w:sz w:val="24"/>
          <w:highlight w:val="none"/>
        </w:rPr>
        <w:t>：</w:t>
      </w:r>
      <w:r>
        <w:rPr>
          <w:color w:val="FF0000"/>
          <w:sz w:val="24"/>
          <w:highlight w:val="none"/>
        </w:rPr>
        <w:t>202</w:t>
      </w:r>
      <w:r>
        <w:rPr>
          <w:rFonts w:hint="eastAsia"/>
          <w:color w:val="FF0000"/>
          <w:sz w:val="24"/>
          <w:highlight w:val="none"/>
          <w:lang w:val="en-US" w:eastAsia="zh-CN"/>
        </w:rPr>
        <w:t>4</w:t>
      </w:r>
      <w:r>
        <w:rPr>
          <w:rFonts w:hint="eastAsia"/>
          <w:color w:val="FF0000"/>
          <w:sz w:val="24"/>
          <w:highlight w:val="none"/>
        </w:rPr>
        <w:t>年</w:t>
      </w:r>
      <w:r>
        <w:rPr>
          <w:rFonts w:hint="eastAsia"/>
          <w:color w:val="FF0000"/>
          <w:sz w:val="24"/>
          <w:highlight w:val="none"/>
          <w:lang w:val="en-US" w:eastAsia="zh-CN"/>
        </w:rPr>
        <w:t>4</w:t>
      </w:r>
      <w:r>
        <w:rPr>
          <w:rFonts w:hint="eastAsia"/>
          <w:color w:val="FF0000"/>
          <w:sz w:val="24"/>
          <w:highlight w:val="none"/>
        </w:rPr>
        <w:t>月</w:t>
      </w:r>
      <w:r>
        <w:rPr>
          <w:rFonts w:hint="eastAsia"/>
          <w:color w:val="FF0000"/>
          <w:sz w:val="24"/>
          <w:highlight w:val="none"/>
          <w:lang w:val="en-US" w:eastAsia="zh-CN"/>
        </w:rPr>
        <w:t>3</w:t>
      </w:r>
      <w:r>
        <w:rPr>
          <w:rFonts w:hint="eastAsia"/>
          <w:color w:val="FF0000"/>
          <w:sz w:val="24"/>
          <w:highlight w:val="none"/>
        </w:rPr>
        <w:t>日</w:t>
      </w:r>
      <w:r>
        <w:rPr>
          <w:rFonts w:hint="eastAsia"/>
          <w:sz w:val="24"/>
          <w:highlight w:val="none"/>
        </w:rPr>
        <w:t>北京时间15时</w:t>
      </w:r>
      <w:r>
        <w:rPr>
          <w:rFonts w:hint="eastAsia"/>
          <w:sz w:val="24"/>
          <w:highlight w:val="none"/>
          <w:lang w:val="en-US" w:eastAsia="zh-CN"/>
        </w:rPr>
        <w:t>30</w:t>
      </w:r>
      <w:r>
        <w:rPr>
          <w:rFonts w:hint="eastAsia"/>
          <w:sz w:val="24"/>
          <w:highlight w:val="none"/>
        </w:rPr>
        <w:t>分前。以密封的形式提供投标文件到：广州市番禺区大学城明志街1号信息枢纽楼前台。投标文件信封或外包装上应当注明采购项目名称、投标人名称和“在（竞选文件中规定的开标日期）之前不得启封”的字样，封口处应加盖投标人印章。采购人接受现场递交或邮寄两种方式。采用邮寄方式的，应在邮寄外包装袋上注明“</w:t>
      </w:r>
      <w:r>
        <w:rPr>
          <w:rFonts w:hint="eastAsia" w:ascii="宋体"/>
          <w:sz w:val="24"/>
          <w:highlight w:val="none"/>
          <w:lang w:eastAsia="zh-CN"/>
        </w:rPr>
        <w:t>3#冷站首层室内参观区域外观质量提升工程</w:t>
      </w:r>
      <w:r>
        <w:rPr>
          <w:rFonts w:hint="eastAsia"/>
          <w:sz w:val="24"/>
          <w:highlight w:val="none"/>
        </w:rPr>
        <w:t>”字样。投标人递交投标文件后，请联系采购人确认。</w:t>
      </w:r>
    </w:p>
    <w:p>
      <w:pPr>
        <w:numPr>
          <w:ilvl w:val="0"/>
          <w:numId w:val="16"/>
        </w:numPr>
        <w:spacing w:before="120" w:beforeLines="50" w:after="120" w:afterLines="50" w:line="360" w:lineRule="auto"/>
        <w:ind w:left="0" w:firstLine="480" w:firstLineChars="200"/>
        <w:rPr>
          <w:sz w:val="24"/>
          <w:highlight w:val="none"/>
        </w:rPr>
      </w:pPr>
      <w:r>
        <w:rPr>
          <w:sz w:val="24"/>
          <w:highlight w:val="none"/>
        </w:rPr>
        <w:t>投标文</w:t>
      </w:r>
      <w:r>
        <w:rPr>
          <w:rFonts w:hint="eastAsia"/>
          <w:sz w:val="24"/>
          <w:highlight w:val="none"/>
        </w:rPr>
        <w:t>件逾期递交、未送达指定地点的、或未按要求密封的，采购人有权不予受理</w:t>
      </w:r>
      <w:bookmarkEnd w:id="7"/>
      <w:r>
        <w:rPr>
          <w:sz w:val="24"/>
          <w:highlight w:val="none"/>
        </w:rPr>
        <w:t>。</w:t>
      </w:r>
    </w:p>
    <w:bookmarkEnd w:id="8"/>
    <w:p>
      <w:pPr>
        <w:numPr>
          <w:ilvl w:val="0"/>
          <w:numId w:val="1"/>
        </w:numPr>
        <w:spacing w:before="120" w:beforeLines="50" w:after="120" w:afterLines="50" w:line="360" w:lineRule="auto"/>
        <w:ind w:left="0" w:firstLine="482" w:firstLineChars="200"/>
        <w:rPr>
          <w:rFonts w:ascii="宋体" w:hAnsi="宋体"/>
          <w:b/>
          <w:sz w:val="24"/>
          <w:highlight w:val="none"/>
        </w:rPr>
      </w:pPr>
      <w:bookmarkStart w:id="9" w:name="_Hlk33473147"/>
      <w:bookmarkStart w:id="10" w:name="_Hlk33472987"/>
      <w:r>
        <w:rPr>
          <w:rFonts w:hint="eastAsia" w:ascii="宋体" w:hAnsi="宋体"/>
          <w:b/>
          <w:sz w:val="24"/>
          <w:highlight w:val="none"/>
        </w:rPr>
        <w:t>公开发布</w:t>
      </w:r>
    </w:p>
    <w:p>
      <w:pPr>
        <w:spacing w:before="120" w:beforeLines="50" w:after="120" w:afterLines="50" w:line="360" w:lineRule="auto"/>
        <w:ind w:firstLine="480" w:firstLineChars="200"/>
        <w:rPr>
          <w:sz w:val="24"/>
          <w:highlight w:val="none"/>
        </w:rPr>
      </w:pPr>
      <w:r>
        <w:rPr>
          <w:rFonts w:hint="eastAsia"/>
          <w:sz w:val="24"/>
          <w:highlight w:val="none"/>
        </w:rPr>
        <w:t>本竞选文件在</w:t>
      </w:r>
      <w:r>
        <w:rPr>
          <w:rFonts w:hint="eastAsia"/>
          <w:color w:val="auto"/>
          <w:sz w:val="24"/>
          <w:szCs w:val="24"/>
        </w:rPr>
        <w:t>广州国企阳光采购服务平台（http://ygcg.gzggzy.cn））</w:t>
      </w:r>
      <w:r>
        <w:rPr>
          <w:rFonts w:hint="eastAsia"/>
          <w:sz w:val="24"/>
          <w:highlight w:val="none"/>
        </w:rPr>
        <w:t>、</w:t>
      </w:r>
      <w:r>
        <w:rPr>
          <w:rFonts w:hint="eastAsia"/>
          <w:sz w:val="24"/>
          <w:highlight w:val="none"/>
          <w:lang w:eastAsia="zh-CN"/>
        </w:rPr>
        <w:t>广州城投综合能源投资经营管理有限公司</w:t>
      </w:r>
      <w:r>
        <w:rPr>
          <w:rFonts w:hint="eastAsia"/>
          <w:sz w:val="24"/>
          <w:highlight w:val="none"/>
        </w:rPr>
        <w:t>网站（网址：</w:t>
      </w:r>
      <w:r>
        <w:rPr>
          <w:sz w:val="24"/>
          <w:highlight w:val="none"/>
        </w:rPr>
        <w:t>https://www.gzuci.com/</w:t>
      </w:r>
      <w:r>
        <w:rPr>
          <w:rFonts w:hint="eastAsia"/>
          <w:sz w:val="24"/>
          <w:highlight w:val="none"/>
        </w:rPr>
        <w:t>）同时发布。本竞选文件在各媒体发布的文本如有不同之处，以在广州大学城投资经营管理有限公司网站发布的文本为准。</w:t>
      </w:r>
    </w:p>
    <w:bookmarkEnd w:id="9"/>
    <w:p>
      <w:pPr>
        <w:numPr>
          <w:ilvl w:val="0"/>
          <w:numId w:val="1"/>
        </w:numPr>
        <w:spacing w:before="120" w:beforeLines="50" w:after="120" w:afterLines="50" w:line="360" w:lineRule="auto"/>
        <w:ind w:left="0" w:firstLine="482" w:firstLineChars="200"/>
        <w:rPr>
          <w:rFonts w:ascii="宋体" w:hAnsi="宋体"/>
          <w:b/>
          <w:sz w:val="24"/>
          <w:highlight w:val="none"/>
        </w:rPr>
      </w:pPr>
      <w:r>
        <w:rPr>
          <w:rFonts w:hint="eastAsia" w:ascii="宋体" w:hAnsi="宋体"/>
          <w:b/>
          <w:sz w:val="24"/>
          <w:highlight w:val="none"/>
        </w:rPr>
        <w:t>采购人地址和联系方式</w:t>
      </w:r>
    </w:p>
    <w:p>
      <w:pPr>
        <w:spacing w:before="120" w:beforeLines="50" w:after="120" w:afterLines="50" w:line="360" w:lineRule="auto"/>
        <w:ind w:firstLine="480" w:firstLineChars="200"/>
        <w:rPr>
          <w:rFonts w:hint="eastAsia" w:ascii="宋体" w:hAnsi="宋体"/>
          <w:sz w:val="24"/>
          <w:highlight w:val="none"/>
          <w:lang w:eastAsia="zh-CN"/>
        </w:rPr>
      </w:pPr>
      <w:r>
        <w:rPr>
          <w:rFonts w:hint="eastAsia" w:ascii="宋体" w:hAnsi="宋体"/>
          <w:sz w:val="24"/>
          <w:highlight w:val="none"/>
        </w:rPr>
        <w:t>采购单位：</w:t>
      </w:r>
      <w:r>
        <w:rPr>
          <w:rFonts w:hint="eastAsia" w:ascii="宋体" w:hAnsi="宋体"/>
          <w:sz w:val="24"/>
          <w:highlight w:val="none"/>
          <w:lang w:eastAsia="zh-CN"/>
        </w:rPr>
        <w:t>广州城投综合能源投资经营管理有限公司</w:t>
      </w:r>
    </w:p>
    <w:p>
      <w:pPr>
        <w:spacing w:before="120" w:beforeLines="50" w:after="120" w:afterLines="50" w:line="360" w:lineRule="auto"/>
        <w:ind w:firstLine="480" w:firstLineChars="200"/>
        <w:rPr>
          <w:rFonts w:ascii="宋体" w:hAnsi="宋体"/>
          <w:sz w:val="24"/>
          <w:highlight w:val="none"/>
        </w:rPr>
      </w:pPr>
      <w:r>
        <w:rPr>
          <w:rFonts w:hint="eastAsia" w:ascii="宋体" w:hAnsi="宋体"/>
          <w:sz w:val="24"/>
          <w:highlight w:val="none"/>
        </w:rPr>
        <w:t>联系地址：广州市番禺区大学城明志街</w:t>
      </w:r>
      <w:r>
        <w:rPr>
          <w:rFonts w:ascii="宋体" w:hAnsi="宋体"/>
          <w:sz w:val="24"/>
          <w:highlight w:val="none"/>
        </w:rPr>
        <w:t>1</w:t>
      </w:r>
      <w:r>
        <w:rPr>
          <w:rFonts w:hint="eastAsia" w:ascii="宋体" w:hAnsi="宋体"/>
          <w:sz w:val="24"/>
          <w:highlight w:val="none"/>
        </w:rPr>
        <w:t>号信息枢纽楼9楼</w:t>
      </w:r>
    </w:p>
    <w:p>
      <w:pPr>
        <w:spacing w:before="120" w:beforeLines="50" w:after="120" w:afterLines="50" w:line="360" w:lineRule="auto"/>
        <w:ind w:firstLine="480" w:firstLineChars="200"/>
        <w:rPr>
          <w:rFonts w:hint="default" w:ascii="宋体" w:hAnsi="宋体" w:eastAsia="宋体"/>
          <w:sz w:val="24"/>
          <w:highlight w:val="none"/>
          <w:lang w:val="en-US" w:eastAsia="zh-CN"/>
        </w:rPr>
      </w:pPr>
      <w:r>
        <w:rPr>
          <w:rFonts w:hint="eastAsia" w:ascii="宋体" w:hAnsi="宋体"/>
          <w:sz w:val="24"/>
          <w:highlight w:val="none"/>
        </w:rPr>
        <w:t>联系人：</w:t>
      </w:r>
      <w:r>
        <w:rPr>
          <w:rFonts w:hint="eastAsia" w:ascii="宋体" w:hAnsi="宋体"/>
          <w:sz w:val="24"/>
          <w:highlight w:val="none"/>
          <w:lang w:val="en-US" w:eastAsia="zh-CN"/>
        </w:rPr>
        <w:t>詹工</w:t>
      </w:r>
    </w:p>
    <w:p>
      <w:pPr>
        <w:spacing w:before="120" w:beforeLines="50" w:after="120" w:afterLines="50" w:line="360" w:lineRule="auto"/>
        <w:ind w:firstLine="480" w:firstLineChars="200"/>
        <w:rPr>
          <w:rFonts w:hint="eastAsia" w:ascii="宋体" w:hAnsi="宋体" w:eastAsia="宋体"/>
          <w:sz w:val="24"/>
          <w:highlight w:val="none"/>
          <w:lang w:val="en-US" w:eastAsia="zh-CN"/>
        </w:rPr>
      </w:pPr>
      <w:r>
        <w:rPr>
          <w:rFonts w:hint="eastAsia" w:ascii="宋体" w:hAnsi="宋体"/>
          <w:sz w:val="24"/>
          <w:highlight w:val="none"/>
        </w:rPr>
        <w:t>联系电话：0</w:t>
      </w:r>
      <w:r>
        <w:rPr>
          <w:rFonts w:ascii="宋体" w:hAnsi="宋体"/>
          <w:sz w:val="24"/>
          <w:highlight w:val="none"/>
        </w:rPr>
        <w:t>20</w:t>
      </w:r>
      <w:r>
        <w:rPr>
          <w:rFonts w:hint="eastAsia" w:ascii="宋体" w:hAnsi="宋体"/>
          <w:sz w:val="24"/>
          <w:highlight w:val="none"/>
        </w:rPr>
        <w:t>-</w:t>
      </w:r>
      <w:r>
        <w:rPr>
          <w:rFonts w:ascii="宋体" w:hAnsi="宋体"/>
          <w:sz w:val="24"/>
          <w:highlight w:val="none"/>
        </w:rPr>
        <w:t>3930207</w:t>
      </w:r>
      <w:r>
        <w:rPr>
          <w:rFonts w:hint="eastAsia" w:ascii="宋体" w:hAnsi="宋体"/>
          <w:sz w:val="24"/>
          <w:highlight w:val="none"/>
          <w:lang w:val="en-US" w:eastAsia="zh-CN"/>
        </w:rPr>
        <w:t>7</w:t>
      </w:r>
    </w:p>
    <w:p>
      <w:pPr>
        <w:spacing w:before="120" w:beforeLines="50" w:after="120" w:afterLines="50" w:line="360" w:lineRule="auto"/>
        <w:ind w:firstLine="480" w:firstLineChars="200"/>
        <w:rPr>
          <w:rFonts w:ascii="宋体" w:hAnsi="宋体"/>
          <w:sz w:val="24"/>
          <w:highlight w:val="none"/>
        </w:rPr>
      </w:pPr>
      <w:bookmarkStart w:id="11" w:name="_Hlk33473223"/>
      <w:r>
        <w:rPr>
          <w:rFonts w:hint="eastAsia" w:ascii="宋体" w:hAnsi="宋体"/>
          <w:sz w:val="24"/>
          <w:highlight w:val="none"/>
        </w:rPr>
        <w:t>附件1：报价一览表</w:t>
      </w:r>
    </w:p>
    <w:p>
      <w:pPr>
        <w:spacing w:before="120" w:beforeLines="50" w:after="120" w:afterLines="50" w:line="360" w:lineRule="auto"/>
        <w:ind w:firstLine="480" w:firstLineChars="200"/>
        <w:rPr>
          <w:rFonts w:ascii="宋体" w:hAnsi="宋体"/>
          <w:sz w:val="24"/>
          <w:highlight w:val="none"/>
        </w:rPr>
      </w:pPr>
      <w:r>
        <w:rPr>
          <w:rFonts w:hint="eastAsia" w:ascii="宋体" w:hAnsi="宋体"/>
          <w:sz w:val="24"/>
          <w:highlight w:val="none"/>
        </w:rPr>
        <w:t>附件2：供应商调查表</w:t>
      </w:r>
    </w:p>
    <w:p>
      <w:pPr>
        <w:spacing w:before="120" w:beforeLines="50" w:after="120" w:afterLines="50" w:line="360" w:lineRule="auto"/>
        <w:ind w:firstLine="480" w:firstLineChars="200"/>
        <w:rPr>
          <w:rFonts w:ascii="宋体" w:hAnsi="宋体"/>
          <w:sz w:val="24"/>
          <w:highlight w:val="none"/>
        </w:rPr>
      </w:pPr>
      <w:r>
        <w:rPr>
          <w:rFonts w:hint="eastAsia" w:ascii="宋体" w:hAnsi="宋体"/>
          <w:sz w:val="24"/>
          <w:highlight w:val="none"/>
        </w:rPr>
        <w:t>附件3：法定代表人身份证明书</w:t>
      </w:r>
    </w:p>
    <w:p>
      <w:pPr>
        <w:spacing w:before="120" w:beforeLines="50" w:after="120" w:afterLines="50" w:line="360" w:lineRule="auto"/>
        <w:ind w:firstLine="480" w:firstLineChars="200"/>
        <w:rPr>
          <w:rFonts w:ascii="宋体" w:hAnsi="宋体"/>
          <w:sz w:val="24"/>
          <w:highlight w:val="none"/>
        </w:rPr>
      </w:pPr>
      <w:r>
        <w:rPr>
          <w:rFonts w:hint="eastAsia" w:ascii="宋体" w:hAnsi="宋体"/>
          <w:sz w:val="24"/>
          <w:highlight w:val="none"/>
        </w:rPr>
        <w:t>附件4：法定代表人授权委托证明书</w:t>
      </w:r>
    </w:p>
    <w:p>
      <w:pPr>
        <w:spacing w:before="120" w:beforeLines="50" w:after="120" w:afterLines="50" w:line="360" w:lineRule="auto"/>
        <w:ind w:firstLine="480" w:firstLineChars="200"/>
        <w:rPr>
          <w:rFonts w:ascii="宋体" w:hAnsi="宋体"/>
          <w:sz w:val="24"/>
          <w:highlight w:val="none"/>
        </w:rPr>
      </w:pPr>
      <w:r>
        <w:rPr>
          <w:rFonts w:hint="eastAsia" w:ascii="宋体" w:hAnsi="宋体"/>
          <w:sz w:val="24"/>
          <w:highlight w:val="none"/>
        </w:rPr>
        <w:t>附件5：投标人资格审查表</w:t>
      </w:r>
    </w:p>
    <w:p>
      <w:pPr>
        <w:spacing w:before="120" w:beforeLines="50" w:after="120" w:afterLines="50" w:line="360" w:lineRule="auto"/>
        <w:ind w:firstLine="480" w:firstLineChars="200"/>
        <w:rPr>
          <w:rFonts w:hint="eastAsia" w:ascii="宋体" w:hAnsi="宋体"/>
          <w:sz w:val="24"/>
          <w:highlight w:val="none"/>
        </w:rPr>
      </w:pPr>
      <w:r>
        <w:rPr>
          <w:rFonts w:hint="eastAsia" w:ascii="宋体" w:hAnsi="宋体"/>
          <w:sz w:val="24"/>
          <w:highlight w:val="none"/>
        </w:rPr>
        <w:t>附件6：投标文件有效性审查表</w:t>
      </w:r>
    </w:p>
    <w:p>
      <w:pPr>
        <w:pStyle w:val="8"/>
        <w:spacing w:before="120" w:beforeLines="50" w:after="120" w:afterLines="50" w:line="360" w:lineRule="auto"/>
        <w:ind w:left="0" w:leftChars="0" w:right="560"/>
        <w:jc w:val="right"/>
        <w:rPr>
          <w:rFonts w:hint="eastAsia"/>
          <w:highlight w:val="none"/>
          <w:lang w:eastAsia="zh-CN"/>
        </w:rPr>
      </w:pPr>
      <w:r>
        <w:rPr>
          <w:rFonts w:hint="eastAsia"/>
          <w:highlight w:val="none"/>
        </w:rPr>
        <w:t>采购人：</w:t>
      </w:r>
      <w:r>
        <w:rPr>
          <w:rFonts w:hint="eastAsia"/>
          <w:highlight w:val="none"/>
          <w:lang w:eastAsia="zh-CN"/>
        </w:rPr>
        <w:t>广州城投综合能源投资经营管理有限公司</w:t>
      </w:r>
    </w:p>
    <w:p>
      <w:pPr>
        <w:pStyle w:val="8"/>
        <w:spacing w:before="120" w:beforeLines="50" w:after="120" w:afterLines="50" w:line="360" w:lineRule="auto"/>
        <w:ind w:left="0" w:leftChars="0" w:right="560"/>
        <w:jc w:val="right"/>
        <w:rPr>
          <w:highlight w:val="none"/>
        </w:rPr>
      </w:pPr>
      <w:r>
        <w:rPr>
          <w:rFonts w:hint="eastAsia"/>
          <w:highlight w:val="none"/>
        </w:rPr>
        <w:t>202</w:t>
      </w:r>
      <w:r>
        <w:rPr>
          <w:rFonts w:hint="eastAsia"/>
          <w:highlight w:val="none"/>
          <w:lang w:val="en-US" w:eastAsia="zh-CN"/>
        </w:rPr>
        <w:t>4</w:t>
      </w:r>
      <w:r>
        <w:rPr>
          <w:rFonts w:hint="eastAsia"/>
          <w:highlight w:val="none"/>
        </w:rPr>
        <w:t>年</w:t>
      </w:r>
      <w:r>
        <w:rPr>
          <w:rFonts w:hint="eastAsia"/>
          <w:highlight w:val="none"/>
          <w:lang w:val="en-US" w:eastAsia="zh-CN"/>
        </w:rPr>
        <w:t>3</w:t>
      </w:r>
      <w:r>
        <w:rPr>
          <w:rFonts w:hint="eastAsia"/>
          <w:highlight w:val="none"/>
        </w:rPr>
        <w:t>月</w:t>
      </w:r>
      <w:r>
        <w:rPr>
          <w:rFonts w:hint="eastAsia"/>
          <w:highlight w:val="none"/>
          <w:lang w:val="en-US" w:eastAsia="zh-CN"/>
        </w:rPr>
        <w:t>28</w:t>
      </w:r>
      <w:bookmarkStart w:id="16" w:name="_GoBack"/>
      <w:bookmarkEnd w:id="16"/>
      <w:r>
        <w:rPr>
          <w:rFonts w:hint="eastAsia"/>
          <w:highlight w:val="none"/>
        </w:rPr>
        <w:t>日</w:t>
      </w:r>
      <w:bookmarkEnd w:id="6"/>
    </w:p>
    <w:bookmarkEnd w:id="10"/>
    <w:bookmarkEnd w:id="11"/>
    <w:p>
      <w:pPr>
        <w:spacing w:before="120" w:beforeLines="50" w:after="120" w:afterLines="50" w:line="360" w:lineRule="auto"/>
        <w:rPr>
          <w:rFonts w:hint="eastAsia" w:ascii="宋体" w:hAnsi="宋体" w:cs="Arial"/>
          <w:color w:val="000000"/>
          <w:sz w:val="30"/>
          <w:szCs w:val="30"/>
          <w:highlight w:val="none"/>
        </w:rPr>
      </w:pPr>
    </w:p>
    <w:p>
      <w:pPr>
        <w:spacing w:before="120" w:beforeLines="50" w:after="120" w:afterLines="50" w:line="360" w:lineRule="auto"/>
        <w:rPr>
          <w:rFonts w:hAnsi="宋体"/>
          <w:b/>
          <w:sz w:val="28"/>
          <w:szCs w:val="28"/>
          <w:highlight w:val="none"/>
        </w:rPr>
      </w:pPr>
      <w:r>
        <w:rPr>
          <w:rFonts w:hint="eastAsia" w:ascii="宋体" w:hAnsi="宋体" w:cs="Arial"/>
          <w:color w:val="000000"/>
          <w:sz w:val="30"/>
          <w:szCs w:val="30"/>
          <w:highlight w:val="none"/>
        </w:rPr>
        <w:br w:type="page"/>
      </w:r>
      <w:r>
        <w:rPr>
          <w:rFonts w:hint="eastAsia" w:ascii="宋体" w:hAnsi="宋体" w:cs="Arial"/>
          <w:color w:val="000000"/>
          <w:sz w:val="30"/>
          <w:szCs w:val="30"/>
          <w:highlight w:val="none"/>
        </w:rPr>
        <w:t>附件1</w:t>
      </w:r>
    </w:p>
    <w:p>
      <w:pPr>
        <w:pStyle w:val="11"/>
        <w:ind w:firstLine="0" w:firstLineChars="0"/>
        <w:jc w:val="center"/>
        <w:rPr>
          <w:rFonts w:hAnsi="宋体"/>
          <w:b/>
          <w:sz w:val="28"/>
          <w:szCs w:val="28"/>
          <w:highlight w:val="none"/>
        </w:rPr>
      </w:pPr>
      <w:r>
        <w:rPr>
          <w:rFonts w:hAnsi="宋体"/>
          <w:b/>
          <w:sz w:val="28"/>
          <w:szCs w:val="28"/>
          <w:highlight w:val="none"/>
        </w:rPr>
        <w:t>报价一览表</w:t>
      </w:r>
    </w:p>
    <w:p>
      <w:pPr>
        <w:pStyle w:val="11"/>
        <w:ind w:firstLine="0" w:firstLineChars="0"/>
        <w:jc w:val="center"/>
        <w:rPr>
          <w:rFonts w:hAnsi="宋体"/>
          <w:b/>
          <w:sz w:val="28"/>
          <w:szCs w:val="28"/>
          <w:highlight w:val="none"/>
        </w:rPr>
      </w:pPr>
    </w:p>
    <w:p>
      <w:pPr>
        <w:spacing w:line="360" w:lineRule="auto"/>
        <w:rPr>
          <w:rFonts w:hint="eastAsia" w:hAnsi="宋体" w:eastAsia="宋体"/>
          <w:sz w:val="24"/>
          <w:highlight w:val="none"/>
          <w:lang w:eastAsia="zh-CN"/>
        </w:rPr>
      </w:pPr>
      <w:r>
        <w:rPr>
          <w:rFonts w:hint="eastAsia" w:hAnsi="宋体"/>
          <w:sz w:val="24"/>
          <w:highlight w:val="none"/>
        </w:rPr>
        <w:t>项目名称：</w:t>
      </w:r>
      <w:r>
        <w:rPr>
          <w:rFonts w:hint="eastAsia" w:ascii="宋体"/>
          <w:sz w:val="24"/>
          <w:highlight w:val="none"/>
          <w:lang w:eastAsia="zh-CN"/>
        </w:rPr>
        <w:t>3#冷站首层室内参观区域外观质量提升工程</w:t>
      </w:r>
    </w:p>
    <w:tbl>
      <w:tblPr>
        <w:tblStyle w:val="24"/>
        <w:tblW w:w="873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844"/>
        <w:gridCol w:w="1663"/>
        <w:gridCol w:w="45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jc w:val="center"/>
        </w:trPr>
        <w:tc>
          <w:tcPr>
            <w:tcW w:w="720" w:type="dxa"/>
            <w:vAlign w:val="center"/>
          </w:tcPr>
          <w:p>
            <w:pPr>
              <w:jc w:val="center"/>
              <w:rPr>
                <w:rFonts w:hAnsi="宋体"/>
                <w:bCs/>
                <w:sz w:val="24"/>
                <w:highlight w:val="none"/>
              </w:rPr>
            </w:pPr>
            <w:bookmarkStart w:id="12" w:name="_Hlk33473274"/>
            <w:r>
              <w:rPr>
                <w:rFonts w:hint="eastAsia" w:hAnsi="宋体"/>
                <w:bCs/>
                <w:sz w:val="24"/>
                <w:highlight w:val="none"/>
              </w:rPr>
              <w:t>序号</w:t>
            </w:r>
          </w:p>
        </w:tc>
        <w:tc>
          <w:tcPr>
            <w:tcW w:w="1844" w:type="dxa"/>
            <w:vAlign w:val="center"/>
          </w:tcPr>
          <w:p>
            <w:pPr>
              <w:jc w:val="center"/>
              <w:rPr>
                <w:rFonts w:hAnsi="宋体"/>
                <w:bCs/>
                <w:sz w:val="24"/>
                <w:highlight w:val="none"/>
              </w:rPr>
            </w:pPr>
            <w:r>
              <w:rPr>
                <w:rFonts w:hint="eastAsia" w:hAnsi="宋体"/>
                <w:bCs/>
                <w:sz w:val="24"/>
                <w:highlight w:val="none"/>
              </w:rPr>
              <w:t>项目名称</w:t>
            </w:r>
          </w:p>
        </w:tc>
        <w:tc>
          <w:tcPr>
            <w:tcW w:w="6166" w:type="dxa"/>
            <w:gridSpan w:val="2"/>
            <w:vAlign w:val="center"/>
          </w:tcPr>
          <w:p>
            <w:pPr>
              <w:rPr>
                <w:rFonts w:hAnsi="宋体"/>
                <w:bCs/>
                <w:sz w:val="24"/>
                <w:highlight w:val="none"/>
              </w:rPr>
            </w:pPr>
            <w:r>
              <w:rPr>
                <w:rFonts w:hint="eastAsia" w:hAnsi="宋体"/>
                <w:bCs/>
                <w:sz w:val="24"/>
                <w:highlight w:val="none"/>
              </w:rPr>
              <w:t>投标价（单位：人民币元）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6" w:hRule="atLeast"/>
          <w:jc w:val="center"/>
        </w:trPr>
        <w:tc>
          <w:tcPr>
            <w:tcW w:w="720" w:type="dxa"/>
            <w:vAlign w:val="center"/>
          </w:tcPr>
          <w:p>
            <w:pPr>
              <w:jc w:val="center"/>
              <w:rPr>
                <w:rFonts w:hAnsi="宋体"/>
                <w:sz w:val="24"/>
                <w:highlight w:val="none"/>
              </w:rPr>
            </w:pPr>
            <w:r>
              <w:rPr>
                <w:rFonts w:hint="eastAsia" w:hAnsi="宋体"/>
                <w:sz w:val="24"/>
                <w:highlight w:val="none"/>
              </w:rPr>
              <w:t>1</w:t>
            </w:r>
          </w:p>
        </w:tc>
        <w:tc>
          <w:tcPr>
            <w:tcW w:w="1844" w:type="dxa"/>
            <w:vAlign w:val="center"/>
          </w:tcPr>
          <w:p>
            <w:pPr>
              <w:jc w:val="center"/>
              <w:rPr>
                <w:rFonts w:hAnsi="宋体"/>
                <w:sz w:val="24"/>
                <w:highlight w:val="none"/>
              </w:rPr>
            </w:pPr>
            <w:r>
              <w:rPr>
                <w:rFonts w:hint="eastAsia" w:hAnsi="宋体"/>
                <w:sz w:val="24"/>
                <w:highlight w:val="none"/>
              </w:rPr>
              <w:t>投标总价</w:t>
            </w:r>
          </w:p>
        </w:tc>
        <w:tc>
          <w:tcPr>
            <w:tcW w:w="6166" w:type="dxa"/>
            <w:gridSpan w:val="2"/>
            <w:vAlign w:val="center"/>
          </w:tcPr>
          <w:p>
            <w:pPr>
              <w:rPr>
                <w:rFonts w:hAnsi="宋体"/>
                <w:sz w:val="24"/>
                <w:highlight w:val="none"/>
              </w:rPr>
            </w:pPr>
            <w:r>
              <w:rPr>
                <w:rFonts w:hint="eastAsia" w:ascii="宋体" w:hAnsi="宋体"/>
                <w:sz w:val="24"/>
                <w:highlight w:val="none"/>
              </w:rPr>
              <w:t>大写</w:t>
            </w:r>
            <w:r>
              <w:rPr>
                <w:rFonts w:hint="eastAsia" w:hAnsi="宋体"/>
                <w:sz w:val="24"/>
                <w:highlight w:val="none"/>
              </w:rPr>
              <w:t>：</w:t>
            </w:r>
          </w:p>
          <w:p>
            <w:pPr>
              <w:rPr>
                <w:rFonts w:hAnsi="宋体"/>
                <w:sz w:val="24"/>
                <w:highlight w:val="none"/>
              </w:rPr>
            </w:pPr>
            <w:r>
              <w:rPr>
                <w:rFonts w:hint="eastAsia" w:hAnsi="宋体"/>
                <w:sz w:val="24"/>
                <w:highlight w:val="none"/>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6" w:hRule="atLeast"/>
          <w:jc w:val="center"/>
        </w:trPr>
        <w:tc>
          <w:tcPr>
            <w:tcW w:w="720" w:type="dxa"/>
            <w:vAlign w:val="center"/>
          </w:tcPr>
          <w:p>
            <w:pPr>
              <w:jc w:val="center"/>
              <w:rPr>
                <w:rFonts w:hAnsi="宋体"/>
                <w:sz w:val="24"/>
                <w:highlight w:val="none"/>
              </w:rPr>
            </w:pPr>
            <w:r>
              <w:rPr>
                <w:rFonts w:hint="eastAsia" w:hAnsi="宋体"/>
                <w:sz w:val="24"/>
                <w:highlight w:val="none"/>
              </w:rPr>
              <w:t>其中</w:t>
            </w:r>
          </w:p>
        </w:tc>
        <w:tc>
          <w:tcPr>
            <w:tcW w:w="1844" w:type="dxa"/>
            <w:vAlign w:val="center"/>
          </w:tcPr>
          <w:p>
            <w:pPr>
              <w:jc w:val="center"/>
              <w:rPr>
                <w:rFonts w:hAnsi="宋体"/>
                <w:sz w:val="24"/>
                <w:highlight w:val="none"/>
              </w:rPr>
            </w:pPr>
            <w:r>
              <w:rPr>
                <w:rFonts w:hint="eastAsia" w:hAnsi="宋体"/>
                <w:sz w:val="24"/>
                <w:highlight w:val="none"/>
              </w:rPr>
              <w:t>不含税总价</w:t>
            </w:r>
          </w:p>
        </w:tc>
        <w:tc>
          <w:tcPr>
            <w:tcW w:w="6166" w:type="dxa"/>
            <w:gridSpan w:val="2"/>
            <w:vAlign w:val="center"/>
          </w:tcPr>
          <w:p>
            <w:pPr>
              <w:rPr>
                <w:rFonts w:hAnsi="宋体"/>
                <w:sz w:val="24"/>
                <w:highlight w:val="none"/>
              </w:rPr>
            </w:pPr>
            <w:r>
              <w:rPr>
                <w:rFonts w:hint="eastAsia" w:ascii="宋体" w:hAnsi="宋体"/>
                <w:sz w:val="24"/>
                <w:highlight w:val="none"/>
              </w:rPr>
              <w:t>大写</w:t>
            </w:r>
            <w:r>
              <w:rPr>
                <w:rFonts w:hint="eastAsia" w:hAnsi="宋体"/>
                <w:sz w:val="24"/>
                <w:highlight w:val="none"/>
              </w:rPr>
              <w:t>：</w:t>
            </w:r>
          </w:p>
          <w:p>
            <w:pPr>
              <w:rPr>
                <w:rFonts w:ascii="宋体" w:hAnsi="宋体"/>
                <w:sz w:val="24"/>
                <w:highlight w:val="none"/>
              </w:rPr>
            </w:pPr>
            <w:r>
              <w:rPr>
                <w:rFonts w:hint="eastAsia" w:hAnsi="宋体"/>
                <w:sz w:val="24"/>
                <w:highlight w:val="none"/>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6" w:hRule="atLeast"/>
          <w:jc w:val="center"/>
        </w:trPr>
        <w:tc>
          <w:tcPr>
            <w:tcW w:w="720" w:type="dxa"/>
            <w:vAlign w:val="center"/>
          </w:tcPr>
          <w:p>
            <w:pPr>
              <w:jc w:val="center"/>
              <w:rPr>
                <w:rFonts w:hAnsi="宋体"/>
                <w:sz w:val="24"/>
                <w:highlight w:val="none"/>
              </w:rPr>
            </w:pPr>
            <w:r>
              <w:rPr>
                <w:rFonts w:hint="eastAsia" w:hAnsi="宋体"/>
                <w:sz w:val="24"/>
                <w:highlight w:val="none"/>
              </w:rPr>
              <w:t>2</w:t>
            </w:r>
          </w:p>
        </w:tc>
        <w:tc>
          <w:tcPr>
            <w:tcW w:w="1844" w:type="dxa"/>
            <w:vAlign w:val="center"/>
          </w:tcPr>
          <w:p>
            <w:pPr>
              <w:jc w:val="center"/>
              <w:rPr>
                <w:rFonts w:hAnsi="宋体"/>
                <w:sz w:val="24"/>
                <w:highlight w:val="none"/>
              </w:rPr>
            </w:pPr>
            <w:r>
              <w:rPr>
                <w:rFonts w:hint="eastAsia" w:hAnsi="宋体"/>
                <w:sz w:val="24"/>
                <w:highlight w:val="none"/>
              </w:rPr>
              <w:t>投标工期</w:t>
            </w:r>
          </w:p>
        </w:tc>
        <w:tc>
          <w:tcPr>
            <w:tcW w:w="6166" w:type="dxa"/>
            <w:gridSpan w:val="2"/>
            <w:vAlign w:val="center"/>
          </w:tcPr>
          <w:p>
            <w:pPr>
              <w:rPr>
                <w:rFonts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6" w:hRule="atLeast"/>
          <w:jc w:val="center"/>
        </w:trPr>
        <w:tc>
          <w:tcPr>
            <w:tcW w:w="720" w:type="dxa"/>
            <w:vAlign w:val="center"/>
          </w:tcPr>
          <w:p>
            <w:pPr>
              <w:jc w:val="center"/>
              <w:rPr>
                <w:rFonts w:hAnsi="宋体"/>
                <w:sz w:val="24"/>
                <w:highlight w:val="none"/>
              </w:rPr>
            </w:pPr>
            <w:r>
              <w:rPr>
                <w:rFonts w:hint="eastAsia" w:hAnsi="宋体"/>
                <w:sz w:val="24"/>
                <w:highlight w:val="none"/>
              </w:rPr>
              <w:t>3</w:t>
            </w:r>
          </w:p>
        </w:tc>
        <w:tc>
          <w:tcPr>
            <w:tcW w:w="1844" w:type="dxa"/>
            <w:vAlign w:val="center"/>
          </w:tcPr>
          <w:p>
            <w:pPr>
              <w:jc w:val="center"/>
              <w:rPr>
                <w:rFonts w:hAnsi="宋体"/>
                <w:sz w:val="24"/>
                <w:highlight w:val="none"/>
              </w:rPr>
            </w:pPr>
            <w:r>
              <w:rPr>
                <w:rFonts w:hint="eastAsia" w:hAnsi="宋体"/>
                <w:sz w:val="24"/>
                <w:highlight w:val="none"/>
              </w:rPr>
              <w:t>工程质量标准</w:t>
            </w:r>
          </w:p>
        </w:tc>
        <w:tc>
          <w:tcPr>
            <w:tcW w:w="6166" w:type="dxa"/>
            <w:gridSpan w:val="2"/>
            <w:vAlign w:val="center"/>
          </w:tcPr>
          <w:p>
            <w:pPr>
              <w:rPr>
                <w:rFonts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6" w:hRule="atLeast"/>
          <w:jc w:val="center"/>
        </w:trPr>
        <w:tc>
          <w:tcPr>
            <w:tcW w:w="720" w:type="dxa"/>
            <w:vAlign w:val="center"/>
          </w:tcPr>
          <w:p>
            <w:pPr>
              <w:jc w:val="center"/>
              <w:rPr>
                <w:rFonts w:hAnsi="宋体"/>
                <w:sz w:val="24"/>
                <w:highlight w:val="none"/>
              </w:rPr>
            </w:pPr>
            <w:r>
              <w:rPr>
                <w:rFonts w:hint="eastAsia" w:hAnsi="宋体"/>
                <w:sz w:val="24"/>
                <w:highlight w:val="none"/>
              </w:rPr>
              <w:t>4</w:t>
            </w:r>
          </w:p>
        </w:tc>
        <w:tc>
          <w:tcPr>
            <w:tcW w:w="1844" w:type="dxa"/>
            <w:vAlign w:val="center"/>
          </w:tcPr>
          <w:p>
            <w:pPr>
              <w:jc w:val="center"/>
              <w:rPr>
                <w:rFonts w:hAnsi="宋体"/>
                <w:sz w:val="24"/>
                <w:highlight w:val="none"/>
              </w:rPr>
            </w:pPr>
            <w:r>
              <w:rPr>
                <w:rFonts w:hint="eastAsia" w:hAnsi="宋体"/>
                <w:sz w:val="24"/>
                <w:highlight w:val="none"/>
              </w:rPr>
              <w:t>保修期限</w:t>
            </w:r>
          </w:p>
        </w:tc>
        <w:tc>
          <w:tcPr>
            <w:tcW w:w="6166" w:type="dxa"/>
            <w:gridSpan w:val="2"/>
            <w:vAlign w:val="center"/>
          </w:tcPr>
          <w:p>
            <w:pPr>
              <w:rPr>
                <w:rFonts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3" w:hRule="atLeast"/>
          <w:jc w:val="center"/>
        </w:trPr>
        <w:tc>
          <w:tcPr>
            <w:tcW w:w="720" w:type="dxa"/>
            <w:vMerge w:val="restart"/>
            <w:vAlign w:val="center"/>
          </w:tcPr>
          <w:p>
            <w:pPr>
              <w:jc w:val="center"/>
              <w:rPr>
                <w:rFonts w:hAnsi="宋体"/>
                <w:sz w:val="24"/>
                <w:highlight w:val="none"/>
              </w:rPr>
            </w:pPr>
            <w:r>
              <w:rPr>
                <w:rFonts w:hint="eastAsia" w:hAnsi="宋体"/>
                <w:sz w:val="24"/>
                <w:highlight w:val="none"/>
              </w:rPr>
              <w:t>5</w:t>
            </w:r>
          </w:p>
        </w:tc>
        <w:tc>
          <w:tcPr>
            <w:tcW w:w="1844" w:type="dxa"/>
            <w:vMerge w:val="restart"/>
            <w:vAlign w:val="center"/>
          </w:tcPr>
          <w:p>
            <w:pPr>
              <w:jc w:val="center"/>
              <w:rPr>
                <w:rFonts w:hAnsi="宋体"/>
                <w:sz w:val="24"/>
                <w:highlight w:val="none"/>
              </w:rPr>
            </w:pPr>
            <w:r>
              <w:rPr>
                <w:rFonts w:hint="eastAsia" w:hAnsi="宋体"/>
                <w:sz w:val="24"/>
                <w:highlight w:val="none"/>
              </w:rPr>
              <w:t>拟委派的项目负责人</w:t>
            </w:r>
          </w:p>
        </w:tc>
        <w:tc>
          <w:tcPr>
            <w:tcW w:w="1663" w:type="dxa"/>
            <w:vAlign w:val="center"/>
          </w:tcPr>
          <w:p>
            <w:pPr>
              <w:rPr>
                <w:rFonts w:hAnsi="宋体"/>
                <w:sz w:val="24"/>
                <w:highlight w:val="none"/>
              </w:rPr>
            </w:pPr>
            <w:r>
              <w:rPr>
                <w:rFonts w:hint="eastAsia" w:hAnsi="宋体"/>
                <w:sz w:val="24"/>
                <w:highlight w:val="none"/>
              </w:rPr>
              <w:t>姓名</w:t>
            </w:r>
          </w:p>
        </w:tc>
        <w:tc>
          <w:tcPr>
            <w:tcW w:w="4503" w:type="dxa"/>
            <w:vAlign w:val="center"/>
          </w:tcPr>
          <w:p>
            <w:pPr>
              <w:rPr>
                <w:rFonts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3" w:hRule="atLeast"/>
          <w:jc w:val="center"/>
        </w:trPr>
        <w:tc>
          <w:tcPr>
            <w:tcW w:w="720" w:type="dxa"/>
            <w:vMerge w:val="continue"/>
            <w:vAlign w:val="center"/>
          </w:tcPr>
          <w:p>
            <w:pPr>
              <w:rPr>
                <w:rFonts w:hAnsi="宋体"/>
                <w:sz w:val="24"/>
                <w:highlight w:val="none"/>
              </w:rPr>
            </w:pPr>
          </w:p>
        </w:tc>
        <w:tc>
          <w:tcPr>
            <w:tcW w:w="1844" w:type="dxa"/>
            <w:vMerge w:val="continue"/>
            <w:vAlign w:val="center"/>
          </w:tcPr>
          <w:p>
            <w:pPr>
              <w:rPr>
                <w:rFonts w:hAnsi="宋体"/>
                <w:sz w:val="24"/>
                <w:highlight w:val="none"/>
              </w:rPr>
            </w:pPr>
          </w:p>
        </w:tc>
        <w:tc>
          <w:tcPr>
            <w:tcW w:w="1663" w:type="dxa"/>
            <w:vAlign w:val="center"/>
          </w:tcPr>
          <w:p>
            <w:pPr>
              <w:rPr>
                <w:rFonts w:hAnsi="宋体"/>
                <w:sz w:val="24"/>
                <w:highlight w:val="none"/>
              </w:rPr>
            </w:pPr>
            <w:r>
              <w:rPr>
                <w:rFonts w:hint="eastAsia" w:hAnsi="宋体"/>
                <w:sz w:val="24"/>
                <w:highlight w:val="none"/>
              </w:rPr>
              <w:t>技术职称</w:t>
            </w:r>
          </w:p>
        </w:tc>
        <w:tc>
          <w:tcPr>
            <w:tcW w:w="4503" w:type="dxa"/>
            <w:vAlign w:val="center"/>
          </w:tcPr>
          <w:p>
            <w:pPr>
              <w:rPr>
                <w:rFonts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3" w:hRule="atLeast"/>
          <w:jc w:val="center"/>
        </w:trPr>
        <w:tc>
          <w:tcPr>
            <w:tcW w:w="720" w:type="dxa"/>
            <w:vMerge w:val="continue"/>
            <w:vAlign w:val="center"/>
          </w:tcPr>
          <w:p>
            <w:pPr>
              <w:rPr>
                <w:rFonts w:hAnsi="宋体"/>
                <w:sz w:val="24"/>
                <w:highlight w:val="none"/>
              </w:rPr>
            </w:pPr>
          </w:p>
        </w:tc>
        <w:tc>
          <w:tcPr>
            <w:tcW w:w="1844" w:type="dxa"/>
            <w:vMerge w:val="continue"/>
            <w:vAlign w:val="center"/>
          </w:tcPr>
          <w:p>
            <w:pPr>
              <w:rPr>
                <w:rFonts w:hAnsi="宋体"/>
                <w:sz w:val="24"/>
                <w:highlight w:val="none"/>
              </w:rPr>
            </w:pPr>
          </w:p>
        </w:tc>
        <w:tc>
          <w:tcPr>
            <w:tcW w:w="1663" w:type="dxa"/>
            <w:vAlign w:val="center"/>
          </w:tcPr>
          <w:p>
            <w:pPr>
              <w:rPr>
                <w:rFonts w:hAnsi="宋体"/>
                <w:sz w:val="24"/>
                <w:highlight w:val="none"/>
              </w:rPr>
            </w:pPr>
            <w:r>
              <w:rPr>
                <w:rFonts w:hint="eastAsia" w:hAnsi="宋体"/>
                <w:sz w:val="24"/>
                <w:highlight w:val="none"/>
              </w:rPr>
              <w:t>联系电话</w:t>
            </w:r>
          </w:p>
        </w:tc>
        <w:tc>
          <w:tcPr>
            <w:tcW w:w="4503" w:type="dxa"/>
            <w:vAlign w:val="center"/>
          </w:tcPr>
          <w:p>
            <w:pPr>
              <w:rPr>
                <w:rFonts w:hAnsi="宋体"/>
                <w:sz w:val="24"/>
                <w:highlight w:val="none"/>
              </w:rPr>
            </w:pPr>
          </w:p>
        </w:tc>
      </w:tr>
      <w:bookmarkEnd w:id="12"/>
    </w:tbl>
    <w:p>
      <w:pPr>
        <w:rPr>
          <w:rFonts w:hAnsi="宋体"/>
          <w:highlight w:val="none"/>
        </w:rPr>
      </w:pPr>
    </w:p>
    <w:p>
      <w:pPr>
        <w:spacing w:before="120" w:beforeLines="50" w:after="120" w:afterLines="50" w:line="360" w:lineRule="auto"/>
        <w:rPr>
          <w:rFonts w:hAnsi="宋体"/>
          <w:sz w:val="22"/>
          <w:szCs w:val="28"/>
          <w:highlight w:val="none"/>
        </w:rPr>
      </w:pPr>
      <w:r>
        <w:rPr>
          <w:rFonts w:hint="eastAsia" w:hAnsi="宋体"/>
          <w:sz w:val="22"/>
          <w:szCs w:val="28"/>
          <w:highlight w:val="none"/>
        </w:rPr>
        <w:t>注：（1）投标总价为人民币报价。</w:t>
      </w:r>
    </w:p>
    <w:p>
      <w:pPr>
        <w:tabs>
          <w:tab w:val="left" w:pos="8364"/>
        </w:tabs>
        <w:spacing w:before="120" w:beforeLines="50" w:after="120" w:afterLines="50" w:line="360" w:lineRule="auto"/>
        <w:ind w:firstLine="440" w:firstLineChars="200"/>
        <w:rPr>
          <w:rFonts w:hAnsi="宋体"/>
          <w:sz w:val="22"/>
          <w:szCs w:val="28"/>
          <w:highlight w:val="none"/>
        </w:rPr>
      </w:pPr>
      <w:r>
        <w:rPr>
          <w:rFonts w:hint="eastAsia" w:hAnsi="宋体"/>
          <w:sz w:val="22"/>
          <w:szCs w:val="28"/>
          <w:highlight w:val="none"/>
        </w:rPr>
        <w:t>（2）投标总价是所有需采购人支付的本次项目采购的金额总数，应包括竞选文件要求的全部内容，投标人完成本项目（如果中标）所必须的</w:t>
      </w:r>
      <w:r>
        <w:rPr>
          <w:rFonts w:hint="eastAsia" w:hAnsi="宋体"/>
          <w:bCs/>
          <w:sz w:val="22"/>
          <w:szCs w:val="28"/>
          <w:highlight w:val="none"/>
        </w:rPr>
        <w:t>所有成本费用和投标人应承担的一切税费</w:t>
      </w:r>
      <w:r>
        <w:rPr>
          <w:rFonts w:hint="eastAsia" w:hAnsi="宋体"/>
          <w:sz w:val="22"/>
          <w:szCs w:val="28"/>
          <w:highlight w:val="none"/>
        </w:rPr>
        <w:t>，包括但不限于全部人工费、材料、设备、工具、机具、安装运输、规费、措施费、合理利润、管理费、税费等及清理现场的费用、合同实施过程中应预见和不可预见的费用等等。</w:t>
      </w:r>
    </w:p>
    <w:p>
      <w:pPr>
        <w:tabs>
          <w:tab w:val="left" w:pos="8364"/>
        </w:tabs>
        <w:spacing w:before="120" w:beforeLines="50" w:after="120" w:afterLines="50" w:line="360" w:lineRule="auto"/>
        <w:rPr>
          <w:rFonts w:hAnsi="宋体"/>
          <w:sz w:val="22"/>
          <w:szCs w:val="28"/>
          <w:highlight w:val="none"/>
        </w:rPr>
      </w:pPr>
      <w:r>
        <w:rPr>
          <w:rFonts w:hint="eastAsia" w:hAnsi="宋体"/>
          <w:sz w:val="22"/>
          <w:szCs w:val="28"/>
          <w:highlight w:val="none"/>
        </w:rPr>
        <w:t>（3）若用小写表示的金额和用大写表示的金额不一致，以大写表示的金额为准。</w:t>
      </w:r>
    </w:p>
    <w:p>
      <w:pPr>
        <w:spacing w:before="120" w:beforeLines="50" w:after="120" w:afterLines="50" w:line="360" w:lineRule="auto"/>
        <w:rPr>
          <w:rFonts w:hAnsi="宋体"/>
          <w:szCs w:val="21"/>
          <w:highlight w:val="none"/>
        </w:rPr>
      </w:pPr>
      <w:r>
        <w:rPr>
          <w:rFonts w:hint="eastAsia" w:hAnsi="宋体"/>
          <w:szCs w:val="21"/>
          <w:highlight w:val="none"/>
        </w:rPr>
        <w:t>投标人名称（盖章）：</w:t>
      </w:r>
    </w:p>
    <w:p>
      <w:pPr>
        <w:spacing w:before="120" w:beforeLines="50" w:after="120" w:afterLines="50" w:line="360" w:lineRule="auto"/>
        <w:rPr>
          <w:rFonts w:hAnsi="宋体"/>
          <w:szCs w:val="21"/>
          <w:highlight w:val="none"/>
        </w:rPr>
      </w:pPr>
    </w:p>
    <w:p>
      <w:pPr>
        <w:spacing w:before="120" w:beforeLines="50" w:after="120" w:afterLines="50" w:line="360" w:lineRule="auto"/>
        <w:jc w:val="center"/>
        <w:rPr>
          <w:rFonts w:ascii="仿宋" w:hAnsi="仿宋" w:eastAsia="仿宋" w:cs="仿宋"/>
          <w:szCs w:val="21"/>
          <w:highlight w:val="none"/>
        </w:rPr>
      </w:pPr>
      <w:r>
        <w:rPr>
          <w:rFonts w:hint="eastAsia" w:hAnsi="宋体"/>
          <w:szCs w:val="21"/>
          <w:highlight w:val="none"/>
        </w:rPr>
        <w:t xml:space="preserve">日期： </w:t>
      </w:r>
      <w:r>
        <w:rPr>
          <w:rFonts w:hAnsi="宋体"/>
          <w:szCs w:val="21"/>
          <w:highlight w:val="none"/>
        </w:rPr>
        <w:t xml:space="preserve">    </w:t>
      </w:r>
      <w:r>
        <w:rPr>
          <w:rFonts w:hint="eastAsia" w:hAnsi="宋体"/>
          <w:szCs w:val="21"/>
          <w:highlight w:val="none"/>
        </w:rPr>
        <w:t xml:space="preserve">年 </w:t>
      </w:r>
      <w:r>
        <w:rPr>
          <w:rFonts w:hAnsi="宋体"/>
          <w:szCs w:val="21"/>
          <w:highlight w:val="none"/>
        </w:rPr>
        <w:t xml:space="preserve"> </w:t>
      </w:r>
      <w:r>
        <w:rPr>
          <w:rFonts w:hint="eastAsia" w:hAnsi="宋体"/>
          <w:szCs w:val="21"/>
          <w:highlight w:val="none"/>
        </w:rPr>
        <w:t xml:space="preserve">月 </w:t>
      </w:r>
      <w:r>
        <w:rPr>
          <w:rFonts w:hAnsi="宋体"/>
          <w:szCs w:val="21"/>
          <w:highlight w:val="none"/>
        </w:rPr>
        <w:t xml:space="preserve"> </w:t>
      </w:r>
      <w:r>
        <w:rPr>
          <w:rFonts w:hint="eastAsia" w:hAnsi="宋体"/>
          <w:szCs w:val="21"/>
          <w:highlight w:val="none"/>
        </w:rPr>
        <w:t>日</w:t>
      </w:r>
      <w:r>
        <w:rPr>
          <w:rFonts w:ascii="仿宋" w:hAnsi="仿宋" w:eastAsia="仿宋" w:cs="仿宋"/>
          <w:szCs w:val="21"/>
          <w:highlight w:val="none"/>
        </w:rPr>
        <w:br w:type="page"/>
      </w:r>
      <w:r>
        <w:rPr>
          <w:rFonts w:ascii="仿宋" w:hAnsi="仿宋" w:eastAsia="仿宋" w:cs="仿宋"/>
          <w:szCs w:val="21"/>
          <w:highlight w:val="none"/>
        </w:rPr>
        <w:t xml:space="preserve"> </w:t>
      </w:r>
    </w:p>
    <w:p>
      <w:pPr>
        <w:spacing w:before="120" w:beforeLines="50" w:after="120" w:afterLines="50" w:line="360" w:lineRule="auto"/>
        <w:rPr>
          <w:rFonts w:ascii="仿宋" w:hAnsi="仿宋" w:eastAsia="仿宋" w:cs="仿宋"/>
          <w:szCs w:val="21"/>
          <w:highlight w:val="none"/>
        </w:rPr>
      </w:pPr>
      <w:r>
        <w:rPr>
          <w:rFonts w:hint="eastAsia" w:ascii="宋体" w:hAnsi="宋体" w:cs="Arial"/>
          <w:color w:val="000000"/>
          <w:sz w:val="30"/>
          <w:szCs w:val="30"/>
          <w:highlight w:val="none"/>
        </w:rPr>
        <w:t>附件2</w:t>
      </w:r>
    </w:p>
    <w:tbl>
      <w:tblPr>
        <w:tblStyle w:val="24"/>
        <w:tblW w:w="9356" w:type="dxa"/>
        <w:tblInd w:w="-34" w:type="dxa"/>
        <w:tblLayout w:type="fixed"/>
        <w:tblCellMar>
          <w:top w:w="0" w:type="dxa"/>
          <w:left w:w="108" w:type="dxa"/>
          <w:bottom w:w="0" w:type="dxa"/>
          <w:right w:w="108" w:type="dxa"/>
        </w:tblCellMar>
      </w:tblPr>
      <w:tblGrid>
        <w:gridCol w:w="981"/>
        <w:gridCol w:w="91"/>
        <w:gridCol w:w="346"/>
        <w:gridCol w:w="189"/>
        <w:gridCol w:w="1585"/>
        <w:gridCol w:w="1060"/>
        <w:gridCol w:w="740"/>
        <w:gridCol w:w="1180"/>
        <w:gridCol w:w="440"/>
        <w:gridCol w:w="236"/>
        <w:gridCol w:w="723"/>
        <w:gridCol w:w="1785"/>
      </w:tblGrid>
      <w:tr>
        <w:tblPrEx>
          <w:tblLayout w:type="fixed"/>
          <w:tblCellMar>
            <w:top w:w="0" w:type="dxa"/>
            <w:left w:w="108" w:type="dxa"/>
            <w:bottom w:w="0" w:type="dxa"/>
            <w:right w:w="108" w:type="dxa"/>
          </w:tblCellMar>
        </w:tblPrEx>
        <w:trPr>
          <w:trHeight w:val="444" w:hRule="atLeast"/>
        </w:trPr>
        <w:tc>
          <w:tcPr>
            <w:tcW w:w="9356" w:type="dxa"/>
            <w:gridSpan w:val="12"/>
            <w:tcBorders>
              <w:top w:val="nil"/>
              <w:left w:val="nil"/>
              <w:bottom w:val="nil"/>
              <w:right w:val="nil"/>
            </w:tcBorders>
            <w:shd w:val="clear" w:color="auto" w:fill="auto"/>
            <w:vAlign w:val="center"/>
          </w:tcPr>
          <w:p>
            <w:pPr>
              <w:widowControl/>
              <w:ind w:firstLine="3080" w:firstLineChars="700"/>
              <w:rPr>
                <w:rFonts w:ascii="黑体" w:hAnsi="黑体" w:eastAsia="黑体" w:cs="宋体"/>
                <w:kern w:val="0"/>
                <w:sz w:val="44"/>
                <w:szCs w:val="44"/>
                <w:highlight w:val="none"/>
              </w:rPr>
            </w:pPr>
            <w:bookmarkStart w:id="13" w:name="_Hlk33473319"/>
            <w:r>
              <w:rPr>
                <w:rFonts w:hint="eastAsia" w:ascii="黑体" w:hAnsi="黑体" w:eastAsia="黑体" w:cs="宋体"/>
                <w:kern w:val="0"/>
                <w:sz w:val="44"/>
                <w:szCs w:val="44"/>
                <w:highlight w:val="none"/>
              </w:rPr>
              <w:t>供应商调查表</w:t>
            </w:r>
          </w:p>
        </w:tc>
      </w:tr>
      <w:tr>
        <w:tblPrEx>
          <w:tblLayout w:type="fixed"/>
          <w:tblCellMar>
            <w:top w:w="0" w:type="dxa"/>
            <w:left w:w="108" w:type="dxa"/>
            <w:bottom w:w="0" w:type="dxa"/>
            <w:right w:w="108" w:type="dxa"/>
          </w:tblCellMar>
        </w:tblPrEx>
        <w:trPr>
          <w:trHeight w:val="399" w:hRule="atLeast"/>
        </w:trPr>
        <w:tc>
          <w:tcPr>
            <w:tcW w:w="9356" w:type="dxa"/>
            <w:gridSpan w:val="12"/>
            <w:tcBorders>
              <w:top w:val="nil"/>
              <w:left w:val="nil"/>
              <w:bottom w:val="single" w:color="auto" w:sz="8" w:space="0"/>
              <w:right w:val="nil"/>
            </w:tcBorders>
            <w:shd w:val="clear" w:color="auto" w:fill="auto"/>
            <w:vAlign w:val="center"/>
          </w:tcPr>
          <w:p>
            <w:pPr>
              <w:widowControl/>
              <w:ind w:firstLine="200"/>
              <w:rPr>
                <w:rFonts w:hint="eastAsia" w:ascii="宋体" w:hAnsi="宋体" w:eastAsia="宋体" w:cs="宋体"/>
                <w:kern w:val="0"/>
                <w:sz w:val="28"/>
                <w:szCs w:val="28"/>
                <w:highlight w:val="none"/>
                <w:lang w:eastAsia="zh-CN"/>
              </w:rPr>
            </w:pPr>
            <w:r>
              <w:rPr>
                <w:rFonts w:hint="eastAsia" w:ascii="宋体" w:hAnsi="宋体" w:cs="宋体"/>
                <w:kern w:val="0"/>
                <w:sz w:val="28"/>
                <w:szCs w:val="28"/>
                <w:highlight w:val="none"/>
              </w:rPr>
              <w:t>项目名称：</w:t>
            </w:r>
            <w:r>
              <w:rPr>
                <w:rFonts w:hint="eastAsia" w:ascii="宋体"/>
                <w:sz w:val="24"/>
                <w:highlight w:val="none"/>
                <w:lang w:eastAsia="zh-CN"/>
              </w:rPr>
              <w:t>3#冷站首层室内参观区域外观质量提升工程</w:t>
            </w:r>
          </w:p>
        </w:tc>
      </w:tr>
      <w:tr>
        <w:tblPrEx>
          <w:tblLayout w:type="fixed"/>
          <w:tblCellMar>
            <w:top w:w="0" w:type="dxa"/>
            <w:left w:w="108" w:type="dxa"/>
            <w:bottom w:w="0" w:type="dxa"/>
            <w:right w:w="108" w:type="dxa"/>
          </w:tblCellMar>
        </w:tblPrEx>
        <w:trPr>
          <w:trHeight w:val="399" w:hRule="atLeast"/>
        </w:trPr>
        <w:tc>
          <w:tcPr>
            <w:tcW w:w="1418"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 xml:space="preserve">供应商名称 </w:t>
            </w:r>
          </w:p>
        </w:tc>
        <w:tc>
          <w:tcPr>
            <w:tcW w:w="4754" w:type="dxa"/>
            <w:gridSpan w:val="5"/>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c>
          <w:tcPr>
            <w:tcW w:w="1399"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法人代表</w:t>
            </w:r>
          </w:p>
        </w:tc>
        <w:tc>
          <w:tcPr>
            <w:tcW w:w="1785"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ind w:firstLine="200"/>
              <w:jc w:val="center"/>
              <w:rPr>
                <w:rFonts w:ascii="宋体" w:hAnsi="宋体" w:cs="宋体"/>
                <w:kern w:val="0"/>
                <w:sz w:val="24"/>
                <w:highlight w:val="none"/>
              </w:rPr>
            </w:pPr>
          </w:p>
        </w:tc>
      </w:tr>
      <w:tr>
        <w:tblPrEx>
          <w:tblLayout w:type="fixed"/>
          <w:tblCellMar>
            <w:top w:w="0" w:type="dxa"/>
            <w:left w:w="108" w:type="dxa"/>
            <w:bottom w:w="0" w:type="dxa"/>
            <w:right w:w="108" w:type="dxa"/>
          </w:tblCellMar>
        </w:tblPrEx>
        <w:trPr>
          <w:trHeight w:val="399" w:hRule="atLeast"/>
        </w:trPr>
        <w:tc>
          <w:tcPr>
            <w:tcW w:w="1418"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详细地址</w:t>
            </w:r>
          </w:p>
        </w:tc>
        <w:tc>
          <w:tcPr>
            <w:tcW w:w="4754" w:type="dxa"/>
            <w:gridSpan w:val="5"/>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c>
          <w:tcPr>
            <w:tcW w:w="1399"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邮    编</w:t>
            </w:r>
          </w:p>
        </w:tc>
        <w:tc>
          <w:tcPr>
            <w:tcW w:w="1785"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ind w:firstLine="200"/>
              <w:jc w:val="center"/>
              <w:rPr>
                <w:rFonts w:ascii="宋体" w:hAnsi="宋体" w:cs="宋体"/>
                <w:kern w:val="0"/>
                <w:sz w:val="24"/>
                <w:highlight w:val="none"/>
              </w:rPr>
            </w:pPr>
          </w:p>
        </w:tc>
      </w:tr>
      <w:tr>
        <w:tblPrEx>
          <w:tblLayout w:type="fixed"/>
          <w:tblCellMar>
            <w:top w:w="0" w:type="dxa"/>
            <w:left w:w="108" w:type="dxa"/>
            <w:bottom w:w="0" w:type="dxa"/>
            <w:right w:w="108" w:type="dxa"/>
          </w:tblCellMar>
        </w:tblPrEx>
        <w:trPr>
          <w:trHeight w:val="876" w:hRule="atLeast"/>
        </w:trPr>
        <w:tc>
          <w:tcPr>
            <w:tcW w:w="1418"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成立日期</w:t>
            </w:r>
          </w:p>
        </w:tc>
        <w:tc>
          <w:tcPr>
            <w:tcW w:w="177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c>
          <w:tcPr>
            <w:tcW w:w="1060"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营业执照号码</w:t>
            </w:r>
          </w:p>
        </w:tc>
        <w:tc>
          <w:tcPr>
            <w:tcW w:w="1920"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c>
          <w:tcPr>
            <w:tcW w:w="1399"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发证机构</w:t>
            </w:r>
          </w:p>
        </w:tc>
        <w:tc>
          <w:tcPr>
            <w:tcW w:w="1785"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ind w:firstLine="200"/>
              <w:jc w:val="center"/>
              <w:rPr>
                <w:rFonts w:ascii="宋体" w:hAnsi="宋体" w:cs="宋体"/>
                <w:kern w:val="0"/>
                <w:sz w:val="24"/>
                <w:highlight w:val="none"/>
              </w:rPr>
            </w:pPr>
          </w:p>
        </w:tc>
      </w:tr>
      <w:tr>
        <w:tblPrEx>
          <w:tblLayout w:type="fixed"/>
          <w:tblCellMar>
            <w:top w:w="0" w:type="dxa"/>
            <w:left w:w="108" w:type="dxa"/>
            <w:bottom w:w="0" w:type="dxa"/>
            <w:right w:w="108" w:type="dxa"/>
          </w:tblCellMar>
        </w:tblPrEx>
        <w:trPr>
          <w:trHeight w:val="399" w:hRule="atLeast"/>
        </w:trPr>
        <w:tc>
          <w:tcPr>
            <w:tcW w:w="1418"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固定电话号码</w:t>
            </w:r>
          </w:p>
        </w:tc>
        <w:tc>
          <w:tcPr>
            <w:tcW w:w="177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c>
          <w:tcPr>
            <w:tcW w:w="1060"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传真号码</w:t>
            </w:r>
          </w:p>
        </w:tc>
        <w:tc>
          <w:tcPr>
            <w:tcW w:w="1920"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c>
          <w:tcPr>
            <w:tcW w:w="1399"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注册资金</w:t>
            </w:r>
          </w:p>
        </w:tc>
        <w:tc>
          <w:tcPr>
            <w:tcW w:w="1785"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ind w:firstLine="200"/>
              <w:jc w:val="center"/>
              <w:rPr>
                <w:rFonts w:ascii="宋体" w:hAnsi="宋体" w:cs="宋体"/>
                <w:kern w:val="0"/>
                <w:sz w:val="24"/>
                <w:highlight w:val="none"/>
              </w:rPr>
            </w:pPr>
          </w:p>
        </w:tc>
      </w:tr>
      <w:tr>
        <w:tblPrEx>
          <w:tblLayout w:type="fixed"/>
          <w:tblCellMar>
            <w:top w:w="0" w:type="dxa"/>
            <w:left w:w="108" w:type="dxa"/>
            <w:bottom w:w="0" w:type="dxa"/>
            <w:right w:w="108" w:type="dxa"/>
          </w:tblCellMar>
        </w:tblPrEx>
        <w:trPr>
          <w:trHeight w:val="399" w:hRule="atLeast"/>
        </w:trPr>
        <w:tc>
          <w:tcPr>
            <w:tcW w:w="1607"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公司类型</w:t>
            </w:r>
          </w:p>
        </w:tc>
        <w:tc>
          <w:tcPr>
            <w:tcW w:w="3385"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left"/>
              <w:rPr>
                <w:rFonts w:ascii="宋体" w:hAnsi="宋体" w:cs="宋体"/>
                <w:b/>
                <w:bCs/>
                <w:kern w:val="0"/>
                <w:sz w:val="24"/>
                <w:highlight w:val="none"/>
              </w:rPr>
            </w:pPr>
          </w:p>
        </w:tc>
        <w:tc>
          <w:tcPr>
            <w:tcW w:w="1620"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机构性质</w:t>
            </w:r>
          </w:p>
        </w:tc>
        <w:tc>
          <w:tcPr>
            <w:tcW w:w="2744"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left"/>
              <w:rPr>
                <w:rFonts w:ascii="宋体" w:hAnsi="宋体" w:cs="宋体"/>
                <w:b/>
                <w:bCs/>
                <w:kern w:val="0"/>
                <w:sz w:val="24"/>
                <w:highlight w:val="none"/>
              </w:rPr>
            </w:pPr>
          </w:p>
        </w:tc>
      </w:tr>
      <w:tr>
        <w:tblPrEx>
          <w:tblLayout w:type="fixed"/>
          <w:tblCellMar>
            <w:top w:w="0" w:type="dxa"/>
            <w:left w:w="108" w:type="dxa"/>
            <w:bottom w:w="0" w:type="dxa"/>
            <w:right w:w="108" w:type="dxa"/>
          </w:tblCellMar>
        </w:tblPrEx>
        <w:trPr>
          <w:trHeight w:val="399" w:hRule="atLeast"/>
        </w:trPr>
        <w:tc>
          <w:tcPr>
            <w:tcW w:w="1607"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项目联系人</w:t>
            </w:r>
          </w:p>
        </w:tc>
        <w:tc>
          <w:tcPr>
            <w:tcW w:w="3385"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left"/>
              <w:rPr>
                <w:rFonts w:ascii="宋体" w:hAnsi="宋体" w:cs="宋体"/>
                <w:b/>
                <w:bCs/>
                <w:kern w:val="0"/>
                <w:sz w:val="24"/>
                <w:highlight w:val="none"/>
              </w:rPr>
            </w:pPr>
          </w:p>
        </w:tc>
        <w:tc>
          <w:tcPr>
            <w:tcW w:w="1620"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联系电话</w:t>
            </w:r>
          </w:p>
        </w:tc>
        <w:tc>
          <w:tcPr>
            <w:tcW w:w="2744"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left"/>
              <w:rPr>
                <w:rFonts w:ascii="宋体" w:hAnsi="宋体" w:cs="宋体"/>
                <w:b/>
                <w:bCs/>
                <w:kern w:val="0"/>
                <w:sz w:val="24"/>
                <w:highlight w:val="none"/>
              </w:rPr>
            </w:pPr>
          </w:p>
        </w:tc>
      </w:tr>
      <w:tr>
        <w:tblPrEx>
          <w:tblLayout w:type="fixed"/>
          <w:tblCellMar>
            <w:top w:w="0" w:type="dxa"/>
            <w:left w:w="108" w:type="dxa"/>
            <w:bottom w:w="0" w:type="dxa"/>
            <w:right w:w="108" w:type="dxa"/>
          </w:tblCellMar>
        </w:tblPrEx>
        <w:trPr>
          <w:trHeight w:val="399" w:hRule="atLeast"/>
        </w:trPr>
        <w:tc>
          <w:tcPr>
            <w:tcW w:w="1607"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经营范围</w:t>
            </w:r>
          </w:p>
        </w:tc>
        <w:tc>
          <w:tcPr>
            <w:tcW w:w="7749" w:type="dxa"/>
            <w:gridSpan w:val="8"/>
            <w:tcBorders>
              <w:top w:val="single" w:color="auto" w:sz="8" w:space="0"/>
              <w:left w:val="single" w:color="auto" w:sz="8" w:space="0"/>
              <w:bottom w:val="single" w:color="auto" w:sz="8" w:space="0"/>
              <w:right w:val="single" w:color="auto" w:sz="8" w:space="0"/>
            </w:tcBorders>
            <w:shd w:val="clear" w:color="auto" w:fill="auto"/>
            <w:vAlign w:val="center"/>
          </w:tcPr>
          <w:p>
            <w:pPr>
              <w:widowControl/>
              <w:rPr>
                <w:rFonts w:ascii="宋体" w:hAnsi="宋体" w:cs="宋体"/>
                <w:b/>
                <w:bCs/>
                <w:kern w:val="0"/>
                <w:sz w:val="24"/>
                <w:highlight w:val="none"/>
              </w:rPr>
            </w:pPr>
          </w:p>
          <w:p>
            <w:pPr>
              <w:widowControl/>
              <w:rPr>
                <w:rFonts w:ascii="宋体" w:hAnsi="宋体" w:cs="宋体"/>
                <w:b/>
                <w:bCs/>
                <w:kern w:val="0"/>
                <w:sz w:val="24"/>
                <w:highlight w:val="none"/>
              </w:rPr>
            </w:pPr>
          </w:p>
          <w:p>
            <w:pPr>
              <w:widowControl/>
              <w:rPr>
                <w:rFonts w:ascii="宋体" w:hAnsi="宋体" w:cs="宋体"/>
                <w:b/>
                <w:bCs/>
                <w:kern w:val="0"/>
                <w:sz w:val="24"/>
                <w:highlight w:val="none"/>
              </w:rPr>
            </w:pPr>
          </w:p>
          <w:p>
            <w:pPr>
              <w:widowControl/>
              <w:rPr>
                <w:rFonts w:ascii="宋体" w:hAnsi="宋体" w:cs="宋体"/>
                <w:b/>
                <w:bCs/>
                <w:kern w:val="0"/>
                <w:sz w:val="24"/>
                <w:highlight w:val="none"/>
              </w:rPr>
            </w:pPr>
          </w:p>
        </w:tc>
      </w:tr>
      <w:tr>
        <w:tblPrEx>
          <w:tblLayout w:type="fixed"/>
          <w:tblCellMar>
            <w:top w:w="0" w:type="dxa"/>
            <w:left w:w="108" w:type="dxa"/>
            <w:bottom w:w="0" w:type="dxa"/>
            <w:right w:w="108" w:type="dxa"/>
          </w:tblCellMar>
        </w:tblPrEx>
        <w:trPr>
          <w:trHeight w:val="397" w:hRule="atLeast"/>
        </w:trPr>
        <w:tc>
          <w:tcPr>
            <w:tcW w:w="98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序号</w:t>
            </w:r>
          </w:p>
        </w:tc>
        <w:tc>
          <w:tcPr>
            <w:tcW w:w="5191" w:type="dxa"/>
            <w:gridSpan w:val="7"/>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资质证书（认证项目）名称</w:t>
            </w:r>
          </w:p>
        </w:tc>
        <w:tc>
          <w:tcPr>
            <w:tcW w:w="3184"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发证机关</w:t>
            </w:r>
          </w:p>
        </w:tc>
      </w:tr>
      <w:tr>
        <w:tblPrEx>
          <w:tblLayout w:type="fixed"/>
          <w:tblCellMar>
            <w:top w:w="0" w:type="dxa"/>
            <w:left w:w="108" w:type="dxa"/>
            <w:bottom w:w="0" w:type="dxa"/>
            <w:right w:w="108" w:type="dxa"/>
          </w:tblCellMar>
        </w:tblPrEx>
        <w:trPr>
          <w:trHeight w:val="397" w:hRule="atLeast"/>
        </w:trPr>
        <w:tc>
          <w:tcPr>
            <w:tcW w:w="98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1</w:t>
            </w:r>
          </w:p>
        </w:tc>
        <w:tc>
          <w:tcPr>
            <w:tcW w:w="5191" w:type="dxa"/>
            <w:gridSpan w:val="7"/>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c>
          <w:tcPr>
            <w:tcW w:w="3184"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r>
      <w:tr>
        <w:tblPrEx>
          <w:tblLayout w:type="fixed"/>
          <w:tblCellMar>
            <w:top w:w="0" w:type="dxa"/>
            <w:left w:w="108" w:type="dxa"/>
            <w:bottom w:w="0" w:type="dxa"/>
            <w:right w:w="108" w:type="dxa"/>
          </w:tblCellMar>
        </w:tblPrEx>
        <w:trPr>
          <w:trHeight w:val="397" w:hRule="atLeast"/>
        </w:trPr>
        <w:tc>
          <w:tcPr>
            <w:tcW w:w="98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2</w:t>
            </w:r>
          </w:p>
        </w:tc>
        <w:tc>
          <w:tcPr>
            <w:tcW w:w="5191" w:type="dxa"/>
            <w:gridSpan w:val="7"/>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c>
          <w:tcPr>
            <w:tcW w:w="3184"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r>
      <w:tr>
        <w:tblPrEx>
          <w:tblLayout w:type="fixed"/>
          <w:tblCellMar>
            <w:top w:w="0" w:type="dxa"/>
            <w:left w:w="108" w:type="dxa"/>
            <w:bottom w:w="0" w:type="dxa"/>
            <w:right w:w="108" w:type="dxa"/>
          </w:tblCellMar>
        </w:tblPrEx>
        <w:trPr>
          <w:trHeight w:val="397" w:hRule="atLeast"/>
        </w:trPr>
        <w:tc>
          <w:tcPr>
            <w:tcW w:w="98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3</w:t>
            </w:r>
          </w:p>
        </w:tc>
        <w:tc>
          <w:tcPr>
            <w:tcW w:w="5191" w:type="dxa"/>
            <w:gridSpan w:val="7"/>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c>
          <w:tcPr>
            <w:tcW w:w="3184"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r>
      <w:tr>
        <w:tblPrEx>
          <w:tblLayout w:type="fixed"/>
          <w:tblCellMar>
            <w:top w:w="0" w:type="dxa"/>
            <w:left w:w="108" w:type="dxa"/>
            <w:bottom w:w="0" w:type="dxa"/>
            <w:right w:w="108" w:type="dxa"/>
          </w:tblCellMar>
        </w:tblPrEx>
        <w:trPr>
          <w:trHeight w:val="397" w:hRule="atLeast"/>
        </w:trPr>
        <w:tc>
          <w:tcPr>
            <w:tcW w:w="98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c>
          <w:tcPr>
            <w:tcW w:w="5191" w:type="dxa"/>
            <w:gridSpan w:val="7"/>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c>
          <w:tcPr>
            <w:tcW w:w="3184"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r>
      <w:tr>
        <w:tblPrEx>
          <w:tblLayout w:type="fixed"/>
          <w:tblCellMar>
            <w:top w:w="0" w:type="dxa"/>
            <w:left w:w="108" w:type="dxa"/>
            <w:bottom w:w="0" w:type="dxa"/>
            <w:right w:w="108" w:type="dxa"/>
          </w:tblCellMar>
        </w:tblPrEx>
        <w:trPr>
          <w:trHeight w:val="397" w:hRule="atLeast"/>
        </w:trPr>
        <w:tc>
          <w:tcPr>
            <w:tcW w:w="1607"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主要服务行业</w:t>
            </w:r>
          </w:p>
        </w:tc>
        <w:tc>
          <w:tcPr>
            <w:tcW w:w="2645"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c>
          <w:tcPr>
            <w:tcW w:w="1920"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主要客户</w:t>
            </w:r>
          </w:p>
        </w:tc>
        <w:tc>
          <w:tcPr>
            <w:tcW w:w="3184"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r>
      <w:tr>
        <w:tblPrEx>
          <w:tblLayout w:type="fixed"/>
          <w:tblCellMar>
            <w:top w:w="0" w:type="dxa"/>
            <w:left w:w="108" w:type="dxa"/>
            <w:bottom w:w="0" w:type="dxa"/>
            <w:right w:w="108" w:type="dxa"/>
          </w:tblCellMar>
        </w:tblPrEx>
        <w:trPr>
          <w:trHeight w:val="397" w:hRule="atLeast"/>
        </w:trPr>
        <w:tc>
          <w:tcPr>
            <w:tcW w:w="9356" w:type="dxa"/>
            <w:gridSpan w:val="1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近三年类似业绩</w:t>
            </w:r>
          </w:p>
        </w:tc>
      </w:tr>
      <w:tr>
        <w:tblPrEx>
          <w:tblLayout w:type="fixed"/>
          <w:tblCellMar>
            <w:top w:w="0" w:type="dxa"/>
            <w:left w:w="108" w:type="dxa"/>
            <w:bottom w:w="0" w:type="dxa"/>
            <w:right w:w="108" w:type="dxa"/>
          </w:tblCellMar>
        </w:tblPrEx>
        <w:trPr>
          <w:trHeight w:val="397" w:hRule="atLeast"/>
        </w:trPr>
        <w:tc>
          <w:tcPr>
            <w:tcW w:w="98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序号</w:t>
            </w:r>
          </w:p>
        </w:tc>
        <w:tc>
          <w:tcPr>
            <w:tcW w:w="3271" w:type="dxa"/>
            <w:gridSpan w:val="5"/>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服务单位</w:t>
            </w:r>
          </w:p>
        </w:tc>
        <w:tc>
          <w:tcPr>
            <w:tcW w:w="5104" w:type="dxa"/>
            <w:gridSpan w:val="6"/>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项目内容</w:t>
            </w:r>
          </w:p>
        </w:tc>
      </w:tr>
      <w:tr>
        <w:tblPrEx>
          <w:tblLayout w:type="fixed"/>
          <w:tblCellMar>
            <w:top w:w="0" w:type="dxa"/>
            <w:left w:w="108" w:type="dxa"/>
            <w:bottom w:w="0" w:type="dxa"/>
            <w:right w:w="108" w:type="dxa"/>
          </w:tblCellMar>
        </w:tblPrEx>
        <w:trPr>
          <w:trHeight w:val="397" w:hRule="atLeast"/>
        </w:trPr>
        <w:tc>
          <w:tcPr>
            <w:tcW w:w="98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1</w:t>
            </w:r>
          </w:p>
        </w:tc>
        <w:tc>
          <w:tcPr>
            <w:tcW w:w="3271" w:type="dxa"/>
            <w:gridSpan w:val="5"/>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c>
          <w:tcPr>
            <w:tcW w:w="5104" w:type="dxa"/>
            <w:gridSpan w:val="6"/>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r>
      <w:tr>
        <w:tblPrEx>
          <w:tblLayout w:type="fixed"/>
          <w:tblCellMar>
            <w:top w:w="0" w:type="dxa"/>
            <w:left w:w="108" w:type="dxa"/>
            <w:bottom w:w="0" w:type="dxa"/>
            <w:right w:w="108" w:type="dxa"/>
          </w:tblCellMar>
        </w:tblPrEx>
        <w:trPr>
          <w:trHeight w:val="397" w:hRule="atLeast"/>
        </w:trPr>
        <w:tc>
          <w:tcPr>
            <w:tcW w:w="98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2</w:t>
            </w:r>
          </w:p>
        </w:tc>
        <w:tc>
          <w:tcPr>
            <w:tcW w:w="3271" w:type="dxa"/>
            <w:gridSpan w:val="5"/>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c>
          <w:tcPr>
            <w:tcW w:w="5104" w:type="dxa"/>
            <w:gridSpan w:val="6"/>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r>
      <w:tr>
        <w:tblPrEx>
          <w:tblLayout w:type="fixed"/>
          <w:tblCellMar>
            <w:top w:w="0" w:type="dxa"/>
            <w:left w:w="108" w:type="dxa"/>
            <w:bottom w:w="0" w:type="dxa"/>
            <w:right w:w="108" w:type="dxa"/>
          </w:tblCellMar>
        </w:tblPrEx>
        <w:trPr>
          <w:trHeight w:val="397" w:hRule="atLeast"/>
        </w:trPr>
        <w:tc>
          <w:tcPr>
            <w:tcW w:w="98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3</w:t>
            </w:r>
          </w:p>
        </w:tc>
        <w:tc>
          <w:tcPr>
            <w:tcW w:w="3271" w:type="dxa"/>
            <w:gridSpan w:val="5"/>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c>
          <w:tcPr>
            <w:tcW w:w="5104" w:type="dxa"/>
            <w:gridSpan w:val="6"/>
            <w:tcBorders>
              <w:top w:val="single" w:color="auto" w:sz="8" w:space="0"/>
              <w:left w:val="single" w:color="auto" w:sz="8" w:space="0"/>
              <w:bottom w:val="single" w:color="auto" w:sz="8" w:space="0"/>
              <w:right w:val="single" w:color="auto" w:sz="8" w:space="0"/>
            </w:tcBorders>
            <w:shd w:val="clear" w:color="auto" w:fill="auto"/>
          </w:tcPr>
          <w:p>
            <w:pPr>
              <w:widowControl/>
              <w:jc w:val="center"/>
              <w:rPr>
                <w:b/>
                <w:bCs/>
                <w:kern w:val="0"/>
                <w:sz w:val="24"/>
                <w:highlight w:val="none"/>
              </w:rPr>
            </w:pPr>
          </w:p>
        </w:tc>
      </w:tr>
      <w:tr>
        <w:tblPrEx>
          <w:tblLayout w:type="fixed"/>
          <w:tblCellMar>
            <w:top w:w="0" w:type="dxa"/>
            <w:left w:w="108" w:type="dxa"/>
            <w:bottom w:w="0" w:type="dxa"/>
            <w:right w:w="108" w:type="dxa"/>
          </w:tblCellMar>
        </w:tblPrEx>
        <w:trPr>
          <w:trHeight w:val="399" w:hRule="atLeast"/>
        </w:trPr>
        <w:tc>
          <w:tcPr>
            <w:tcW w:w="1072" w:type="dxa"/>
            <w:gridSpan w:val="2"/>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highlight w:val="none"/>
              </w:rPr>
            </w:pPr>
          </w:p>
        </w:tc>
        <w:tc>
          <w:tcPr>
            <w:tcW w:w="535" w:type="dxa"/>
            <w:gridSpan w:val="2"/>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highlight w:val="none"/>
              </w:rPr>
            </w:pPr>
          </w:p>
        </w:tc>
        <w:tc>
          <w:tcPr>
            <w:tcW w:w="1585" w:type="dxa"/>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highlight w:val="none"/>
              </w:rPr>
            </w:pPr>
          </w:p>
        </w:tc>
        <w:tc>
          <w:tcPr>
            <w:tcW w:w="1060" w:type="dxa"/>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highlight w:val="none"/>
              </w:rPr>
            </w:pPr>
          </w:p>
        </w:tc>
        <w:tc>
          <w:tcPr>
            <w:tcW w:w="740" w:type="dxa"/>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highlight w:val="none"/>
              </w:rPr>
            </w:pPr>
          </w:p>
        </w:tc>
        <w:tc>
          <w:tcPr>
            <w:tcW w:w="1180" w:type="dxa"/>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highlight w:val="none"/>
              </w:rPr>
            </w:pPr>
          </w:p>
        </w:tc>
        <w:tc>
          <w:tcPr>
            <w:tcW w:w="440" w:type="dxa"/>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highlight w:val="none"/>
              </w:rPr>
            </w:pPr>
          </w:p>
        </w:tc>
        <w:tc>
          <w:tcPr>
            <w:tcW w:w="236" w:type="dxa"/>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highlight w:val="none"/>
              </w:rPr>
            </w:pPr>
          </w:p>
        </w:tc>
        <w:tc>
          <w:tcPr>
            <w:tcW w:w="723" w:type="dxa"/>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highlight w:val="none"/>
              </w:rPr>
            </w:pPr>
          </w:p>
        </w:tc>
        <w:tc>
          <w:tcPr>
            <w:tcW w:w="1785" w:type="dxa"/>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highlight w:val="none"/>
              </w:rPr>
            </w:pPr>
          </w:p>
        </w:tc>
      </w:tr>
      <w:tr>
        <w:tblPrEx>
          <w:tblLayout w:type="fixed"/>
          <w:tblCellMar>
            <w:top w:w="0" w:type="dxa"/>
            <w:left w:w="108" w:type="dxa"/>
            <w:bottom w:w="0" w:type="dxa"/>
            <w:right w:w="108" w:type="dxa"/>
          </w:tblCellMar>
        </w:tblPrEx>
        <w:trPr>
          <w:trHeight w:val="399" w:hRule="atLeast"/>
        </w:trPr>
        <w:tc>
          <w:tcPr>
            <w:tcW w:w="9356" w:type="dxa"/>
            <w:gridSpan w:val="12"/>
            <w:tcBorders>
              <w:top w:val="nil"/>
              <w:left w:val="nil"/>
              <w:bottom w:val="nil"/>
              <w:right w:val="nil"/>
            </w:tcBorders>
            <w:shd w:val="clear" w:color="auto" w:fill="auto"/>
            <w:vAlign w:val="center"/>
          </w:tcPr>
          <w:p>
            <w:pPr>
              <w:spacing w:line="400" w:lineRule="exact"/>
              <w:ind w:firstLine="200"/>
              <w:rPr>
                <w:sz w:val="28"/>
                <w:szCs w:val="28"/>
                <w:highlight w:val="none"/>
              </w:rPr>
            </w:pPr>
          </w:p>
          <w:p>
            <w:pPr>
              <w:spacing w:line="400" w:lineRule="exact"/>
              <w:rPr>
                <w:sz w:val="28"/>
                <w:szCs w:val="28"/>
                <w:highlight w:val="none"/>
              </w:rPr>
            </w:pPr>
            <w:r>
              <w:rPr>
                <w:rFonts w:hint="eastAsia"/>
                <w:sz w:val="28"/>
                <w:szCs w:val="28"/>
                <w:highlight w:val="none"/>
              </w:rPr>
              <w:t>报名单位（盖章）：</w:t>
            </w:r>
          </w:p>
        </w:tc>
      </w:tr>
    </w:tbl>
    <w:p>
      <w:pPr>
        <w:spacing w:line="400" w:lineRule="exact"/>
        <w:ind w:left="560" w:hanging="560" w:hangingChars="200"/>
        <w:rPr>
          <w:sz w:val="28"/>
          <w:szCs w:val="28"/>
          <w:highlight w:val="none"/>
        </w:rPr>
      </w:pPr>
    </w:p>
    <w:p>
      <w:pPr>
        <w:spacing w:line="400" w:lineRule="exact"/>
        <w:ind w:left="560" w:hanging="560" w:hangingChars="200"/>
        <w:rPr>
          <w:sz w:val="28"/>
          <w:szCs w:val="28"/>
          <w:highlight w:val="none"/>
        </w:rPr>
      </w:pPr>
      <w:r>
        <w:rPr>
          <w:rFonts w:hint="eastAsia"/>
          <w:sz w:val="28"/>
          <w:szCs w:val="28"/>
          <w:highlight w:val="none"/>
        </w:rPr>
        <w:t>日期：202</w:t>
      </w:r>
      <w:r>
        <w:rPr>
          <w:rFonts w:hint="eastAsia"/>
          <w:sz w:val="28"/>
          <w:szCs w:val="28"/>
          <w:highlight w:val="none"/>
          <w:lang w:val="en-US" w:eastAsia="zh-CN"/>
        </w:rPr>
        <w:t>4</w:t>
      </w:r>
      <w:r>
        <w:rPr>
          <w:rFonts w:hint="eastAsia"/>
          <w:sz w:val="28"/>
          <w:szCs w:val="28"/>
          <w:highlight w:val="none"/>
        </w:rPr>
        <w:t xml:space="preserve">年 </w:t>
      </w:r>
      <w:r>
        <w:rPr>
          <w:sz w:val="28"/>
          <w:szCs w:val="28"/>
          <w:highlight w:val="none"/>
        </w:rPr>
        <w:t xml:space="preserve">  </w:t>
      </w:r>
      <w:r>
        <w:rPr>
          <w:rFonts w:hint="eastAsia"/>
          <w:sz w:val="28"/>
          <w:szCs w:val="28"/>
          <w:highlight w:val="none"/>
        </w:rPr>
        <w:t xml:space="preserve">月 </w:t>
      </w:r>
      <w:r>
        <w:rPr>
          <w:sz w:val="28"/>
          <w:szCs w:val="28"/>
          <w:highlight w:val="none"/>
        </w:rPr>
        <w:t xml:space="preserve"> </w:t>
      </w:r>
      <w:r>
        <w:rPr>
          <w:rFonts w:hint="eastAsia"/>
          <w:sz w:val="28"/>
          <w:szCs w:val="28"/>
          <w:highlight w:val="none"/>
        </w:rPr>
        <w:t>日</w:t>
      </w:r>
    </w:p>
    <w:bookmarkEnd w:id="13"/>
    <w:p>
      <w:pPr>
        <w:spacing w:line="400" w:lineRule="exact"/>
        <w:ind w:left="560" w:hanging="560" w:hangingChars="200"/>
        <w:rPr>
          <w:rFonts w:ascii="宋体" w:hAnsi="宋体"/>
          <w:bCs/>
          <w:sz w:val="30"/>
          <w:szCs w:val="30"/>
          <w:highlight w:val="none"/>
        </w:rPr>
      </w:pPr>
      <w:r>
        <w:rPr>
          <w:sz w:val="28"/>
          <w:szCs w:val="28"/>
          <w:highlight w:val="none"/>
        </w:rPr>
        <w:br w:type="page"/>
      </w:r>
      <w:r>
        <w:rPr>
          <w:rFonts w:hint="eastAsia" w:ascii="宋体" w:hAnsi="宋体"/>
          <w:bCs/>
          <w:sz w:val="30"/>
          <w:szCs w:val="30"/>
          <w:highlight w:val="none"/>
        </w:rPr>
        <w:t>附件3</w:t>
      </w:r>
    </w:p>
    <w:p>
      <w:pPr>
        <w:spacing w:line="500" w:lineRule="exact"/>
        <w:jc w:val="center"/>
        <w:rPr>
          <w:rFonts w:eastAsia="黑体"/>
          <w:b/>
          <w:bCs/>
          <w:sz w:val="36"/>
          <w:highlight w:val="none"/>
        </w:rPr>
      </w:pPr>
      <w:r>
        <w:rPr>
          <w:rFonts w:hint="eastAsia" w:eastAsia="黑体"/>
          <w:b/>
          <w:bCs/>
          <w:sz w:val="36"/>
          <w:highlight w:val="none"/>
        </w:rPr>
        <w:t>法定代表人身份证明书</w:t>
      </w:r>
    </w:p>
    <w:p>
      <w:pPr>
        <w:spacing w:line="500" w:lineRule="exact"/>
        <w:rPr>
          <w:b/>
          <w:bCs/>
          <w:szCs w:val="21"/>
          <w:highlight w:val="none"/>
        </w:rPr>
      </w:pPr>
    </w:p>
    <w:p>
      <w:pPr>
        <w:spacing w:line="500" w:lineRule="exact"/>
        <w:ind w:firstLine="1120" w:firstLineChars="400"/>
        <w:rPr>
          <w:rFonts w:ascii="宋体" w:hAnsi="宋体" w:cs="宋体"/>
          <w:sz w:val="28"/>
          <w:highlight w:val="none"/>
        </w:rPr>
      </w:pPr>
      <w:bookmarkStart w:id="14" w:name="_Hlk33473365"/>
      <w:r>
        <w:rPr>
          <w:rFonts w:hint="eastAsia" w:ascii="宋体" w:hAnsi="宋体" w:cs="宋体"/>
          <w:sz w:val="28"/>
          <w:highlight w:val="none"/>
        </w:rPr>
        <w:t>在我单位任</w:t>
      </w:r>
      <w:r>
        <w:rPr>
          <w:rFonts w:hint="eastAsia" w:ascii="宋体" w:hAnsi="宋体" w:cs="宋体"/>
          <w:sz w:val="28"/>
          <w:highlight w:val="none"/>
          <w:u w:val="single"/>
        </w:rPr>
        <w:t xml:space="preserve"> </w:t>
      </w:r>
      <w:r>
        <w:rPr>
          <w:rFonts w:ascii="宋体" w:hAnsi="宋体" w:cs="宋体"/>
          <w:sz w:val="28"/>
          <w:highlight w:val="none"/>
          <w:u w:val="single"/>
        </w:rPr>
        <w:t xml:space="preserve">    </w:t>
      </w:r>
      <w:r>
        <w:rPr>
          <w:rFonts w:hint="eastAsia" w:ascii="宋体" w:hAnsi="宋体" w:cs="宋体"/>
          <w:sz w:val="28"/>
          <w:highlight w:val="none"/>
        </w:rPr>
        <w:t>职务，是我单位法定代表人，身份证号为</w:t>
      </w:r>
      <w:r>
        <w:rPr>
          <w:rFonts w:hint="eastAsia" w:ascii="宋体" w:hAnsi="宋体" w:cs="宋体"/>
          <w:sz w:val="28"/>
          <w:highlight w:val="none"/>
          <w:u w:val="single"/>
        </w:rPr>
        <w:t xml:space="preserve"> </w:t>
      </w:r>
      <w:r>
        <w:rPr>
          <w:rFonts w:ascii="宋体" w:hAnsi="宋体" w:cs="宋体"/>
          <w:sz w:val="28"/>
          <w:highlight w:val="none"/>
          <w:u w:val="single"/>
        </w:rPr>
        <w:t xml:space="preserve">     </w:t>
      </w:r>
      <w:r>
        <w:rPr>
          <w:rFonts w:hint="eastAsia" w:ascii="宋体" w:hAnsi="宋体" w:cs="宋体"/>
          <w:sz w:val="28"/>
          <w:highlight w:val="none"/>
        </w:rPr>
        <w:t>，特此证明。</w:t>
      </w:r>
    </w:p>
    <w:p>
      <w:pPr>
        <w:spacing w:line="500" w:lineRule="exact"/>
        <w:ind w:firstLine="627" w:firstLineChars="224"/>
        <w:rPr>
          <w:rFonts w:ascii="宋体" w:hAnsi="宋体" w:cs="宋体"/>
          <w:sz w:val="28"/>
          <w:highlight w:val="none"/>
        </w:rPr>
      </w:pPr>
    </w:p>
    <w:p>
      <w:pPr>
        <w:spacing w:line="500" w:lineRule="exact"/>
        <w:jc w:val="left"/>
        <w:rPr>
          <w:rFonts w:ascii="宋体" w:hAnsi="宋体" w:cs="宋体"/>
          <w:sz w:val="28"/>
          <w:highlight w:val="none"/>
        </w:rPr>
      </w:pPr>
      <w:r>
        <w:rPr>
          <w:rFonts w:hint="eastAsia" w:ascii="宋体" w:hAnsi="宋体" w:cs="宋体"/>
          <w:sz w:val="28"/>
          <w:highlight w:val="none"/>
        </w:rPr>
        <w:t>（单位盖章）</w:t>
      </w:r>
    </w:p>
    <w:p>
      <w:pPr>
        <w:spacing w:line="500" w:lineRule="exact"/>
        <w:ind w:firstLine="627" w:firstLineChars="224"/>
        <w:rPr>
          <w:rFonts w:hAnsi="宋体" w:cs="宋体"/>
          <w:sz w:val="28"/>
          <w:szCs w:val="28"/>
          <w:highlight w:val="none"/>
        </w:rPr>
      </w:pPr>
    </w:p>
    <w:p>
      <w:pPr>
        <w:spacing w:line="500" w:lineRule="exact"/>
        <w:rPr>
          <w:rFonts w:ascii="宋体" w:hAnsi="宋体" w:cs="宋体"/>
          <w:sz w:val="28"/>
          <w:highlight w:val="none"/>
        </w:rPr>
      </w:pPr>
      <w:r>
        <w:rPr>
          <w:rFonts w:hint="eastAsia" w:hAnsi="宋体" w:cs="宋体"/>
          <w:sz w:val="28"/>
          <w:szCs w:val="28"/>
          <w:highlight w:val="none"/>
        </w:rPr>
        <w:t>日期：202</w:t>
      </w:r>
      <w:r>
        <w:rPr>
          <w:rFonts w:hint="eastAsia" w:hAnsi="宋体" w:cs="宋体"/>
          <w:sz w:val="28"/>
          <w:szCs w:val="28"/>
          <w:highlight w:val="none"/>
          <w:lang w:val="en-US" w:eastAsia="zh-CN"/>
        </w:rPr>
        <w:t>4</w:t>
      </w:r>
      <w:r>
        <w:rPr>
          <w:rFonts w:hint="eastAsia" w:hAnsi="宋体" w:cs="宋体"/>
          <w:sz w:val="28"/>
          <w:szCs w:val="28"/>
          <w:highlight w:val="none"/>
        </w:rPr>
        <w:t xml:space="preserve">年 </w:t>
      </w:r>
      <w:r>
        <w:rPr>
          <w:rFonts w:hAnsi="宋体" w:cs="宋体"/>
          <w:sz w:val="28"/>
          <w:szCs w:val="28"/>
          <w:highlight w:val="none"/>
        </w:rPr>
        <w:t xml:space="preserve">  </w:t>
      </w:r>
      <w:r>
        <w:rPr>
          <w:rFonts w:hint="eastAsia" w:hAnsi="宋体" w:cs="宋体"/>
          <w:sz w:val="28"/>
          <w:szCs w:val="28"/>
          <w:highlight w:val="none"/>
        </w:rPr>
        <w:t xml:space="preserve">月 </w:t>
      </w:r>
      <w:r>
        <w:rPr>
          <w:rFonts w:hAnsi="宋体" w:cs="宋体"/>
          <w:sz w:val="28"/>
          <w:szCs w:val="28"/>
          <w:highlight w:val="none"/>
        </w:rPr>
        <w:t xml:space="preserve"> </w:t>
      </w:r>
      <w:r>
        <w:rPr>
          <w:rFonts w:hint="eastAsia" w:hAnsi="宋体" w:cs="宋体"/>
          <w:sz w:val="28"/>
          <w:szCs w:val="28"/>
          <w:highlight w:val="none"/>
        </w:rPr>
        <w:t>日</w:t>
      </w:r>
    </w:p>
    <w:p>
      <w:pPr>
        <w:spacing w:line="500" w:lineRule="exact"/>
        <w:rPr>
          <w:rFonts w:ascii="宋体" w:hAnsi="宋体" w:cs="宋体"/>
          <w:sz w:val="28"/>
          <w:highlight w:val="none"/>
        </w:rPr>
      </w:pPr>
      <w:r>
        <w:rPr>
          <w:rFonts w:hint="eastAsia" w:ascii="宋体" w:hAnsi="宋体" w:cs="宋体"/>
          <w:sz w:val="28"/>
          <w:highlight w:val="none"/>
        </w:rPr>
        <w:t xml:space="preserve">单位通信地址：                                </w:t>
      </w:r>
    </w:p>
    <w:p>
      <w:pPr>
        <w:spacing w:line="500" w:lineRule="exact"/>
        <w:rPr>
          <w:rFonts w:ascii="宋体" w:hAnsi="宋体" w:cs="宋体"/>
          <w:sz w:val="28"/>
          <w:highlight w:val="none"/>
        </w:rPr>
      </w:pPr>
    </w:p>
    <w:p>
      <w:pPr>
        <w:spacing w:line="500" w:lineRule="exact"/>
        <w:rPr>
          <w:rFonts w:ascii="宋体" w:hAnsi="宋体" w:cs="宋体"/>
          <w:sz w:val="28"/>
          <w:highlight w:val="none"/>
        </w:rPr>
      </w:pPr>
      <w:r>
        <w:rPr>
          <w:rFonts w:hint="eastAsia" w:ascii="宋体" w:hAnsi="宋体" w:cs="宋体"/>
          <w:sz w:val="28"/>
          <w:highlight w:val="none"/>
        </w:rPr>
        <w:t xml:space="preserve">邮政编码：                 单位联系电话：   </w:t>
      </w:r>
    </w:p>
    <w:p>
      <w:pPr>
        <w:rPr>
          <w:highlight w:val="none"/>
        </w:rPr>
      </w:pPr>
    </w:p>
    <w:p>
      <w:pPr>
        <w:spacing w:line="360" w:lineRule="auto"/>
        <w:rPr>
          <w:rFonts w:ascii="宋体" w:hAnsi="宋体" w:cs="Arial"/>
          <w:color w:val="000000"/>
          <w:sz w:val="28"/>
          <w:szCs w:val="28"/>
          <w:highlight w:val="none"/>
        </w:rPr>
      </w:pPr>
      <w:r>
        <w:rPr>
          <w:rFonts w:hint="eastAsia" w:ascii="宋体" w:hAnsi="宋体" w:cs="Arial"/>
          <w:color w:val="000000"/>
          <w:sz w:val="28"/>
          <w:szCs w:val="28"/>
          <w:highlight w:val="none"/>
        </w:rPr>
        <w:t>附：法人代表身份证正反面或其他身份证明材料复印件</w:t>
      </w:r>
    </w:p>
    <w:bookmarkEnd w:id="14"/>
    <w:p>
      <w:pPr>
        <w:spacing w:line="360" w:lineRule="auto"/>
        <w:rPr>
          <w:rFonts w:ascii="宋体" w:hAnsi="宋体" w:cs="Arial"/>
          <w:color w:val="000000"/>
          <w:sz w:val="28"/>
          <w:szCs w:val="28"/>
          <w:highlight w:val="none"/>
        </w:rPr>
      </w:pPr>
    </w:p>
    <w:p>
      <w:pPr>
        <w:spacing w:line="360" w:lineRule="auto"/>
        <w:rPr>
          <w:rFonts w:ascii="宋体" w:hAnsi="宋体" w:cs="Arial"/>
          <w:color w:val="000000"/>
          <w:sz w:val="30"/>
          <w:szCs w:val="30"/>
          <w:highlight w:val="none"/>
        </w:rPr>
      </w:pPr>
      <w:r>
        <w:rPr>
          <w:rFonts w:hint="eastAsia" w:ascii="宋体" w:hAnsi="宋体" w:cs="Arial"/>
          <w:color w:val="000000"/>
          <w:sz w:val="28"/>
          <w:szCs w:val="28"/>
          <w:highlight w:val="none"/>
        </w:rPr>
        <w:br w:type="page"/>
      </w:r>
      <w:r>
        <w:rPr>
          <w:rFonts w:hint="eastAsia" w:ascii="宋体" w:hAnsi="宋体" w:cs="黑体"/>
          <w:color w:val="000000"/>
          <w:sz w:val="30"/>
          <w:szCs w:val="30"/>
          <w:highlight w:val="none"/>
        </w:rPr>
        <w:t>附件4</w:t>
      </w:r>
    </w:p>
    <w:p>
      <w:pPr>
        <w:spacing w:line="500" w:lineRule="exact"/>
        <w:ind w:firstLine="2168" w:firstLineChars="600"/>
        <w:rPr>
          <w:rFonts w:eastAsia="黑体"/>
          <w:b/>
          <w:bCs/>
          <w:sz w:val="36"/>
          <w:highlight w:val="none"/>
        </w:rPr>
      </w:pPr>
      <w:r>
        <w:rPr>
          <w:rFonts w:hint="eastAsia" w:eastAsia="黑体"/>
          <w:b/>
          <w:bCs/>
          <w:sz w:val="36"/>
          <w:highlight w:val="none"/>
        </w:rPr>
        <w:t>法定代表人授权委托证明书</w:t>
      </w:r>
    </w:p>
    <w:p>
      <w:pPr>
        <w:pStyle w:val="27"/>
        <w:spacing w:line="360" w:lineRule="auto"/>
        <w:ind w:firstLine="424" w:firstLineChars="177"/>
        <w:rPr>
          <w:rFonts w:hAnsi="宋体"/>
          <w:bCs/>
          <w:sz w:val="24"/>
          <w:szCs w:val="24"/>
          <w:highlight w:val="none"/>
        </w:rPr>
      </w:pPr>
    </w:p>
    <w:p>
      <w:pPr>
        <w:pStyle w:val="27"/>
        <w:spacing w:line="360" w:lineRule="auto"/>
        <w:ind w:firstLine="480" w:firstLineChars="200"/>
        <w:rPr>
          <w:rFonts w:hAnsi="宋体"/>
          <w:sz w:val="24"/>
          <w:szCs w:val="24"/>
          <w:highlight w:val="none"/>
        </w:rPr>
      </w:pPr>
      <w:r>
        <w:rPr>
          <w:rFonts w:hint="eastAsia" w:hAnsi="宋体"/>
          <w:bCs/>
          <w:sz w:val="24"/>
          <w:szCs w:val="24"/>
          <w:highlight w:val="none"/>
        </w:rPr>
        <w:t>兹授权（委托代理人姓名）为我方委托代理人，其权限是：</w:t>
      </w:r>
      <w:r>
        <w:rPr>
          <w:rFonts w:hint="eastAsia" w:hAnsi="宋体"/>
          <w:sz w:val="24"/>
          <w:szCs w:val="24"/>
          <w:highlight w:val="none"/>
        </w:rPr>
        <w:t>办理                       （采购单位名称）组织的“                （项目名称）”的投标和合同执行，以我方的名义处理一切与之有关的事宜。</w:t>
      </w:r>
    </w:p>
    <w:p>
      <w:pPr>
        <w:pStyle w:val="27"/>
        <w:spacing w:line="360" w:lineRule="auto"/>
        <w:ind w:firstLine="480" w:firstLineChars="200"/>
        <w:rPr>
          <w:rFonts w:hAnsi="宋体"/>
          <w:bCs/>
          <w:sz w:val="24"/>
          <w:szCs w:val="24"/>
          <w:highlight w:val="none"/>
        </w:rPr>
      </w:pPr>
      <w:r>
        <w:rPr>
          <w:rFonts w:hint="eastAsia" w:hAnsi="宋体"/>
          <w:sz w:val="24"/>
          <w:szCs w:val="24"/>
          <w:highlight w:val="none"/>
          <w:lang w:val="en-GB"/>
        </w:rPr>
        <w:t>本</w:t>
      </w:r>
      <w:r>
        <w:rPr>
          <w:rFonts w:hint="eastAsia" w:hAnsi="宋体"/>
          <w:sz w:val="24"/>
          <w:szCs w:val="24"/>
          <w:highlight w:val="none"/>
        </w:rPr>
        <w:t>授权书</w:t>
      </w:r>
      <w:r>
        <w:rPr>
          <w:rFonts w:hint="eastAsia" w:hAnsi="宋体"/>
          <w:sz w:val="24"/>
          <w:szCs w:val="24"/>
          <w:highlight w:val="none"/>
          <w:lang w:val="en-GB"/>
        </w:rPr>
        <w:t>自</w:t>
      </w:r>
      <w:r>
        <w:rPr>
          <w:rFonts w:hint="eastAsia" w:hAnsi="宋体"/>
          <w:sz w:val="24"/>
          <w:szCs w:val="24"/>
          <w:highlight w:val="none"/>
        </w:rPr>
        <w:t>年月日</w:t>
      </w:r>
      <w:r>
        <w:rPr>
          <w:rFonts w:hint="eastAsia" w:hAnsi="宋体"/>
          <w:sz w:val="24"/>
          <w:szCs w:val="24"/>
          <w:highlight w:val="none"/>
          <w:lang w:val="en-GB"/>
        </w:rPr>
        <w:t>签章之日起生效，特此声明。</w:t>
      </w:r>
    </w:p>
    <w:p>
      <w:pPr>
        <w:pStyle w:val="27"/>
        <w:spacing w:line="360" w:lineRule="auto"/>
        <w:ind w:firstLine="480" w:firstLineChars="200"/>
        <w:rPr>
          <w:rFonts w:hAnsi="宋体"/>
          <w:sz w:val="24"/>
          <w:szCs w:val="24"/>
          <w:highlight w:val="none"/>
          <w:u w:val="single"/>
        </w:rPr>
      </w:pPr>
      <w:r>
        <w:rPr>
          <w:rFonts w:hint="eastAsia" w:hAnsi="宋体"/>
          <w:sz w:val="24"/>
          <w:szCs w:val="24"/>
          <w:highlight w:val="none"/>
        </w:rPr>
        <w:t>附：代理人性别：   年龄：   职务：</w:t>
      </w:r>
    </w:p>
    <w:p>
      <w:pPr>
        <w:pStyle w:val="27"/>
        <w:spacing w:line="360" w:lineRule="auto"/>
        <w:ind w:firstLine="480" w:firstLineChars="200"/>
        <w:rPr>
          <w:rFonts w:hAnsi="宋体"/>
          <w:sz w:val="24"/>
          <w:szCs w:val="24"/>
          <w:highlight w:val="none"/>
          <w:u w:val="single"/>
        </w:rPr>
      </w:pPr>
      <w:r>
        <w:rPr>
          <w:rFonts w:hint="eastAsia" w:hAnsi="宋体"/>
          <w:sz w:val="24"/>
          <w:szCs w:val="24"/>
          <w:highlight w:val="none"/>
        </w:rPr>
        <w:t>　　身份证号码：</w:t>
      </w:r>
    </w:p>
    <w:p>
      <w:pPr>
        <w:pStyle w:val="27"/>
        <w:spacing w:line="360" w:lineRule="auto"/>
        <w:ind w:firstLine="480" w:firstLineChars="200"/>
        <w:rPr>
          <w:rFonts w:hAnsi="宋体"/>
          <w:sz w:val="24"/>
          <w:szCs w:val="24"/>
          <w:highlight w:val="none"/>
          <w:u w:val="single"/>
        </w:rPr>
      </w:pPr>
      <w:r>
        <w:rPr>
          <w:rFonts w:hint="eastAsia" w:hAnsi="宋体"/>
          <w:sz w:val="24"/>
          <w:szCs w:val="24"/>
          <w:highlight w:val="none"/>
        </w:rPr>
        <w:t>　　（营业执照等）注册号码：</w:t>
      </w:r>
    </w:p>
    <w:p>
      <w:pPr>
        <w:pStyle w:val="27"/>
        <w:spacing w:line="360" w:lineRule="auto"/>
        <w:ind w:firstLine="480" w:firstLineChars="200"/>
        <w:rPr>
          <w:rFonts w:hAnsi="宋体"/>
          <w:sz w:val="24"/>
          <w:szCs w:val="24"/>
          <w:highlight w:val="none"/>
          <w:u w:val="single"/>
        </w:rPr>
      </w:pPr>
      <w:r>
        <w:rPr>
          <w:rFonts w:hint="eastAsia" w:hAnsi="宋体"/>
          <w:sz w:val="24"/>
          <w:szCs w:val="24"/>
          <w:highlight w:val="none"/>
        </w:rPr>
        <w:t>　　企业类型：</w:t>
      </w:r>
    </w:p>
    <w:p>
      <w:pPr>
        <w:pStyle w:val="27"/>
        <w:spacing w:line="360" w:lineRule="auto"/>
        <w:ind w:firstLine="480" w:firstLineChars="200"/>
        <w:rPr>
          <w:rFonts w:hAnsi="宋体"/>
          <w:sz w:val="24"/>
          <w:szCs w:val="24"/>
          <w:highlight w:val="none"/>
          <w:u w:val="single"/>
        </w:rPr>
      </w:pPr>
      <w:r>
        <w:rPr>
          <w:rFonts w:hint="eastAsia" w:hAnsi="宋体"/>
          <w:sz w:val="24"/>
          <w:szCs w:val="24"/>
          <w:highlight w:val="none"/>
        </w:rPr>
        <w:t>　　经营范围：</w:t>
      </w:r>
    </w:p>
    <w:p>
      <w:pPr>
        <w:pStyle w:val="27"/>
        <w:spacing w:line="360" w:lineRule="auto"/>
        <w:rPr>
          <w:rFonts w:hAnsi="宋体"/>
          <w:sz w:val="24"/>
          <w:szCs w:val="24"/>
          <w:highlight w:val="none"/>
        </w:rPr>
      </w:pPr>
      <w:r>
        <w:rPr>
          <w:rFonts w:hint="eastAsia" w:hAnsi="宋体"/>
          <w:sz w:val="24"/>
          <w:szCs w:val="24"/>
          <w:highlight w:val="none"/>
        </w:rPr>
        <w:t>附：被授权人有效身份证正反面或其他身份证明材料复印　　　　　　　</w:t>
      </w:r>
    </w:p>
    <w:p>
      <w:pPr>
        <w:pStyle w:val="26"/>
        <w:spacing w:line="360" w:lineRule="auto"/>
        <w:jc w:val="both"/>
        <w:rPr>
          <w:rFonts w:hAnsi="宋体"/>
          <w:sz w:val="24"/>
          <w:szCs w:val="24"/>
          <w:highlight w:val="none"/>
        </w:rPr>
      </w:pPr>
    </w:p>
    <w:p>
      <w:pPr>
        <w:pStyle w:val="26"/>
        <w:spacing w:line="360" w:lineRule="auto"/>
        <w:jc w:val="both"/>
        <w:rPr>
          <w:rFonts w:hAnsi="宋体" w:eastAsia="宋体" w:cs="宋体"/>
          <w:sz w:val="28"/>
          <w:highlight w:val="none"/>
        </w:rPr>
      </w:pPr>
    </w:p>
    <w:p>
      <w:pPr>
        <w:pStyle w:val="26"/>
        <w:spacing w:line="360" w:lineRule="auto"/>
        <w:jc w:val="both"/>
        <w:rPr>
          <w:rFonts w:hAnsi="宋体" w:eastAsia="宋体" w:cs="宋体"/>
          <w:sz w:val="28"/>
          <w:highlight w:val="none"/>
        </w:rPr>
      </w:pPr>
    </w:p>
    <w:p>
      <w:pPr>
        <w:pStyle w:val="26"/>
        <w:spacing w:line="360" w:lineRule="auto"/>
        <w:jc w:val="both"/>
        <w:rPr>
          <w:rFonts w:hAnsi="宋体" w:eastAsia="宋体" w:cs="宋体"/>
          <w:sz w:val="28"/>
          <w:highlight w:val="none"/>
        </w:rPr>
      </w:pPr>
    </w:p>
    <w:p>
      <w:pPr>
        <w:pStyle w:val="26"/>
        <w:spacing w:line="360" w:lineRule="auto"/>
        <w:jc w:val="both"/>
        <w:rPr>
          <w:rFonts w:hAnsi="宋体" w:eastAsia="宋体" w:cs="宋体"/>
          <w:sz w:val="28"/>
          <w:highlight w:val="none"/>
        </w:rPr>
      </w:pPr>
    </w:p>
    <w:p>
      <w:pPr>
        <w:pStyle w:val="26"/>
        <w:spacing w:line="360" w:lineRule="auto"/>
        <w:jc w:val="both"/>
        <w:rPr>
          <w:rFonts w:hAnsi="宋体" w:eastAsia="宋体" w:cs="宋体"/>
          <w:sz w:val="28"/>
          <w:highlight w:val="none"/>
        </w:rPr>
      </w:pPr>
    </w:p>
    <w:p>
      <w:pPr>
        <w:pStyle w:val="26"/>
        <w:spacing w:line="360" w:lineRule="auto"/>
        <w:jc w:val="both"/>
        <w:rPr>
          <w:rFonts w:hAnsi="宋体" w:eastAsia="宋体" w:cs="宋体"/>
          <w:sz w:val="24"/>
          <w:szCs w:val="24"/>
          <w:highlight w:val="none"/>
        </w:rPr>
      </w:pPr>
      <w:r>
        <w:rPr>
          <w:rFonts w:hint="eastAsia" w:hAnsi="宋体" w:eastAsia="宋体" w:cs="宋体"/>
          <w:sz w:val="24"/>
          <w:szCs w:val="24"/>
          <w:highlight w:val="none"/>
        </w:rPr>
        <w:t>（单位盖章）：</w:t>
      </w:r>
    </w:p>
    <w:p>
      <w:pPr>
        <w:pStyle w:val="26"/>
        <w:spacing w:line="360" w:lineRule="auto"/>
        <w:jc w:val="both"/>
        <w:rPr>
          <w:rFonts w:hAnsi="宋体" w:eastAsia="宋体" w:cs="宋体"/>
          <w:sz w:val="24"/>
          <w:szCs w:val="24"/>
          <w:highlight w:val="none"/>
        </w:rPr>
      </w:pPr>
    </w:p>
    <w:p>
      <w:pPr>
        <w:pStyle w:val="26"/>
        <w:spacing w:line="360" w:lineRule="auto"/>
        <w:jc w:val="both"/>
        <w:rPr>
          <w:rFonts w:hAnsi="宋体" w:eastAsia="宋体" w:cs="宋体"/>
          <w:sz w:val="24"/>
          <w:szCs w:val="24"/>
          <w:highlight w:val="none"/>
        </w:rPr>
      </w:pPr>
      <w:bookmarkStart w:id="15" w:name="_Hlk33473384"/>
      <w:r>
        <w:rPr>
          <w:rFonts w:hint="eastAsia" w:hAnsi="宋体" w:eastAsia="宋体" w:cs="宋体"/>
          <w:sz w:val="24"/>
          <w:szCs w:val="24"/>
          <w:highlight w:val="none"/>
        </w:rPr>
        <w:t>法定代表人（签字或盖章）：</w:t>
      </w:r>
    </w:p>
    <w:p>
      <w:pPr>
        <w:pStyle w:val="26"/>
        <w:spacing w:line="360" w:lineRule="auto"/>
        <w:jc w:val="both"/>
        <w:rPr>
          <w:rFonts w:hAnsi="宋体" w:eastAsia="宋体" w:cs="宋体"/>
          <w:sz w:val="24"/>
          <w:szCs w:val="24"/>
          <w:highlight w:val="none"/>
        </w:rPr>
      </w:pPr>
      <w:r>
        <w:rPr>
          <w:rFonts w:hint="eastAsia" w:hAnsi="宋体" w:eastAsia="宋体" w:cs="宋体"/>
          <w:sz w:val="24"/>
          <w:szCs w:val="24"/>
          <w:highlight w:val="none"/>
        </w:rPr>
        <w:t>被授权人（签字或盖章）：</w:t>
      </w:r>
    </w:p>
    <w:p>
      <w:pPr>
        <w:pStyle w:val="26"/>
        <w:spacing w:line="360" w:lineRule="auto"/>
        <w:jc w:val="both"/>
        <w:rPr>
          <w:rFonts w:hAnsi="宋体" w:eastAsia="宋体" w:cs="宋体"/>
          <w:sz w:val="24"/>
          <w:szCs w:val="24"/>
          <w:highlight w:val="none"/>
        </w:rPr>
      </w:pPr>
      <w:r>
        <w:rPr>
          <w:rFonts w:hint="eastAsia" w:hAnsi="宋体" w:eastAsia="宋体" w:cs="宋体"/>
          <w:sz w:val="24"/>
          <w:szCs w:val="24"/>
          <w:highlight w:val="none"/>
        </w:rPr>
        <w:t>日期： 202</w:t>
      </w:r>
      <w:r>
        <w:rPr>
          <w:rFonts w:hint="eastAsia" w:hAnsi="宋体" w:eastAsia="宋体" w:cs="宋体"/>
          <w:sz w:val="24"/>
          <w:szCs w:val="24"/>
          <w:highlight w:val="none"/>
          <w:lang w:val="en-US" w:eastAsia="zh-CN"/>
        </w:rPr>
        <w:t>4</w:t>
      </w:r>
      <w:r>
        <w:rPr>
          <w:rFonts w:hint="eastAsia" w:hAnsi="宋体" w:eastAsia="宋体" w:cs="宋体"/>
          <w:sz w:val="24"/>
          <w:szCs w:val="24"/>
          <w:highlight w:val="none"/>
        </w:rPr>
        <w:t>年   月  日</w:t>
      </w:r>
    </w:p>
    <w:p>
      <w:pPr>
        <w:rPr>
          <w:sz w:val="24"/>
          <w:highlight w:val="none"/>
        </w:rPr>
      </w:pPr>
      <w:r>
        <w:rPr>
          <w:rFonts w:hint="eastAsia" w:hAnsi="宋体" w:cs="宋体"/>
          <w:sz w:val="24"/>
          <w:highlight w:val="none"/>
          <w:lang w:val="zh-CN"/>
        </w:rPr>
        <w:t>说明：法定代表人亲自办理投标事宜的，无需提交本证明书。</w:t>
      </w:r>
    </w:p>
    <w:bookmarkEnd w:id="15"/>
    <w:p>
      <w:pPr>
        <w:spacing w:line="360" w:lineRule="auto"/>
        <w:rPr>
          <w:sz w:val="28"/>
          <w:szCs w:val="28"/>
          <w:highlight w:val="none"/>
        </w:rPr>
      </w:pPr>
    </w:p>
    <w:p>
      <w:pPr>
        <w:rPr>
          <w:rFonts w:ascii="仿宋" w:hAnsi="仿宋" w:eastAsia="仿宋" w:cs="仿宋"/>
          <w:szCs w:val="21"/>
          <w:highlight w:val="none"/>
        </w:rPr>
      </w:pPr>
      <w:r>
        <w:rPr>
          <w:rFonts w:ascii="仿宋" w:hAnsi="仿宋" w:eastAsia="仿宋" w:cs="仿宋"/>
          <w:szCs w:val="21"/>
          <w:highlight w:val="none"/>
        </w:rPr>
        <w:br w:type="page"/>
      </w:r>
    </w:p>
    <w:p>
      <w:pPr>
        <w:rPr>
          <w:rFonts w:hAnsi="宋体"/>
          <w:sz w:val="30"/>
          <w:szCs w:val="30"/>
          <w:highlight w:val="none"/>
        </w:rPr>
      </w:pPr>
      <w:r>
        <w:rPr>
          <w:rFonts w:hint="eastAsia" w:ascii="宋体" w:hAnsi="宋体" w:cs="Arial"/>
          <w:color w:val="000000"/>
          <w:sz w:val="30"/>
          <w:szCs w:val="30"/>
          <w:highlight w:val="none"/>
        </w:rPr>
        <w:t>附件5</w:t>
      </w:r>
    </w:p>
    <w:p>
      <w:pPr>
        <w:ind w:firstLine="2891" w:firstLineChars="800"/>
        <w:rPr>
          <w:rFonts w:ascii="宋体" w:hAnsi="宋体" w:cs="宋体"/>
          <w:b/>
          <w:bCs/>
          <w:sz w:val="36"/>
          <w:szCs w:val="36"/>
          <w:highlight w:val="none"/>
        </w:rPr>
      </w:pPr>
      <w:r>
        <w:rPr>
          <w:rFonts w:hint="eastAsia" w:ascii="宋体" w:hAnsi="宋体" w:cs="宋体"/>
          <w:b/>
          <w:bCs/>
          <w:sz w:val="36"/>
          <w:szCs w:val="36"/>
          <w:highlight w:val="none"/>
        </w:rPr>
        <w:t>投标人资格审查表</w:t>
      </w:r>
    </w:p>
    <w:p>
      <w:pPr>
        <w:ind w:firstLine="2891" w:firstLineChars="800"/>
        <w:rPr>
          <w:rFonts w:ascii="宋体" w:hAnsi="宋体" w:cs="宋体"/>
          <w:b/>
          <w:bCs/>
          <w:sz w:val="36"/>
          <w:szCs w:val="36"/>
          <w:highlight w:val="none"/>
        </w:rPr>
      </w:pPr>
    </w:p>
    <w:p>
      <w:pPr>
        <w:spacing w:line="360" w:lineRule="auto"/>
        <w:rPr>
          <w:rFonts w:hint="eastAsia" w:ascii="宋体" w:hAnsi="宋体" w:eastAsia="宋体"/>
          <w:bCs/>
          <w:szCs w:val="21"/>
          <w:highlight w:val="none"/>
          <w:lang w:eastAsia="zh-CN"/>
        </w:rPr>
      </w:pPr>
      <w:r>
        <w:rPr>
          <w:rFonts w:hint="eastAsia" w:ascii="宋体" w:hAnsi="宋体"/>
          <w:bCs/>
          <w:szCs w:val="21"/>
          <w:highlight w:val="none"/>
        </w:rPr>
        <w:t>项目名称：</w:t>
      </w:r>
      <w:r>
        <w:rPr>
          <w:rFonts w:hint="eastAsia" w:ascii="宋体"/>
          <w:sz w:val="24"/>
          <w:highlight w:val="none"/>
          <w:lang w:eastAsia="zh-CN"/>
        </w:rPr>
        <w:t>3#冷站首层室内参观区域外观质量提升工程</w:t>
      </w:r>
    </w:p>
    <w:tbl>
      <w:tblPr>
        <w:tblStyle w:val="24"/>
        <w:tblW w:w="8444"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48"/>
        <w:gridCol w:w="6862"/>
        <w:gridCol w:w="93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63" w:hRule="atLeast"/>
          <w:jc w:val="center"/>
        </w:trPr>
        <w:tc>
          <w:tcPr>
            <w:tcW w:w="648" w:type="dxa"/>
            <w:vAlign w:val="center"/>
          </w:tcPr>
          <w:p>
            <w:pPr>
              <w:rPr>
                <w:rFonts w:ascii="宋体" w:hAnsi="宋体"/>
                <w:b/>
                <w:szCs w:val="21"/>
                <w:highlight w:val="none"/>
              </w:rPr>
            </w:pPr>
            <w:r>
              <w:rPr>
                <w:rFonts w:hint="eastAsia" w:ascii="宋体" w:hAnsi="宋体" w:cs="宋体"/>
                <w:b/>
                <w:bCs/>
                <w:szCs w:val="21"/>
                <w:highlight w:val="none"/>
              </w:rPr>
              <w:t>序号</w:t>
            </w:r>
          </w:p>
        </w:tc>
        <w:tc>
          <w:tcPr>
            <w:tcW w:w="6862" w:type="dxa"/>
            <w:vAlign w:val="center"/>
          </w:tcPr>
          <w:p>
            <w:pPr>
              <w:ind w:firstLine="422"/>
              <w:jc w:val="center"/>
              <w:rPr>
                <w:rFonts w:ascii="宋体" w:hAnsi="宋体"/>
                <w:b/>
                <w:sz w:val="22"/>
                <w:szCs w:val="21"/>
                <w:highlight w:val="none"/>
              </w:rPr>
            </w:pPr>
            <w:r>
              <w:rPr>
                <w:rFonts w:hint="eastAsia" w:ascii="宋体" w:hAnsi="宋体" w:cs="宋体"/>
                <w:b/>
                <w:bCs/>
                <w:szCs w:val="21"/>
                <w:highlight w:val="none"/>
              </w:rPr>
              <w:t>评审内容</w:t>
            </w:r>
          </w:p>
        </w:tc>
        <w:tc>
          <w:tcPr>
            <w:tcW w:w="934" w:type="dxa"/>
            <w:vAlign w:val="center"/>
          </w:tcPr>
          <w:p>
            <w:pPr>
              <w:rPr>
                <w:rFonts w:ascii="宋体" w:hAnsi="宋体"/>
                <w:b/>
                <w:szCs w:val="21"/>
                <w:highlight w:val="none"/>
              </w:rPr>
            </w:pPr>
            <w:r>
              <w:rPr>
                <w:rFonts w:hint="eastAsia" w:ascii="宋体" w:hAnsi="宋体" w:cs="宋体"/>
                <w:b/>
                <w:bCs/>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63" w:hRule="atLeast"/>
          <w:jc w:val="center"/>
        </w:trPr>
        <w:tc>
          <w:tcPr>
            <w:tcW w:w="648" w:type="dxa"/>
            <w:shd w:val="clear" w:color="auto" w:fill="auto"/>
            <w:vAlign w:val="center"/>
          </w:tcPr>
          <w:p>
            <w:pPr>
              <w:rPr>
                <w:rFonts w:ascii="宋体" w:hAnsi="宋体"/>
                <w:bCs/>
                <w:szCs w:val="21"/>
                <w:highlight w:val="none"/>
              </w:rPr>
            </w:pPr>
            <w:r>
              <w:rPr>
                <w:rFonts w:hint="eastAsia" w:ascii="宋体" w:hAnsi="宋体" w:cs="宋体"/>
                <w:szCs w:val="21"/>
                <w:highlight w:val="none"/>
              </w:rPr>
              <w:t>1</w:t>
            </w:r>
          </w:p>
        </w:tc>
        <w:tc>
          <w:tcPr>
            <w:tcW w:w="6862" w:type="dxa"/>
            <w:shd w:val="clear" w:color="auto" w:fill="auto"/>
            <w:vAlign w:val="center"/>
          </w:tcPr>
          <w:p>
            <w:pPr>
              <w:rPr>
                <w:rFonts w:ascii="宋体" w:hAnsi="宋体"/>
                <w:szCs w:val="21"/>
                <w:highlight w:val="none"/>
              </w:rPr>
            </w:pPr>
            <w:r>
              <w:rPr>
                <w:rFonts w:hint="eastAsia" w:ascii="宋体" w:hAnsi="宋体"/>
                <w:szCs w:val="21"/>
                <w:highlight w:val="none"/>
              </w:rPr>
              <w:t>具备有效的工商营业执照、企业法人组织机构代码证书、税务登记证书（或三证合一）（复印件盖章）</w:t>
            </w:r>
          </w:p>
        </w:tc>
        <w:tc>
          <w:tcPr>
            <w:tcW w:w="934" w:type="dxa"/>
            <w:vAlign w:val="center"/>
          </w:tcPr>
          <w:p>
            <w:pPr>
              <w:spacing w:line="360" w:lineRule="auto"/>
              <w:rPr>
                <w:rFonts w:ascii="宋体" w:hAnsi="宋体"/>
                <w:b/>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63" w:hRule="atLeast"/>
          <w:jc w:val="center"/>
        </w:trPr>
        <w:tc>
          <w:tcPr>
            <w:tcW w:w="648" w:type="dxa"/>
            <w:shd w:val="clear" w:color="auto" w:fill="auto"/>
            <w:vAlign w:val="center"/>
          </w:tcPr>
          <w:p>
            <w:pPr>
              <w:rPr>
                <w:rFonts w:ascii="宋体" w:hAnsi="宋体" w:cs="宋体"/>
                <w:szCs w:val="21"/>
                <w:highlight w:val="none"/>
              </w:rPr>
            </w:pPr>
            <w:r>
              <w:rPr>
                <w:rFonts w:ascii="宋体" w:hAnsi="宋体" w:cs="宋体"/>
                <w:szCs w:val="21"/>
                <w:highlight w:val="none"/>
              </w:rPr>
              <w:t>2</w:t>
            </w:r>
          </w:p>
        </w:tc>
        <w:tc>
          <w:tcPr>
            <w:tcW w:w="6862" w:type="dxa"/>
            <w:shd w:val="clear" w:color="auto" w:fill="auto"/>
            <w:vAlign w:val="center"/>
          </w:tcPr>
          <w:p>
            <w:pPr>
              <w:rPr>
                <w:rFonts w:ascii="宋体" w:hAnsi="宋体" w:cs="宋体"/>
                <w:szCs w:val="21"/>
                <w:highlight w:val="none"/>
              </w:rPr>
            </w:pPr>
            <w:r>
              <w:rPr>
                <w:rFonts w:hint="eastAsia" w:ascii="宋体" w:hAnsi="宋体" w:cs="宋体"/>
                <w:szCs w:val="21"/>
                <w:highlight w:val="none"/>
              </w:rPr>
              <w:t>法定代表人证明书原件或法定代表人授权委托书原件</w:t>
            </w:r>
          </w:p>
        </w:tc>
        <w:tc>
          <w:tcPr>
            <w:tcW w:w="934" w:type="dxa"/>
            <w:vAlign w:val="center"/>
          </w:tcPr>
          <w:p>
            <w:pPr>
              <w:rPr>
                <w:rFonts w:ascii="宋体" w:hAnsi="宋体" w:cs="宋体"/>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87" w:hRule="atLeast"/>
          <w:jc w:val="center"/>
        </w:trPr>
        <w:tc>
          <w:tcPr>
            <w:tcW w:w="648" w:type="dxa"/>
            <w:shd w:val="clear" w:color="auto" w:fill="auto"/>
            <w:vAlign w:val="center"/>
          </w:tcPr>
          <w:p>
            <w:pPr>
              <w:rPr>
                <w:rFonts w:hint="eastAsia" w:ascii="宋体" w:hAnsi="宋体" w:cs="宋体"/>
                <w:sz w:val="21"/>
                <w:szCs w:val="21"/>
                <w:highlight w:val="none"/>
              </w:rPr>
            </w:pPr>
            <w:r>
              <w:rPr>
                <w:rFonts w:hint="eastAsia" w:ascii="宋体" w:hAnsi="宋体" w:cs="宋体"/>
                <w:sz w:val="21"/>
                <w:szCs w:val="21"/>
                <w:highlight w:val="none"/>
              </w:rPr>
              <w:t>3</w:t>
            </w:r>
          </w:p>
        </w:tc>
        <w:tc>
          <w:tcPr>
            <w:tcW w:w="6862" w:type="dxa"/>
            <w:shd w:val="clear" w:color="auto" w:fill="auto"/>
            <w:vAlign w:val="center"/>
          </w:tcPr>
          <w:p>
            <w:pPr>
              <w:rPr>
                <w:rFonts w:hint="eastAsia" w:ascii="宋体" w:hAnsi="宋体" w:cs="宋体"/>
                <w:sz w:val="21"/>
                <w:szCs w:val="21"/>
                <w:highlight w:val="none"/>
              </w:rPr>
            </w:pPr>
            <w:r>
              <w:rPr>
                <w:rFonts w:hint="eastAsia" w:ascii="宋体" w:hAnsi="宋体" w:eastAsia="宋体"/>
                <w:sz w:val="21"/>
                <w:szCs w:val="21"/>
                <w:highlight w:val="none"/>
              </w:rPr>
              <w:t>具有建筑工程施工总承包叁级及以上资质；或具有建筑装修装饰工程专业承包贰级及以上资质</w:t>
            </w:r>
          </w:p>
        </w:tc>
        <w:tc>
          <w:tcPr>
            <w:tcW w:w="934" w:type="dxa"/>
            <w:vAlign w:val="center"/>
          </w:tcPr>
          <w:p>
            <w:pPr>
              <w:rPr>
                <w:rFonts w:ascii="宋体" w:hAnsi="宋体" w:cs="宋体"/>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63" w:hRule="atLeast"/>
          <w:jc w:val="center"/>
        </w:trPr>
        <w:tc>
          <w:tcPr>
            <w:tcW w:w="648" w:type="dxa"/>
            <w:vAlign w:val="center"/>
          </w:tcPr>
          <w:p>
            <w:pPr>
              <w:rPr>
                <w:rFonts w:ascii="宋体" w:hAnsi="宋体"/>
                <w:bCs/>
                <w:szCs w:val="21"/>
                <w:highlight w:val="none"/>
              </w:rPr>
            </w:pPr>
            <w:r>
              <w:rPr>
                <w:rFonts w:hint="eastAsia" w:ascii="宋体" w:hAnsi="宋体"/>
                <w:bCs/>
                <w:szCs w:val="21"/>
                <w:highlight w:val="none"/>
              </w:rPr>
              <w:t>4</w:t>
            </w:r>
          </w:p>
        </w:tc>
        <w:tc>
          <w:tcPr>
            <w:tcW w:w="6862" w:type="dxa"/>
            <w:vAlign w:val="center"/>
          </w:tcPr>
          <w:p>
            <w:pPr>
              <w:rPr>
                <w:rFonts w:ascii="宋体" w:hAnsi="宋体" w:cs="宋体"/>
                <w:bCs/>
                <w:szCs w:val="21"/>
                <w:highlight w:val="none"/>
              </w:rPr>
            </w:pPr>
            <w:r>
              <w:rPr>
                <w:rFonts w:hint="eastAsia" w:ascii="宋体" w:hAnsi="宋体" w:cs="宋体"/>
                <w:bCs/>
                <w:szCs w:val="21"/>
                <w:highlight w:val="none"/>
              </w:rPr>
              <w:t>有效的</w:t>
            </w:r>
            <w:r>
              <w:rPr>
                <w:rFonts w:ascii="宋体" w:hAnsi="宋体" w:cs="宋体"/>
                <w:bCs/>
                <w:szCs w:val="21"/>
                <w:highlight w:val="none"/>
              </w:rPr>
              <w:t>安全生产许可证</w:t>
            </w:r>
            <w:r>
              <w:rPr>
                <w:rFonts w:hint="eastAsia" w:ascii="宋体" w:hAnsi="宋体" w:cs="宋体"/>
                <w:bCs/>
                <w:szCs w:val="21"/>
                <w:highlight w:val="none"/>
              </w:rPr>
              <w:t>（复印件盖章）</w:t>
            </w:r>
          </w:p>
        </w:tc>
        <w:tc>
          <w:tcPr>
            <w:tcW w:w="934" w:type="dxa"/>
            <w:vAlign w:val="center"/>
          </w:tcPr>
          <w:p>
            <w:pPr>
              <w:spacing w:line="360" w:lineRule="auto"/>
              <w:rPr>
                <w:rFonts w:ascii="宋体" w:hAnsi="宋体"/>
                <w:b/>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63" w:hRule="atLeast"/>
          <w:jc w:val="center"/>
        </w:trPr>
        <w:tc>
          <w:tcPr>
            <w:tcW w:w="648" w:type="dxa"/>
            <w:vAlign w:val="center"/>
          </w:tcPr>
          <w:p>
            <w:pPr>
              <w:rPr>
                <w:rFonts w:ascii="宋体" w:hAnsi="宋体"/>
                <w:bCs/>
                <w:szCs w:val="21"/>
                <w:highlight w:val="none"/>
              </w:rPr>
            </w:pPr>
            <w:r>
              <w:rPr>
                <w:rFonts w:hint="eastAsia" w:ascii="宋体" w:hAnsi="宋体"/>
                <w:bCs/>
                <w:szCs w:val="21"/>
                <w:highlight w:val="none"/>
              </w:rPr>
              <w:t>5</w:t>
            </w:r>
          </w:p>
        </w:tc>
        <w:tc>
          <w:tcPr>
            <w:tcW w:w="6862" w:type="dxa"/>
            <w:vAlign w:val="center"/>
          </w:tcPr>
          <w:p>
            <w:pPr>
              <w:rPr>
                <w:rFonts w:ascii="宋体" w:hAnsi="宋体" w:cs="宋体"/>
                <w:szCs w:val="21"/>
                <w:highlight w:val="none"/>
              </w:rPr>
            </w:pPr>
            <w:r>
              <w:rPr>
                <w:rFonts w:hint="eastAsia" w:ascii="宋体" w:hAnsi="宋体" w:cs="宋体"/>
                <w:szCs w:val="21"/>
                <w:highlight w:val="none"/>
              </w:rPr>
              <w:t>近3年内(20</w:t>
            </w:r>
            <w:r>
              <w:rPr>
                <w:rFonts w:hint="eastAsia" w:ascii="宋体" w:hAnsi="宋体" w:cs="宋体"/>
                <w:szCs w:val="21"/>
                <w:highlight w:val="none"/>
                <w:lang w:val="en-US" w:eastAsia="zh-CN"/>
              </w:rPr>
              <w:t>21</w:t>
            </w:r>
            <w:r>
              <w:rPr>
                <w:rFonts w:hint="eastAsia" w:ascii="宋体" w:hAnsi="宋体" w:cs="宋体"/>
                <w:szCs w:val="21"/>
                <w:highlight w:val="none"/>
              </w:rPr>
              <w:t>年1月1日至今) 完成过质量合格的类似项目施工业绩（需提供合同等相关证明材料复印件）</w:t>
            </w:r>
          </w:p>
        </w:tc>
        <w:tc>
          <w:tcPr>
            <w:tcW w:w="934" w:type="dxa"/>
            <w:vAlign w:val="center"/>
          </w:tcPr>
          <w:p>
            <w:pPr>
              <w:spacing w:line="360" w:lineRule="auto"/>
              <w:rPr>
                <w:rFonts w:ascii="宋体" w:hAnsi="宋体"/>
                <w:b/>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63" w:hRule="atLeast"/>
          <w:jc w:val="center"/>
        </w:trPr>
        <w:tc>
          <w:tcPr>
            <w:tcW w:w="648" w:type="dxa"/>
            <w:vAlign w:val="center"/>
          </w:tcPr>
          <w:p>
            <w:pPr>
              <w:rPr>
                <w:rFonts w:ascii="宋体" w:hAnsi="宋体"/>
                <w:bCs/>
                <w:szCs w:val="21"/>
                <w:highlight w:val="none"/>
              </w:rPr>
            </w:pPr>
          </w:p>
        </w:tc>
        <w:tc>
          <w:tcPr>
            <w:tcW w:w="6862" w:type="dxa"/>
            <w:vAlign w:val="center"/>
          </w:tcPr>
          <w:p>
            <w:pPr>
              <w:rPr>
                <w:rFonts w:ascii="宋体" w:hAnsi="宋体" w:cs="宋体"/>
                <w:bCs/>
                <w:szCs w:val="21"/>
                <w:highlight w:val="none"/>
              </w:rPr>
            </w:pPr>
            <w:r>
              <w:rPr>
                <w:rFonts w:hint="eastAsia" w:ascii="宋体" w:hAnsi="宋体" w:cs="宋体"/>
                <w:b/>
                <w:bCs/>
                <w:szCs w:val="21"/>
                <w:highlight w:val="none"/>
              </w:rPr>
              <w:t>评审结论（</w:t>
            </w:r>
            <w:r>
              <w:rPr>
                <w:rFonts w:hint="eastAsia" w:ascii="宋体" w:hAnsi="宋体"/>
                <w:szCs w:val="21"/>
                <w:highlight w:val="none"/>
              </w:rPr>
              <w:t>通过/不通过</w:t>
            </w:r>
            <w:r>
              <w:rPr>
                <w:rFonts w:hint="eastAsia" w:ascii="宋体" w:hAnsi="宋体" w:cs="宋体"/>
                <w:b/>
                <w:bCs/>
                <w:szCs w:val="21"/>
                <w:highlight w:val="none"/>
              </w:rPr>
              <w:t>）</w:t>
            </w:r>
          </w:p>
        </w:tc>
        <w:tc>
          <w:tcPr>
            <w:tcW w:w="934" w:type="dxa"/>
            <w:vAlign w:val="center"/>
          </w:tcPr>
          <w:p>
            <w:pPr>
              <w:spacing w:line="360" w:lineRule="auto"/>
              <w:rPr>
                <w:rFonts w:ascii="宋体" w:hAnsi="宋体"/>
                <w:b/>
                <w:szCs w:val="21"/>
                <w:highlight w:val="none"/>
              </w:rPr>
            </w:pPr>
          </w:p>
        </w:tc>
      </w:tr>
    </w:tbl>
    <w:p>
      <w:pPr>
        <w:spacing w:before="120" w:beforeLines="50" w:after="120" w:afterLines="50" w:line="360" w:lineRule="auto"/>
        <w:ind w:firstLine="480" w:firstLineChars="200"/>
        <w:rPr>
          <w:rFonts w:ascii="宋体" w:hAnsi="宋体"/>
          <w:sz w:val="24"/>
          <w:highlight w:val="none"/>
        </w:rPr>
      </w:pPr>
      <w:r>
        <w:rPr>
          <w:rFonts w:hint="eastAsia" w:ascii="宋体" w:hAnsi="宋体"/>
          <w:sz w:val="24"/>
          <w:highlight w:val="none"/>
        </w:rPr>
        <w:t>注：</w:t>
      </w:r>
    </w:p>
    <w:p>
      <w:pPr>
        <w:numPr>
          <w:ilvl w:val="0"/>
          <w:numId w:val="17"/>
        </w:numPr>
        <w:adjustRightInd w:val="0"/>
        <w:snapToGrid w:val="0"/>
        <w:spacing w:before="120" w:beforeLines="50" w:after="120" w:afterLines="50" w:line="360" w:lineRule="auto"/>
        <w:ind w:firstLine="480" w:firstLineChars="200"/>
        <w:rPr>
          <w:rFonts w:ascii="宋体" w:hAnsi="宋体"/>
          <w:sz w:val="24"/>
          <w:highlight w:val="none"/>
        </w:rPr>
      </w:pPr>
      <w:r>
        <w:rPr>
          <w:rFonts w:hint="eastAsia" w:ascii="宋体" w:hAnsi="宋体"/>
          <w:sz w:val="24"/>
          <w:highlight w:val="none"/>
        </w:rPr>
        <w:t>投标人分栏中填写“√”表示该项符合竞选文件要求，“×”表示该项不符合竞选文件要求，“○”表示无该项内容；</w:t>
      </w:r>
    </w:p>
    <w:p>
      <w:pPr>
        <w:numPr>
          <w:ilvl w:val="0"/>
          <w:numId w:val="17"/>
        </w:numPr>
        <w:adjustRightInd w:val="0"/>
        <w:snapToGrid w:val="0"/>
        <w:spacing w:before="120" w:beforeLines="50" w:after="120" w:afterLines="50" w:line="360" w:lineRule="auto"/>
        <w:ind w:firstLine="480" w:firstLineChars="200"/>
        <w:rPr>
          <w:rFonts w:ascii="宋体" w:hAnsi="宋体"/>
          <w:sz w:val="24"/>
          <w:highlight w:val="none"/>
        </w:rPr>
      </w:pPr>
      <w:r>
        <w:rPr>
          <w:rFonts w:hint="eastAsia" w:ascii="宋体" w:hAnsi="宋体"/>
          <w:sz w:val="24"/>
          <w:highlight w:val="none"/>
        </w:rPr>
        <w:t>经评标委员会审核后，出现一个“×”的结论为“不通过”，即按废标处理。</w:t>
      </w:r>
    </w:p>
    <w:p>
      <w:pPr>
        <w:numPr>
          <w:ilvl w:val="0"/>
          <w:numId w:val="17"/>
        </w:numPr>
        <w:adjustRightInd w:val="0"/>
        <w:snapToGrid w:val="0"/>
        <w:spacing w:before="120" w:beforeLines="50" w:after="120" w:afterLines="50" w:line="360" w:lineRule="auto"/>
        <w:ind w:firstLine="480" w:firstLineChars="200"/>
        <w:rPr>
          <w:rFonts w:ascii="宋体" w:hAnsi="宋体"/>
          <w:sz w:val="24"/>
          <w:highlight w:val="none"/>
        </w:rPr>
      </w:pPr>
      <w:r>
        <w:rPr>
          <w:rFonts w:hint="eastAsia" w:ascii="宋体" w:hAnsi="宋体"/>
          <w:sz w:val="24"/>
          <w:highlight w:val="none"/>
        </w:rPr>
        <w:t>表中全部条件满足为“通过”，同意进入下一阶段评审。</w:t>
      </w:r>
    </w:p>
    <w:p>
      <w:pPr>
        <w:numPr>
          <w:ilvl w:val="0"/>
          <w:numId w:val="17"/>
        </w:numPr>
        <w:adjustRightInd w:val="0"/>
        <w:snapToGrid w:val="0"/>
        <w:spacing w:before="120" w:beforeLines="50" w:after="120" w:afterLines="50" w:line="360" w:lineRule="auto"/>
        <w:ind w:firstLine="480" w:firstLineChars="200"/>
        <w:rPr>
          <w:rFonts w:ascii="宋体" w:hAnsi="宋体"/>
          <w:sz w:val="24"/>
          <w:highlight w:val="none"/>
        </w:rPr>
      </w:pPr>
      <w:r>
        <w:rPr>
          <w:rFonts w:hint="eastAsia"/>
          <w:sz w:val="24"/>
          <w:highlight w:val="none"/>
        </w:rPr>
        <w:t>如对本表中某种情形的</w:t>
      </w:r>
      <w:r>
        <w:rPr>
          <w:rFonts w:hint="eastAsia" w:ascii="宋体" w:hAnsi="宋体"/>
          <w:sz w:val="24"/>
          <w:highlight w:val="none"/>
        </w:rPr>
        <w:t>评委意见不一致时，</w:t>
      </w:r>
      <w:r>
        <w:rPr>
          <w:rFonts w:hint="eastAsia"/>
          <w:sz w:val="24"/>
          <w:highlight w:val="none"/>
        </w:rPr>
        <w:t>以评标委员会过半数成员的意见作为评标委员会对该情形的认定结论。</w:t>
      </w:r>
    </w:p>
    <w:p>
      <w:pPr>
        <w:spacing w:before="120" w:beforeLines="50" w:after="120" w:afterLines="50" w:line="360" w:lineRule="auto"/>
        <w:ind w:firstLine="480" w:firstLineChars="200"/>
        <w:rPr>
          <w:rFonts w:ascii="宋体" w:hAnsi="宋体"/>
          <w:bCs/>
          <w:sz w:val="24"/>
          <w:highlight w:val="none"/>
        </w:rPr>
      </w:pPr>
      <w:r>
        <w:rPr>
          <w:rFonts w:hint="eastAsia" w:ascii="宋体" w:hAnsi="宋体"/>
          <w:bCs/>
          <w:sz w:val="24"/>
          <w:highlight w:val="none"/>
        </w:rPr>
        <w:t xml:space="preserve">评委签名：    </w:t>
      </w:r>
    </w:p>
    <w:p>
      <w:pPr>
        <w:spacing w:before="120" w:beforeLines="50" w:after="120" w:afterLines="50" w:line="360" w:lineRule="auto"/>
        <w:ind w:firstLine="480" w:firstLineChars="200"/>
        <w:rPr>
          <w:rFonts w:ascii="宋体" w:hAnsi="宋体"/>
          <w:sz w:val="24"/>
          <w:highlight w:val="none"/>
        </w:rPr>
      </w:pPr>
      <w:r>
        <w:rPr>
          <w:rFonts w:hint="eastAsia" w:ascii="宋体" w:hAnsi="宋体"/>
          <w:bCs/>
          <w:sz w:val="24"/>
          <w:highlight w:val="none"/>
        </w:rPr>
        <w:t>日 期：</w:t>
      </w:r>
      <w:r>
        <w:rPr>
          <w:rFonts w:hint="eastAsia" w:ascii="宋体" w:hAnsi="宋体"/>
          <w:sz w:val="24"/>
          <w:highlight w:val="none"/>
        </w:rPr>
        <w:t xml:space="preserve">    年   月   日</w:t>
      </w:r>
    </w:p>
    <w:p>
      <w:pPr>
        <w:rPr>
          <w:rFonts w:ascii="仿宋" w:hAnsi="仿宋" w:eastAsia="仿宋" w:cs="仿宋"/>
          <w:szCs w:val="21"/>
          <w:highlight w:val="none"/>
        </w:rPr>
      </w:pPr>
      <w:r>
        <w:rPr>
          <w:rFonts w:ascii="仿宋" w:hAnsi="仿宋" w:eastAsia="仿宋" w:cs="仿宋"/>
          <w:szCs w:val="21"/>
          <w:highlight w:val="none"/>
        </w:rPr>
        <w:br w:type="page"/>
      </w:r>
    </w:p>
    <w:p>
      <w:pPr>
        <w:spacing w:line="400" w:lineRule="exact"/>
        <w:rPr>
          <w:rFonts w:hAnsi="宋体"/>
          <w:szCs w:val="21"/>
          <w:highlight w:val="none"/>
        </w:rPr>
      </w:pPr>
      <w:r>
        <w:rPr>
          <w:rFonts w:hint="eastAsia" w:ascii="宋体" w:hAnsi="宋体" w:cs="Arial"/>
          <w:color w:val="000000"/>
          <w:sz w:val="30"/>
          <w:szCs w:val="30"/>
          <w:highlight w:val="none"/>
        </w:rPr>
        <w:t>附件6</w:t>
      </w:r>
    </w:p>
    <w:p>
      <w:pPr>
        <w:jc w:val="center"/>
        <w:rPr>
          <w:rFonts w:ascii="宋体" w:hAnsi="宋体" w:cs="宋体"/>
          <w:b/>
          <w:bCs/>
          <w:sz w:val="24"/>
          <w:highlight w:val="none"/>
        </w:rPr>
      </w:pPr>
      <w:r>
        <w:rPr>
          <w:rFonts w:hint="eastAsia" w:ascii="宋体" w:hAnsi="宋体" w:cs="宋体"/>
          <w:b/>
          <w:bCs/>
          <w:sz w:val="36"/>
          <w:szCs w:val="36"/>
          <w:highlight w:val="none"/>
        </w:rPr>
        <w:t>投标文件有效性审查表</w:t>
      </w:r>
    </w:p>
    <w:p>
      <w:pPr>
        <w:rPr>
          <w:rFonts w:ascii="宋体" w:hAnsi="宋体"/>
          <w:bCs/>
          <w:szCs w:val="21"/>
          <w:highlight w:val="none"/>
        </w:rPr>
      </w:pPr>
    </w:p>
    <w:p>
      <w:pPr>
        <w:spacing w:line="360" w:lineRule="auto"/>
        <w:rPr>
          <w:rFonts w:hint="eastAsia" w:ascii="宋体" w:hAnsi="宋体" w:eastAsia="宋体"/>
          <w:bCs/>
          <w:szCs w:val="21"/>
          <w:highlight w:val="none"/>
          <w:lang w:eastAsia="zh-CN"/>
        </w:rPr>
      </w:pPr>
      <w:r>
        <w:rPr>
          <w:rFonts w:hint="eastAsia" w:ascii="宋体" w:hAnsi="宋体"/>
          <w:bCs/>
          <w:szCs w:val="21"/>
          <w:highlight w:val="none"/>
        </w:rPr>
        <w:t>项目名称：</w:t>
      </w:r>
      <w:r>
        <w:rPr>
          <w:rFonts w:hint="eastAsia" w:ascii="宋体"/>
          <w:sz w:val="24"/>
          <w:highlight w:val="none"/>
          <w:lang w:eastAsia="zh-CN"/>
        </w:rPr>
        <w:t>3#冷站首层室内参观区域外观质量提升工程</w:t>
      </w:r>
    </w:p>
    <w:tbl>
      <w:tblPr>
        <w:tblStyle w:val="24"/>
        <w:tblW w:w="8299"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71"/>
        <w:gridCol w:w="6410"/>
        <w:gridCol w:w="121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jc w:val="center"/>
        </w:trPr>
        <w:tc>
          <w:tcPr>
            <w:tcW w:w="671" w:type="dxa"/>
            <w:vAlign w:val="center"/>
          </w:tcPr>
          <w:p>
            <w:pPr>
              <w:jc w:val="center"/>
              <w:rPr>
                <w:rFonts w:ascii="宋体" w:hAnsi="宋体"/>
                <w:b/>
                <w:szCs w:val="21"/>
                <w:highlight w:val="none"/>
              </w:rPr>
            </w:pPr>
            <w:r>
              <w:rPr>
                <w:rFonts w:hint="eastAsia" w:ascii="宋体" w:hAnsi="宋体" w:cs="宋体"/>
                <w:b/>
                <w:bCs/>
                <w:szCs w:val="21"/>
                <w:highlight w:val="none"/>
              </w:rPr>
              <w:t>序号</w:t>
            </w:r>
          </w:p>
        </w:tc>
        <w:tc>
          <w:tcPr>
            <w:tcW w:w="6410" w:type="dxa"/>
            <w:vAlign w:val="center"/>
          </w:tcPr>
          <w:p>
            <w:pPr>
              <w:jc w:val="center"/>
              <w:rPr>
                <w:rFonts w:ascii="宋体" w:hAnsi="宋体"/>
                <w:b/>
                <w:szCs w:val="21"/>
                <w:highlight w:val="none"/>
              </w:rPr>
            </w:pPr>
            <w:r>
              <w:rPr>
                <w:rFonts w:hint="eastAsia" w:ascii="宋体" w:hAnsi="宋体" w:cs="宋体"/>
                <w:b/>
                <w:bCs/>
                <w:szCs w:val="21"/>
                <w:highlight w:val="none"/>
              </w:rPr>
              <w:t>评审内容</w:t>
            </w:r>
          </w:p>
        </w:tc>
        <w:tc>
          <w:tcPr>
            <w:tcW w:w="1218" w:type="dxa"/>
            <w:vAlign w:val="center"/>
          </w:tcPr>
          <w:p>
            <w:pPr>
              <w:rPr>
                <w:rFonts w:ascii="宋体" w:hAnsi="宋体"/>
                <w:b/>
                <w:szCs w:val="21"/>
                <w:highlight w:val="none"/>
              </w:rPr>
            </w:pPr>
            <w:r>
              <w:rPr>
                <w:rFonts w:hint="eastAsia" w:ascii="宋体" w:hAnsi="宋体" w:cs="宋体"/>
                <w:b/>
                <w:bCs/>
                <w:szCs w:val="21"/>
                <w:highlight w:val="none"/>
              </w:rPr>
              <w:t>投标人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jc w:val="center"/>
        </w:trPr>
        <w:tc>
          <w:tcPr>
            <w:tcW w:w="671" w:type="dxa"/>
            <w:shd w:val="clear" w:color="auto" w:fill="auto"/>
            <w:vAlign w:val="center"/>
          </w:tcPr>
          <w:p>
            <w:pPr>
              <w:rPr>
                <w:rFonts w:ascii="宋体" w:hAnsi="宋体"/>
                <w:bCs/>
                <w:szCs w:val="21"/>
                <w:highlight w:val="none"/>
              </w:rPr>
            </w:pPr>
            <w:r>
              <w:rPr>
                <w:rFonts w:hint="eastAsia" w:ascii="宋体" w:hAnsi="宋体" w:cs="宋体"/>
                <w:szCs w:val="21"/>
              </w:rPr>
              <w:t>1</w:t>
            </w:r>
          </w:p>
        </w:tc>
        <w:tc>
          <w:tcPr>
            <w:tcW w:w="6410" w:type="dxa"/>
            <w:shd w:val="clear" w:color="auto" w:fill="auto"/>
            <w:vAlign w:val="center"/>
          </w:tcPr>
          <w:p>
            <w:pPr>
              <w:rPr>
                <w:rFonts w:ascii="宋体" w:hAnsi="宋体"/>
                <w:szCs w:val="21"/>
                <w:highlight w:val="none"/>
              </w:rPr>
            </w:pPr>
            <w:r>
              <w:rPr>
                <w:rFonts w:hint="eastAsia" w:ascii="宋体" w:hAnsi="宋体"/>
                <w:szCs w:val="21"/>
                <w:highlight w:val="none"/>
              </w:rPr>
              <w:t>投标文件未按竞选文件的规定密封、盖章和签署；</w:t>
            </w:r>
          </w:p>
        </w:tc>
        <w:tc>
          <w:tcPr>
            <w:tcW w:w="1218" w:type="dxa"/>
            <w:vAlign w:val="center"/>
          </w:tcPr>
          <w:p>
            <w:pPr>
              <w:spacing w:line="360" w:lineRule="auto"/>
              <w:rPr>
                <w:rFonts w:ascii="宋体" w:hAnsi="宋体"/>
                <w:b/>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jc w:val="center"/>
        </w:trPr>
        <w:tc>
          <w:tcPr>
            <w:tcW w:w="671" w:type="dxa"/>
            <w:shd w:val="clear" w:color="auto" w:fill="auto"/>
            <w:vAlign w:val="center"/>
          </w:tcPr>
          <w:p>
            <w:pPr>
              <w:rPr>
                <w:rFonts w:ascii="宋体" w:hAnsi="宋体"/>
                <w:bCs/>
                <w:szCs w:val="21"/>
                <w:highlight w:val="none"/>
              </w:rPr>
            </w:pPr>
            <w:r>
              <w:rPr>
                <w:rFonts w:hint="eastAsia" w:ascii="宋体" w:hAnsi="宋体" w:cs="宋体"/>
                <w:szCs w:val="21"/>
              </w:rPr>
              <w:t>2</w:t>
            </w:r>
          </w:p>
        </w:tc>
        <w:tc>
          <w:tcPr>
            <w:tcW w:w="6410" w:type="dxa"/>
            <w:shd w:val="clear" w:color="auto" w:fill="auto"/>
            <w:vAlign w:val="center"/>
          </w:tcPr>
          <w:p>
            <w:pPr>
              <w:rPr>
                <w:rFonts w:ascii="宋体" w:hAnsi="宋体"/>
                <w:szCs w:val="21"/>
                <w:highlight w:val="none"/>
              </w:rPr>
            </w:pPr>
            <w:r>
              <w:rPr>
                <w:rFonts w:hint="eastAsia" w:ascii="宋体" w:hAnsi="宋体"/>
                <w:szCs w:val="21"/>
                <w:highlight w:val="none"/>
              </w:rPr>
              <w:t>投标文件未按竞选文件规定的格式填写，内容不全或关键字迹模糊、无法辩认；</w:t>
            </w:r>
          </w:p>
        </w:tc>
        <w:tc>
          <w:tcPr>
            <w:tcW w:w="1218" w:type="dxa"/>
            <w:vAlign w:val="center"/>
          </w:tcPr>
          <w:p>
            <w:pPr>
              <w:spacing w:line="360" w:lineRule="auto"/>
              <w:rPr>
                <w:rFonts w:ascii="宋体" w:hAnsi="宋体"/>
                <w:b/>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jc w:val="center"/>
        </w:trPr>
        <w:tc>
          <w:tcPr>
            <w:tcW w:w="671" w:type="dxa"/>
            <w:shd w:val="clear" w:color="auto" w:fill="auto"/>
            <w:vAlign w:val="center"/>
          </w:tcPr>
          <w:p>
            <w:pPr>
              <w:rPr>
                <w:rFonts w:hint="eastAsia" w:ascii="宋体" w:hAnsi="宋体" w:cs="宋体"/>
                <w:szCs w:val="21"/>
                <w:highlight w:val="none"/>
              </w:rPr>
            </w:pPr>
            <w:r>
              <w:rPr>
                <w:rFonts w:hint="eastAsia" w:ascii="宋体" w:hAnsi="宋体" w:cs="宋体"/>
                <w:szCs w:val="21"/>
              </w:rPr>
              <w:t>3</w:t>
            </w:r>
          </w:p>
        </w:tc>
        <w:tc>
          <w:tcPr>
            <w:tcW w:w="6410" w:type="dxa"/>
            <w:shd w:val="clear" w:color="auto" w:fill="auto"/>
            <w:vAlign w:val="center"/>
          </w:tcPr>
          <w:p>
            <w:pPr>
              <w:rPr>
                <w:rFonts w:hint="eastAsia" w:ascii="宋体" w:hAnsi="宋体" w:cs="宋体"/>
                <w:szCs w:val="21"/>
                <w:highlight w:val="none"/>
              </w:rPr>
            </w:pPr>
            <w:r>
              <w:rPr>
                <w:rFonts w:hint="eastAsia" w:ascii="宋体" w:hAnsi="宋体" w:cs="宋体"/>
                <w:szCs w:val="21"/>
              </w:rPr>
              <w:t>投标人被列入“信用中国”网站（www.creditchina.gov.cn）记录失信被执行人或重大税收违法案件当事人名单，投标人</w:t>
            </w:r>
            <w:r>
              <w:rPr>
                <w:rFonts w:hint="eastAsia" w:ascii="宋体" w:hAnsi="宋体" w:cs="宋体"/>
                <w:szCs w:val="21"/>
                <w:lang w:val="en-US" w:eastAsia="zh-CN"/>
              </w:rPr>
              <w:t>未</w:t>
            </w:r>
            <w:r>
              <w:rPr>
                <w:rFonts w:hint="eastAsia" w:ascii="宋体" w:hAnsi="宋体" w:cs="宋体"/>
                <w:szCs w:val="21"/>
              </w:rPr>
              <w:t>提供《信用记录承诺函》附“信用中国”网站（www.creditchina.gov.cn）的信用记录查询结果截图并打印页面加盖公章。</w:t>
            </w:r>
          </w:p>
        </w:tc>
        <w:tc>
          <w:tcPr>
            <w:tcW w:w="1218" w:type="dxa"/>
            <w:vAlign w:val="center"/>
          </w:tcPr>
          <w:p>
            <w:pPr>
              <w:spacing w:line="360" w:lineRule="auto"/>
              <w:rPr>
                <w:rFonts w:ascii="宋体" w:hAnsi="宋体"/>
                <w:b/>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jc w:val="center"/>
        </w:trPr>
        <w:tc>
          <w:tcPr>
            <w:tcW w:w="671" w:type="dxa"/>
            <w:shd w:val="clear" w:color="auto" w:fill="auto"/>
            <w:vAlign w:val="center"/>
          </w:tcPr>
          <w:p>
            <w:pPr>
              <w:rPr>
                <w:rFonts w:hint="eastAsia" w:ascii="宋体" w:hAnsi="宋体" w:cs="宋体"/>
                <w:szCs w:val="21"/>
                <w:highlight w:val="none"/>
              </w:rPr>
            </w:pPr>
            <w:r>
              <w:rPr>
                <w:rFonts w:hint="eastAsia" w:ascii="宋体" w:hAnsi="宋体" w:cs="宋体"/>
                <w:szCs w:val="21"/>
              </w:rPr>
              <w:t>4</w:t>
            </w:r>
          </w:p>
        </w:tc>
        <w:tc>
          <w:tcPr>
            <w:tcW w:w="6410" w:type="dxa"/>
            <w:shd w:val="clear" w:color="auto" w:fill="auto"/>
            <w:vAlign w:val="center"/>
          </w:tcPr>
          <w:p>
            <w:pPr>
              <w:rPr>
                <w:rFonts w:hint="eastAsia" w:ascii="宋体" w:hAnsi="宋体" w:cs="宋体"/>
                <w:szCs w:val="21"/>
                <w:highlight w:val="none"/>
              </w:rPr>
            </w:pPr>
            <w:r>
              <w:rPr>
                <w:rFonts w:hint="eastAsia" w:ascii="宋体" w:hAnsi="宋体" w:cs="宋体"/>
                <w:szCs w:val="21"/>
              </w:rPr>
              <w:t>投标人</w:t>
            </w:r>
            <w:r>
              <w:rPr>
                <w:rFonts w:hint="eastAsia" w:ascii="宋体" w:hAnsi="宋体" w:cs="宋体"/>
                <w:szCs w:val="21"/>
                <w:lang w:val="en-US" w:eastAsia="zh-CN"/>
              </w:rPr>
              <w:t>无提供：</w:t>
            </w:r>
            <w:r>
              <w:rPr>
                <w:rFonts w:hint="eastAsia" w:ascii="宋体" w:hAnsi="宋体" w:cs="宋体"/>
                <w:szCs w:val="21"/>
              </w:rPr>
              <w:t>没有处于被责令停业或破产状态，且资产未被重组、接管和冻结，声明在投标活动中3年内没有重大违法活动和涉嫌违规行为</w:t>
            </w:r>
            <w:r>
              <w:rPr>
                <w:rFonts w:hint="eastAsia" w:ascii="宋体" w:hAnsi="宋体" w:cs="宋体"/>
                <w:szCs w:val="21"/>
                <w:lang w:val="en-US" w:eastAsia="zh-CN"/>
              </w:rPr>
              <w:t>的文件</w:t>
            </w:r>
            <w:r>
              <w:rPr>
                <w:rFonts w:hint="eastAsia" w:ascii="宋体" w:hAnsi="宋体" w:cs="宋体"/>
                <w:szCs w:val="21"/>
              </w:rPr>
              <w:t>。（格式自拟）</w:t>
            </w:r>
          </w:p>
        </w:tc>
        <w:tc>
          <w:tcPr>
            <w:tcW w:w="1218" w:type="dxa"/>
            <w:vAlign w:val="center"/>
          </w:tcPr>
          <w:p>
            <w:pPr>
              <w:spacing w:line="360" w:lineRule="auto"/>
              <w:rPr>
                <w:rFonts w:ascii="宋体" w:hAnsi="宋体"/>
                <w:b/>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jc w:val="center"/>
        </w:trPr>
        <w:tc>
          <w:tcPr>
            <w:tcW w:w="671" w:type="dxa"/>
            <w:shd w:val="clear" w:color="auto" w:fill="auto"/>
            <w:vAlign w:val="center"/>
          </w:tcPr>
          <w:p>
            <w:pPr>
              <w:rPr>
                <w:rFonts w:ascii="宋体" w:hAnsi="宋体"/>
                <w:bCs/>
                <w:szCs w:val="21"/>
                <w:highlight w:val="none"/>
              </w:rPr>
            </w:pPr>
            <w:r>
              <w:rPr>
                <w:rFonts w:hint="eastAsia" w:ascii="宋体" w:hAnsi="宋体" w:cs="宋体"/>
                <w:szCs w:val="21"/>
              </w:rPr>
              <w:t>5</w:t>
            </w:r>
          </w:p>
        </w:tc>
        <w:tc>
          <w:tcPr>
            <w:tcW w:w="6410" w:type="dxa"/>
            <w:shd w:val="clear" w:color="auto" w:fill="auto"/>
            <w:vAlign w:val="center"/>
          </w:tcPr>
          <w:p>
            <w:pPr>
              <w:rPr>
                <w:rFonts w:ascii="宋体" w:hAnsi="宋体"/>
                <w:szCs w:val="21"/>
                <w:highlight w:val="none"/>
              </w:rPr>
            </w:pPr>
            <w:r>
              <w:rPr>
                <w:rFonts w:hint="eastAsia" w:ascii="宋体" w:hAnsi="宋体" w:cs="宋体"/>
                <w:szCs w:val="21"/>
                <w:highlight w:val="none"/>
              </w:rPr>
              <w:t>对同一竞选项目出现两个或以上的投标报价，且没声明哪个有效；</w:t>
            </w:r>
          </w:p>
        </w:tc>
        <w:tc>
          <w:tcPr>
            <w:tcW w:w="1218" w:type="dxa"/>
            <w:vAlign w:val="center"/>
          </w:tcPr>
          <w:p>
            <w:pPr>
              <w:spacing w:line="360" w:lineRule="auto"/>
              <w:rPr>
                <w:rFonts w:ascii="宋体" w:hAnsi="宋体"/>
                <w:b/>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jc w:val="center"/>
        </w:trPr>
        <w:tc>
          <w:tcPr>
            <w:tcW w:w="671" w:type="dxa"/>
            <w:shd w:val="clear" w:color="auto" w:fill="auto"/>
            <w:vAlign w:val="center"/>
          </w:tcPr>
          <w:p>
            <w:pPr>
              <w:rPr>
                <w:rFonts w:ascii="宋体" w:hAnsi="宋体"/>
                <w:bCs/>
                <w:szCs w:val="21"/>
                <w:highlight w:val="none"/>
              </w:rPr>
            </w:pPr>
            <w:r>
              <w:rPr>
                <w:rFonts w:hint="eastAsia" w:ascii="宋体" w:hAnsi="宋体" w:cs="宋体"/>
                <w:szCs w:val="21"/>
              </w:rPr>
              <w:t>6</w:t>
            </w:r>
          </w:p>
        </w:tc>
        <w:tc>
          <w:tcPr>
            <w:tcW w:w="6410" w:type="dxa"/>
            <w:shd w:val="clear" w:color="auto" w:fill="auto"/>
            <w:vAlign w:val="center"/>
          </w:tcPr>
          <w:p>
            <w:pPr>
              <w:rPr>
                <w:rFonts w:ascii="宋体" w:hAnsi="宋体"/>
                <w:szCs w:val="21"/>
                <w:highlight w:val="none"/>
              </w:rPr>
            </w:pPr>
            <w:r>
              <w:rPr>
                <w:rFonts w:hint="eastAsia" w:ascii="宋体" w:hAnsi="宋体" w:cs="宋体"/>
                <w:szCs w:val="21"/>
                <w:highlight w:val="none"/>
              </w:rPr>
              <w:t>投标总报价低于企业自身成本；</w:t>
            </w:r>
          </w:p>
        </w:tc>
        <w:tc>
          <w:tcPr>
            <w:tcW w:w="1218" w:type="dxa"/>
            <w:vAlign w:val="center"/>
          </w:tcPr>
          <w:p>
            <w:pPr>
              <w:tabs>
                <w:tab w:val="left" w:pos="553"/>
              </w:tabs>
              <w:spacing w:line="360" w:lineRule="auto"/>
              <w:rPr>
                <w:rFonts w:ascii="宋体" w:hAnsi="宋体"/>
                <w:b/>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jc w:val="center"/>
        </w:trPr>
        <w:tc>
          <w:tcPr>
            <w:tcW w:w="671" w:type="dxa"/>
            <w:shd w:val="clear" w:color="auto" w:fill="auto"/>
            <w:vAlign w:val="center"/>
          </w:tcPr>
          <w:p>
            <w:pPr>
              <w:rPr>
                <w:rFonts w:ascii="宋体" w:hAnsi="宋体"/>
                <w:bCs/>
                <w:szCs w:val="21"/>
                <w:highlight w:val="none"/>
              </w:rPr>
            </w:pPr>
            <w:r>
              <w:rPr>
                <w:rFonts w:hint="eastAsia" w:ascii="宋体" w:hAnsi="宋体" w:cs="宋体"/>
                <w:szCs w:val="21"/>
              </w:rPr>
              <w:t>7</w:t>
            </w:r>
          </w:p>
        </w:tc>
        <w:tc>
          <w:tcPr>
            <w:tcW w:w="6410" w:type="dxa"/>
            <w:shd w:val="clear" w:color="auto" w:fill="auto"/>
            <w:vAlign w:val="center"/>
          </w:tcPr>
          <w:p>
            <w:pPr>
              <w:rPr>
                <w:rFonts w:ascii="宋体" w:hAnsi="宋体"/>
                <w:szCs w:val="21"/>
                <w:highlight w:val="none"/>
              </w:rPr>
            </w:pPr>
            <w:r>
              <w:rPr>
                <w:rFonts w:hint="eastAsia" w:ascii="宋体" w:hAnsi="宋体" w:cs="宋体"/>
                <w:szCs w:val="21"/>
                <w:highlight w:val="none"/>
              </w:rPr>
              <w:t>投标报价超过</w:t>
            </w:r>
            <w:r>
              <w:rPr>
                <w:rFonts w:hint="eastAsia" w:ascii="宋体" w:hAnsi="宋体"/>
                <w:szCs w:val="21"/>
                <w:highlight w:val="none"/>
              </w:rPr>
              <w:t>采购限价</w:t>
            </w:r>
            <w:r>
              <w:rPr>
                <w:rFonts w:hint="eastAsia" w:ascii="宋体" w:hAnsi="宋体" w:cs="宋体"/>
                <w:szCs w:val="21"/>
                <w:highlight w:val="none"/>
              </w:rPr>
              <w:t>；</w:t>
            </w:r>
          </w:p>
        </w:tc>
        <w:tc>
          <w:tcPr>
            <w:tcW w:w="1218" w:type="dxa"/>
            <w:vAlign w:val="center"/>
          </w:tcPr>
          <w:p>
            <w:pPr>
              <w:spacing w:line="360" w:lineRule="auto"/>
              <w:rPr>
                <w:rFonts w:ascii="宋体" w:hAnsi="宋体"/>
                <w:b/>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jc w:val="center"/>
        </w:trPr>
        <w:tc>
          <w:tcPr>
            <w:tcW w:w="671" w:type="dxa"/>
            <w:shd w:val="clear" w:color="auto" w:fill="auto"/>
            <w:vAlign w:val="center"/>
          </w:tcPr>
          <w:p>
            <w:pPr>
              <w:rPr>
                <w:rFonts w:ascii="宋体" w:hAnsi="宋体"/>
                <w:bCs/>
                <w:szCs w:val="21"/>
                <w:highlight w:val="none"/>
              </w:rPr>
            </w:pPr>
            <w:r>
              <w:rPr>
                <w:rFonts w:hint="eastAsia" w:ascii="宋体" w:hAnsi="宋体" w:cs="宋体"/>
                <w:szCs w:val="21"/>
              </w:rPr>
              <w:t>8</w:t>
            </w:r>
          </w:p>
        </w:tc>
        <w:tc>
          <w:tcPr>
            <w:tcW w:w="6410" w:type="dxa"/>
            <w:shd w:val="clear" w:color="auto" w:fill="auto"/>
            <w:vAlign w:val="center"/>
          </w:tcPr>
          <w:p>
            <w:pPr>
              <w:rPr>
                <w:szCs w:val="21"/>
                <w:highlight w:val="none"/>
              </w:rPr>
            </w:pPr>
            <w:r>
              <w:rPr>
                <w:rFonts w:hint="eastAsia" w:ascii="宋体" w:hAnsi="宋体" w:cs="宋体"/>
                <w:szCs w:val="21"/>
                <w:highlight w:val="none"/>
              </w:rPr>
              <w:t>工期不满足竞选文件要求的；</w:t>
            </w:r>
          </w:p>
        </w:tc>
        <w:tc>
          <w:tcPr>
            <w:tcW w:w="1218" w:type="dxa"/>
            <w:vAlign w:val="center"/>
          </w:tcPr>
          <w:p>
            <w:pPr>
              <w:spacing w:line="360" w:lineRule="auto"/>
              <w:rPr>
                <w:rFonts w:ascii="宋体" w:hAnsi="宋体"/>
                <w:b/>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jc w:val="center"/>
        </w:trPr>
        <w:tc>
          <w:tcPr>
            <w:tcW w:w="671" w:type="dxa"/>
            <w:shd w:val="clear" w:color="auto" w:fill="auto"/>
            <w:vAlign w:val="center"/>
          </w:tcPr>
          <w:p>
            <w:pPr>
              <w:rPr>
                <w:rFonts w:ascii="宋体" w:hAnsi="宋体"/>
                <w:bCs/>
                <w:szCs w:val="21"/>
                <w:highlight w:val="none"/>
              </w:rPr>
            </w:pPr>
            <w:r>
              <w:rPr>
                <w:rFonts w:hint="eastAsia" w:ascii="宋体" w:hAnsi="宋体" w:cs="宋体"/>
                <w:szCs w:val="21"/>
              </w:rPr>
              <w:t>9</w:t>
            </w:r>
          </w:p>
        </w:tc>
        <w:tc>
          <w:tcPr>
            <w:tcW w:w="6410" w:type="dxa"/>
            <w:shd w:val="clear" w:color="auto" w:fill="auto"/>
            <w:vAlign w:val="center"/>
          </w:tcPr>
          <w:p>
            <w:pPr>
              <w:numPr>
                <w:ilvl w:val="0"/>
                <w:numId w:val="0"/>
              </w:numPr>
              <w:spacing w:before="120" w:beforeLines="50" w:after="120" w:afterLines="50" w:line="360" w:lineRule="auto"/>
              <w:ind w:left="0" w:leftChars="0" w:firstLine="0" w:firstLineChars="0"/>
              <w:rPr>
                <w:szCs w:val="21"/>
                <w:highlight w:val="none"/>
              </w:rPr>
            </w:pPr>
            <w:r>
              <w:rPr>
                <w:rFonts w:hint="eastAsia" w:ascii="宋体" w:hAnsi="宋体" w:cs="宋体"/>
                <w:b w:val="0"/>
                <w:bCs w:val="0"/>
                <w:szCs w:val="21"/>
                <w:highlight w:val="none"/>
              </w:rPr>
              <w:t>施工方案或施工组织设计未响应竞选文件中已明确必须要作实质性响应的内容；</w:t>
            </w:r>
          </w:p>
        </w:tc>
        <w:tc>
          <w:tcPr>
            <w:tcW w:w="1218" w:type="dxa"/>
            <w:vAlign w:val="center"/>
          </w:tcPr>
          <w:p>
            <w:pPr>
              <w:spacing w:line="360" w:lineRule="auto"/>
              <w:rPr>
                <w:rFonts w:ascii="宋体" w:hAnsi="宋体"/>
                <w:b/>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jc w:val="center"/>
        </w:trPr>
        <w:tc>
          <w:tcPr>
            <w:tcW w:w="671" w:type="dxa"/>
            <w:shd w:val="clear" w:color="auto" w:fill="auto"/>
            <w:vAlign w:val="center"/>
          </w:tcPr>
          <w:p>
            <w:pPr>
              <w:rPr>
                <w:rFonts w:ascii="宋体" w:hAnsi="宋体"/>
                <w:bCs/>
                <w:szCs w:val="21"/>
                <w:highlight w:val="none"/>
              </w:rPr>
            </w:pPr>
            <w:r>
              <w:rPr>
                <w:rFonts w:hint="eastAsia" w:ascii="宋体" w:hAnsi="宋体" w:cs="宋体"/>
                <w:szCs w:val="21"/>
              </w:rPr>
              <w:t>10</w:t>
            </w:r>
          </w:p>
        </w:tc>
        <w:tc>
          <w:tcPr>
            <w:tcW w:w="6410" w:type="dxa"/>
            <w:shd w:val="clear" w:color="auto" w:fill="auto"/>
            <w:vAlign w:val="center"/>
          </w:tcPr>
          <w:p>
            <w:pPr>
              <w:rPr>
                <w:szCs w:val="21"/>
                <w:highlight w:val="none"/>
              </w:rPr>
            </w:pPr>
            <w:r>
              <w:rPr>
                <w:rFonts w:hint="eastAsia" w:ascii="宋体" w:hAnsi="宋体" w:cs="宋体"/>
                <w:szCs w:val="21"/>
                <w:highlight w:val="none"/>
              </w:rPr>
              <w:t>投标文件附有采购人不能接受的条件；</w:t>
            </w:r>
          </w:p>
        </w:tc>
        <w:tc>
          <w:tcPr>
            <w:tcW w:w="1218" w:type="dxa"/>
            <w:vAlign w:val="center"/>
          </w:tcPr>
          <w:p>
            <w:pPr>
              <w:spacing w:line="360" w:lineRule="auto"/>
              <w:rPr>
                <w:rFonts w:ascii="宋体" w:hAnsi="宋体"/>
                <w:b/>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jc w:val="center"/>
        </w:trPr>
        <w:tc>
          <w:tcPr>
            <w:tcW w:w="671" w:type="dxa"/>
            <w:shd w:val="clear" w:color="auto" w:fill="auto"/>
            <w:vAlign w:val="center"/>
          </w:tcPr>
          <w:p>
            <w:pPr>
              <w:rPr>
                <w:rFonts w:ascii="宋体" w:hAnsi="宋体"/>
                <w:bCs/>
                <w:szCs w:val="21"/>
                <w:highlight w:val="none"/>
              </w:rPr>
            </w:pPr>
            <w:r>
              <w:rPr>
                <w:rFonts w:hint="eastAsia" w:ascii="宋体" w:hAnsi="宋体" w:cs="宋体"/>
                <w:szCs w:val="21"/>
              </w:rPr>
              <w:t>11</w:t>
            </w:r>
          </w:p>
        </w:tc>
        <w:tc>
          <w:tcPr>
            <w:tcW w:w="6410" w:type="dxa"/>
            <w:shd w:val="clear" w:color="auto" w:fill="auto"/>
            <w:vAlign w:val="center"/>
          </w:tcPr>
          <w:p>
            <w:pPr>
              <w:rPr>
                <w:szCs w:val="21"/>
                <w:highlight w:val="none"/>
              </w:rPr>
            </w:pPr>
            <w:r>
              <w:rPr>
                <w:rFonts w:hint="eastAsia" w:ascii="宋体" w:hAnsi="宋体"/>
                <w:lang w:val="en-US" w:eastAsia="zh-CN"/>
              </w:rPr>
              <w:t>无提供</w:t>
            </w:r>
            <w:r>
              <w:rPr>
                <w:rFonts w:hint="eastAsia" w:ascii="宋体" w:hAnsi="宋体"/>
              </w:rPr>
              <w:t>专职安全员有效的安全生产考核合格证（C类）或建筑施工企业专职安全生产管理人员</w:t>
            </w:r>
            <w:r>
              <w:rPr>
                <w:rFonts w:hint="eastAsia" w:ascii="宋体" w:hAnsi="宋体"/>
                <w:lang w:val="en-US" w:eastAsia="zh-CN"/>
              </w:rPr>
              <w:t>有效的</w:t>
            </w:r>
            <w:r>
              <w:rPr>
                <w:rFonts w:hint="eastAsia" w:ascii="宋体" w:hAnsi="宋体"/>
              </w:rPr>
              <w:t>安全生产考核合格证书（C3）</w:t>
            </w:r>
            <w:r>
              <w:rPr>
                <w:rFonts w:hint="eastAsia" w:ascii="宋体" w:hAnsi="宋体"/>
                <w:lang w:val="en-US" w:eastAsia="zh-CN"/>
              </w:rPr>
              <w:t>复印件</w:t>
            </w:r>
            <w:r>
              <w:rPr>
                <w:rFonts w:hint="eastAsia" w:ascii="宋体" w:hAnsi="宋体"/>
                <w:lang w:eastAsia="zh-CN"/>
              </w:rPr>
              <w:t>；</w:t>
            </w:r>
          </w:p>
        </w:tc>
        <w:tc>
          <w:tcPr>
            <w:tcW w:w="1218" w:type="dxa"/>
            <w:vAlign w:val="center"/>
          </w:tcPr>
          <w:p>
            <w:pPr>
              <w:spacing w:line="360" w:lineRule="auto"/>
              <w:rPr>
                <w:rFonts w:ascii="宋体" w:hAnsi="宋体"/>
                <w:b/>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jc w:val="center"/>
        </w:trPr>
        <w:tc>
          <w:tcPr>
            <w:tcW w:w="671" w:type="dxa"/>
            <w:shd w:val="clear" w:color="auto" w:fill="auto"/>
            <w:vAlign w:val="center"/>
          </w:tcPr>
          <w:p>
            <w:pPr>
              <w:rPr>
                <w:rFonts w:hint="default" w:ascii="宋体" w:hAnsi="宋体" w:eastAsia="宋体" w:cs="宋体"/>
                <w:szCs w:val="21"/>
                <w:highlight w:val="none"/>
                <w:lang w:val="en-US" w:eastAsia="zh-CN"/>
              </w:rPr>
            </w:pPr>
            <w:r>
              <w:rPr>
                <w:rFonts w:hint="eastAsia" w:ascii="宋体" w:hAnsi="宋体" w:cs="宋体"/>
                <w:szCs w:val="21"/>
              </w:rPr>
              <w:t>12</w:t>
            </w:r>
          </w:p>
        </w:tc>
        <w:tc>
          <w:tcPr>
            <w:tcW w:w="6410" w:type="dxa"/>
            <w:shd w:val="clear" w:color="auto" w:fill="auto"/>
            <w:vAlign w:val="center"/>
          </w:tcPr>
          <w:p>
            <w:pPr>
              <w:rPr>
                <w:rFonts w:hint="eastAsia" w:ascii="宋体" w:hAnsi="宋体" w:cs="宋体"/>
                <w:szCs w:val="21"/>
                <w:highlight w:val="none"/>
              </w:rPr>
            </w:pPr>
            <w:r>
              <w:rPr>
                <w:rFonts w:hint="eastAsia" w:ascii="宋体" w:hAnsi="宋体" w:cs="宋体"/>
                <w:szCs w:val="21"/>
                <w:highlight w:val="none"/>
              </w:rPr>
              <w:t>不符合竞选文件中规定的其他实质性要求。</w:t>
            </w:r>
          </w:p>
        </w:tc>
        <w:tc>
          <w:tcPr>
            <w:tcW w:w="1218" w:type="dxa"/>
            <w:vAlign w:val="center"/>
          </w:tcPr>
          <w:p>
            <w:pPr>
              <w:spacing w:line="360" w:lineRule="auto"/>
              <w:rPr>
                <w:rFonts w:ascii="宋体" w:hAnsi="宋体"/>
                <w:b/>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jc w:val="center"/>
        </w:trPr>
        <w:tc>
          <w:tcPr>
            <w:tcW w:w="671" w:type="dxa"/>
            <w:vAlign w:val="center"/>
          </w:tcPr>
          <w:p>
            <w:pPr>
              <w:jc w:val="center"/>
              <w:rPr>
                <w:rFonts w:ascii="宋体" w:hAnsi="宋体"/>
                <w:bCs/>
                <w:szCs w:val="21"/>
                <w:highlight w:val="none"/>
              </w:rPr>
            </w:pPr>
          </w:p>
        </w:tc>
        <w:tc>
          <w:tcPr>
            <w:tcW w:w="6410" w:type="dxa"/>
            <w:vAlign w:val="center"/>
          </w:tcPr>
          <w:p>
            <w:pPr>
              <w:rPr>
                <w:rFonts w:ascii="宋体" w:hAnsi="宋体"/>
                <w:szCs w:val="21"/>
                <w:highlight w:val="none"/>
              </w:rPr>
            </w:pPr>
            <w:r>
              <w:rPr>
                <w:rFonts w:hint="eastAsia" w:ascii="宋体" w:hAnsi="宋体" w:cs="宋体"/>
                <w:b/>
                <w:bCs/>
                <w:szCs w:val="21"/>
                <w:highlight w:val="none"/>
              </w:rPr>
              <w:t>评审结论（</w:t>
            </w:r>
            <w:r>
              <w:rPr>
                <w:rFonts w:hint="eastAsia" w:ascii="宋体" w:hAnsi="宋体"/>
                <w:szCs w:val="21"/>
                <w:highlight w:val="none"/>
              </w:rPr>
              <w:t>通过/不通过</w:t>
            </w:r>
            <w:r>
              <w:rPr>
                <w:rFonts w:hint="eastAsia" w:ascii="宋体" w:hAnsi="宋体" w:cs="宋体"/>
                <w:b/>
                <w:bCs/>
                <w:szCs w:val="21"/>
                <w:highlight w:val="none"/>
              </w:rPr>
              <w:t>）</w:t>
            </w:r>
          </w:p>
        </w:tc>
        <w:tc>
          <w:tcPr>
            <w:tcW w:w="1218" w:type="dxa"/>
            <w:vAlign w:val="center"/>
          </w:tcPr>
          <w:p>
            <w:pPr>
              <w:spacing w:line="360" w:lineRule="auto"/>
              <w:rPr>
                <w:rFonts w:ascii="宋体" w:hAnsi="宋体"/>
                <w:b/>
                <w:szCs w:val="21"/>
                <w:highlight w:val="none"/>
              </w:rPr>
            </w:pPr>
          </w:p>
        </w:tc>
      </w:tr>
    </w:tbl>
    <w:p>
      <w:pPr>
        <w:spacing w:before="120" w:beforeLines="50" w:after="120" w:afterLines="50" w:line="400" w:lineRule="exact"/>
        <w:ind w:firstLine="480" w:firstLineChars="200"/>
        <w:rPr>
          <w:rFonts w:ascii="宋体" w:hAnsi="宋体"/>
          <w:sz w:val="24"/>
          <w:highlight w:val="none"/>
        </w:rPr>
      </w:pPr>
      <w:r>
        <w:rPr>
          <w:rFonts w:hint="eastAsia" w:ascii="宋体" w:hAnsi="宋体"/>
          <w:sz w:val="24"/>
          <w:highlight w:val="none"/>
        </w:rPr>
        <w:t>注：</w:t>
      </w:r>
    </w:p>
    <w:p>
      <w:pPr>
        <w:numPr>
          <w:ilvl w:val="0"/>
          <w:numId w:val="18"/>
        </w:numPr>
        <w:adjustRightInd w:val="0"/>
        <w:snapToGrid w:val="0"/>
        <w:spacing w:before="120" w:beforeLines="50" w:after="120" w:afterLines="50" w:line="360" w:lineRule="auto"/>
        <w:ind w:firstLine="480" w:firstLineChars="200"/>
        <w:rPr>
          <w:rFonts w:ascii="宋体" w:hAnsi="宋体"/>
          <w:sz w:val="24"/>
          <w:highlight w:val="none"/>
        </w:rPr>
      </w:pPr>
      <w:r>
        <w:rPr>
          <w:rFonts w:hint="eastAsia" w:ascii="宋体" w:hAnsi="宋体"/>
          <w:sz w:val="24"/>
          <w:highlight w:val="none"/>
        </w:rPr>
        <w:t>投标人分栏中填写“√”表示该项符合竞选文件要求，“×”表示该项不符合竞选文件要求，“○”表示无该项内容；</w:t>
      </w:r>
    </w:p>
    <w:p>
      <w:pPr>
        <w:numPr>
          <w:ilvl w:val="0"/>
          <w:numId w:val="18"/>
        </w:numPr>
        <w:adjustRightInd w:val="0"/>
        <w:snapToGrid w:val="0"/>
        <w:spacing w:before="120" w:beforeLines="50" w:after="120" w:afterLines="50" w:line="360" w:lineRule="auto"/>
        <w:ind w:firstLine="480" w:firstLineChars="200"/>
        <w:rPr>
          <w:rFonts w:ascii="宋体" w:hAnsi="宋体"/>
          <w:sz w:val="24"/>
          <w:highlight w:val="none"/>
        </w:rPr>
      </w:pPr>
      <w:r>
        <w:rPr>
          <w:rFonts w:hint="eastAsia" w:ascii="宋体" w:hAnsi="宋体"/>
          <w:sz w:val="24"/>
          <w:highlight w:val="none"/>
        </w:rPr>
        <w:t>经评标委员会审核后，出现一个“×”的结论为“不通过”，即按废标处理。</w:t>
      </w:r>
    </w:p>
    <w:p>
      <w:pPr>
        <w:numPr>
          <w:ilvl w:val="0"/>
          <w:numId w:val="18"/>
        </w:numPr>
        <w:adjustRightInd w:val="0"/>
        <w:snapToGrid w:val="0"/>
        <w:spacing w:before="120" w:beforeLines="50" w:after="120" w:afterLines="50" w:line="360" w:lineRule="auto"/>
        <w:ind w:firstLine="480" w:firstLineChars="200"/>
        <w:rPr>
          <w:rFonts w:ascii="宋体" w:hAnsi="宋体"/>
          <w:sz w:val="24"/>
          <w:highlight w:val="none"/>
        </w:rPr>
      </w:pPr>
      <w:r>
        <w:rPr>
          <w:rFonts w:hint="eastAsia" w:ascii="宋体" w:hAnsi="宋体"/>
          <w:sz w:val="24"/>
          <w:highlight w:val="none"/>
        </w:rPr>
        <w:t>表中全部条件满足为“通过”，同意进入下一阶段评审。</w:t>
      </w:r>
    </w:p>
    <w:p>
      <w:pPr>
        <w:numPr>
          <w:ilvl w:val="0"/>
          <w:numId w:val="18"/>
        </w:numPr>
        <w:adjustRightInd w:val="0"/>
        <w:snapToGrid w:val="0"/>
        <w:spacing w:before="120" w:beforeLines="50" w:after="120" w:afterLines="50" w:line="360" w:lineRule="auto"/>
        <w:ind w:firstLine="480" w:firstLineChars="200"/>
        <w:rPr>
          <w:rFonts w:ascii="宋体" w:hAnsi="宋体"/>
          <w:sz w:val="24"/>
          <w:highlight w:val="none"/>
        </w:rPr>
      </w:pPr>
      <w:r>
        <w:rPr>
          <w:rFonts w:hint="eastAsia"/>
          <w:sz w:val="24"/>
          <w:highlight w:val="none"/>
        </w:rPr>
        <w:t>如对本表中某种情形的</w:t>
      </w:r>
      <w:r>
        <w:rPr>
          <w:rFonts w:hint="eastAsia" w:ascii="宋体" w:hAnsi="宋体"/>
          <w:sz w:val="24"/>
          <w:highlight w:val="none"/>
        </w:rPr>
        <w:t>评委意见不一致时，</w:t>
      </w:r>
      <w:r>
        <w:rPr>
          <w:rFonts w:hint="eastAsia"/>
          <w:sz w:val="24"/>
          <w:highlight w:val="none"/>
        </w:rPr>
        <w:t>以评标委员会过半数成员的意见作为评标委员会对该情形的认定结论。</w:t>
      </w:r>
    </w:p>
    <w:p>
      <w:pPr>
        <w:spacing w:before="120" w:beforeLines="50" w:after="120" w:afterLines="50" w:line="360" w:lineRule="auto"/>
        <w:ind w:firstLine="480" w:firstLineChars="200"/>
        <w:rPr>
          <w:rFonts w:ascii="宋体" w:hAnsi="宋体"/>
          <w:bCs/>
          <w:sz w:val="24"/>
          <w:highlight w:val="none"/>
        </w:rPr>
      </w:pPr>
      <w:r>
        <w:rPr>
          <w:rFonts w:hint="eastAsia" w:ascii="宋体" w:hAnsi="宋体"/>
          <w:bCs/>
          <w:sz w:val="24"/>
          <w:highlight w:val="none"/>
        </w:rPr>
        <w:t xml:space="preserve">评委签名：                                                                                </w:t>
      </w:r>
    </w:p>
    <w:p>
      <w:pPr>
        <w:spacing w:before="120" w:beforeLines="50" w:after="120" w:afterLines="50" w:line="360" w:lineRule="auto"/>
        <w:ind w:firstLine="480" w:firstLineChars="200"/>
        <w:rPr>
          <w:rFonts w:ascii="宋体" w:hAnsi="宋体"/>
          <w:sz w:val="24"/>
          <w:highlight w:val="none"/>
        </w:rPr>
      </w:pPr>
      <w:r>
        <w:rPr>
          <w:rFonts w:hint="eastAsia" w:ascii="宋体" w:hAnsi="宋体"/>
          <w:bCs/>
          <w:sz w:val="24"/>
          <w:highlight w:val="none"/>
        </w:rPr>
        <w:t>日 期：</w:t>
      </w:r>
      <w:r>
        <w:rPr>
          <w:rFonts w:hint="eastAsia" w:ascii="宋体" w:hAnsi="宋体"/>
          <w:sz w:val="24"/>
          <w:highlight w:val="none"/>
          <w:lang w:val="en-US" w:eastAsia="zh-CN"/>
        </w:rPr>
        <w:t>2024</w:t>
      </w:r>
      <w:r>
        <w:rPr>
          <w:rFonts w:hint="eastAsia" w:ascii="宋体" w:hAnsi="宋体"/>
          <w:sz w:val="24"/>
          <w:highlight w:val="none"/>
        </w:rPr>
        <w:t>年月 日</w:t>
      </w:r>
    </w:p>
    <w:sectPr>
      <w:pgSz w:w="11906" w:h="16838"/>
      <w:pgMar w:top="1418" w:right="1418" w:bottom="1418"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9982F0A"/>
    <w:multiLevelType w:val="singleLevel"/>
    <w:tmpl w:val="99982F0A"/>
    <w:lvl w:ilvl="0" w:tentative="0">
      <w:start w:val="1"/>
      <w:numFmt w:val="chineseCounting"/>
      <w:suff w:val="nothing"/>
      <w:lvlText w:val="（%1）"/>
      <w:lvlJc w:val="left"/>
      <w:pPr>
        <w:ind w:left="0" w:firstLine="420"/>
      </w:pPr>
      <w:rPr>
        <w:rFonts w:hint="eastAsia"/>
      </w:rPr>
    </w:lvl>
  </w:abstractNum>
  <w:abstractNum w:abstractNumId="1">
    <w:nsid w:val="B4DAADF1"/>
    <w:multiLevelType w:val="singleLevel"/>
    <w:tmpl w:val="B4DAADF1"/>
    <w:lvl w:ilvl="0" w:tentative="0">
      <w:start w:val="1"/>
      <w:numFmt w:val="decimal"/>
      <w:suff w:val="nothing"/>
      <w:lvlText w:val="%1、"/>
      <w:lvlJc w:val="left"/>
    </w:lvl>
  </w:abstractNum>
  <w:abstractNum w:abstractNumId="2">
    <w:nsid w:val="01676834"/>
    <w:multiLevelType w:val="multilevel"/>
    <w:tmpl w:val="01676834"/>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E230953"/>
    <w:multiLevelType w:val="multilevel"/>
    <w:tmpl w:val="0E230953"/>
    <w:lvl w:ilvl="0" w:tentative="0">
      <w:start w:val="1"/>
      <w:numFmt w:val="decimal"/>
      <w:lvlText w:val="%1."/>
      <w:lvlJc w:val="left"/>
      <w:pPr>
        <w:ind w:left="561" w:firstLine="0"/>
      </w:pPr>
      <w:rPr>
        <w:rFonts w:hint="eastAsia" w:ascii="宋体" w:hAnsi="宋体" w:eastAsia="宋体"/>
        <w:sz w:val="24"/>
        <w:szCs w:val="24"/>
      </w:rPr>
    </w:lvl>
    <w:lvl w:ilvl="1" w:tentative="0">
      <w:start w:val="1"/>
      <w:numFmt w:val="lowerLetter"/>
      <w:lvlText w:val="%2)"/>
      <w:lvlJc w:val="left"/>
      <w:pPr>
        <w:ind w:left="1205" w:hanging="360"/>
      </w:pPr>
      <w:rPr>
        <w:rFonts w:hint="default"/>
      </w:rPr>
    </w:lvl>
    <w:lvl w:ilvl="2" w:tentative="0">
      <w:start w:val="1"/>
      <w:numFmt w:val="decimal"/>
      <w:lvlText w:val="%3）"/>
      <w:lvlJc w:val="left"/>
      <w:pPr>
        <w:ind w:left="1985" w:hanging="720"/>
      </w:pPr>
      <w:rPr>
        <w:rFonts w:hint="default"/>
      </w:r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4">
    <w:nsid w:val="145065E4"/>
    <w:multiLevelType w:val="multilevel"/>
    <w:tmpl w:val="145065E4"/>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156E42A2"/>
    <w:multiLevelType w:val="multilevel"/>
    <w:tmpl w:val="156E42A2"/>
    <w:lvl w:ilvl="0" w:tentative="0">
      <w:start w:val="1"/>
      <w:numFmt w:val="decimal"/>
      <w:lvlText w:val="%1."/>
      <w:lvlJc w:val="left"/>
      <w:pPr>
        <w:ind w:left="561" w:firstLine="0"/>
      </w:pPr>
      <w:rPr>
        <w:rFonts w:hint="eastAsia" w:ascii="宋体" w:hAnsi="宋体" w:eastAsia="宋体"/>
      </w:rPr>
    </w:lvl>
    <w:lvl w:ilvl="1" w:tentative="0">
      <w:start w:val="1"/>
      <w:numFmt w:val="lowerLetter"/>
      <w:lvlText w:val="%2)"/>
      <w:lvlJc w:val="left"/>
      <w:pPr>
        <w:ind w:left="1205" w:hanging="360"/>
      </w:pPr>
      <w:rPr>
        <w:rFonts w:hint="default"/>
      </w:rPr>
    </w:lvl>
    <w:lvl w:ilvl="2" w:tentative="0">
      <w:start w:val="1"/>
      <w:numFmt w:val="decimal"/>
      <w:lvlText w:val="%3）"/>
      <w:lvlJc w:val="left"/>
      <w:pPr>
        <w:ind w:left="1985" w:hanging="720"/>
      </w:pPr>
      <w:rPr>
        <w:rFonts w:hint="default"/>
      </w:r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6">
    <w:nsid w:val="164C074B"/>
    <w:multiLevelType w:val="multilevel"/>
    <w:tmpl w:val="164C074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3918188F"/>
    <w:multiLevelType w:val="multilevel"/>
    <w:tmpl w:val="3918188F"/>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42125FC3"/>
    <w:multiLevelType w:val="multilevel"/>
    <w:tmpl w:val="42125FC3"/>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44064F3A"/>
    <w:multiLevelType w:val="multilevel"/>
    <w:tmpl w:val="44064F3A"/>
    <w:lvl w:ilvl="0" w:tentative="0">
      <w:start w:val="1"/>
      <w:numFmt w:val="decimal"/>
      <w:lvlText w:val="%1."/>
      <w:lvlJc w:val="left"/>
      <w:pPr>
        <w:ind w:left="561" w:firstLine="0"/>
      </w:pPr>
      <w:rPr>
        <w:rFonts w:hint="eastAsia" w:ascii="宋体" w:hAnsi="宋体" w:eastAsia="宋体"/>
        <w:sz w:val="24"/>
        <w:szCs w:val="24"/>
      </w:rPr>
    </w:lvl>
    <w:lvl w:ilvl="1" w:tentative="0">
      <w:start w:val="1"/>
      <w:numFmt w:val="lowerLetter"/>
      <w:lvlText w:val="%2)"/>
      <w:lvlJc w:val="left"/>
      <w:pPr>
        <w:ind w:left="1205" w:hanging="360"/>
      </w:pPr>
      <w:rPr>
        <w:rFonts w:hint="default"/>
      </w:rPr>
    </w:lvl>
    <w:lvl w:ilvl="2" w:tentative="0">
      <w:start w:val="1"/>
      <w:numFmt w:val="decimal"/>
      <w:lvlText w:val="%3）"/>
      <w:lvlJc w:val="left"/>
      <w:pPr>
        <w:ind w:left="1985" w:hanging="720"/>
      </w:pPr>
      <w:rPr>
        <w:rFonts w:hint="default"/>
      </w:r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10">
    <w:nsid w:val="45D539C3"/>
    <w:multiLevelType w:val="multilevel"/>
    <w:tmpl w:val="45D539C3"/>
    <w:lvl w:ilvl="0" w:tentative="0">
      <w:start w:val="1"/>
      <w:numFmt w:val="decimal"/>
      <w:lvlText w:val="%1."/>
      <w:lvlJc w:val="left"/>
      <w:pPr>
        <w:ind w:left="561" w:firstLine="0"/>
      </w:pPr>
      <w:rPr>
        <w:rFonts w:hint="eastAsia" w:ascii="宋体" w:hAnsi="宋体" w:eastAsia="宋体"/>
        <w:sz w:val="24"/>
        <w:szCs w:val="24"/>
      </w:rPr>
    </w:lvl>
    <w:lvl w:ilvl="1" w:tentative="0">
      <w:start w:val="1"/>
      <w:numFmt w:val="lowerLetter"/>
      <w:lvlText w:val="%2)"/>
      <w:lvlJc w:val="left"/>
      <w:pPr>
        <w:ind w:left="1205" w:hanging="360"/>
      </w:pPr>
      <w:rPr>
        <w:rFonts w:hint="default"/>
      </w:rPr>
    </w:lvl>
    <w:lvl w:ilvl="2" w:tentative="0">
      <w:start w:val="1"/>
      <w:numFmt w:val="decimal"/>
      <w:lvlText w:val="%3）"/>
      <w:lvlJc w:val="left"/>
      <w:pPr>
        <w:ind w:left="1985" w:hanging="720"/>
      </w:pPr>
      <w:rPr>
        <w:rFonts w:hint="default"/>
      </w:r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11">
    <w:nsid w:val="48DC6756"/>
    <w:multiLevelType w:val="multilevel"/>
    <w:tmpl w:val="48DC6756"/>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569C5777"/>
    <w:multiLevelType w:val="multilevel"/>
    <w:tmpl w:val="569C5777"/>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572DE5B4"/>
    <w:multiLevelType w:val="singleLevel"/>
    <w:tmpl w:val="572DE5B4"/>
    <w:lvl w:ilvl="0" w:tentative="0">
      <w:start w:val="1"/>
      <w:numFmt w:val="decimal"/>
      <w:suff w:val="nothing"/>
      <w:lvlText w:val="%1."/>
      <w:lvlJc w:val="left"/>
    </w:lvl>
  </w:abstractNum>
  <w:abstractNum w:abstractNumId="14">
    <w:nsid w:val="60EF729C"/>
    <w:multiLevelType w:val="multilevel"/>
    <w:tmpl w:val="60EF729C"/>
    <w:lvl w:ilvl="0" w:tentative="0">
      <w:start w:val="1"/>
      <w:numFmt w:val="chineseCountingThousand"/>
      <w:lvlText w:val="(%1)"/>
      <w:lvlJc w:val="left"/>
      <w:pPr>
        <w:ind w:left="980" w:hanging="420"/>
      </w:pPr>
      <w:rPr>
        <w:rFonts w:ascii="宋体" w:hAnsi="宋体" w:eastAsia="宋体"/>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5">
    <w:nsid w:val="76062498"/>
    <w:multiLevelType w:val="multilevel"/>
    <w:tmpl w:val="76062498"/>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6">
    <w:nsid w:val="7C006C87"/>
    <w:multiLevelType w:val="multilevel"/>
    <w:tmpl w:val="7C006C87"/>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7CE70E6D"/>
    <w:multiLevelType w:val="singleLevel"/>
    <w:tmpl w:val="7CE70E6D"/>
    <w:lvl w:ilvl="0" w:tentative="0">
      <w:start w:val="1"/>
      <w:numFmt w:val="decimal"/>
      <w:suff w:val="nothing"/>
      <w:lvlText w:val="%1."/>
      <w:lvlJc w:val="left"/>
    </w:lvl>
  </w:abstractNum>
  <w:num w:numId="1">
    <w:abstractNumId w:val="2"/>
  </w:num>
  <w:num w:numId="2">
    <w:abstractNumId w:val="7"/>
  </w:num>
  <w:num w:numId="3">
    <w:abstractNumId w:val="14"/>
  </w:num>
  <w:num w:numId="4">
    <w:abstractNumId w:val="6"/>
  </w:num>
  <w:num w:numId="5">
    <w:abstractNumId w:val="1"/>
  </w:num>
  <w:num w:numId="6">
    <w:abstractNumId w:val="16"/>
  </w:num>
  <w:num w:numId="7">
    <w:abstractNumId w:val="0"/>
  </w:num>
  <w:num w:numId="8">
    <w:abstractNumId w:val="4"/>
  </w:num>
  <w:num w:numId="9">
    <w:abstractNumId w:val="15"/>
  </w:num>
  <w:num w:numId="10">
    <w:abstractNumId w:val="11"/>
  </w:num>
  <w:num w:numId="11">
    <w:abstractNumId w:val="5"/>
  </w:num>
  <w:num w:numId="12">
    <w:abstractNumId w:val="12"/>
  </w:num>
  <w:num w:numId="13">
    <w:abstractNumId w:val="3"/>
  </w:num>
  <w:num w:numId="14">
    <w:abstractNumId w:val="10"/>
  </w:num>
  <w:num w:numId="15">
    <w:abstractNumId w:val="9"/>
  </w:num>
  <w:num w:numId="16">
    <w:abstractNumId w:val="8"/>
  </w:num>
  <w:num w:numId="17">
    <w:abstractNumId w:val="13"/>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172A27"/>
    <w:rsid w:val="00005E7B"/>
    <w:rsid w:val="00006EAB"/>
    <w:rsid w:val="0001269A"/>
    <w:rsid w:val="0001673F"/>
    <w:rsid w:val="00016E9D"/>
    <w:rsid w:val="000248F2"/>
    <w:rsid w:val="00024DB1"/>
    <w:rsid w:val="000261AC"/>
    <w:rsid w:val="00030283"/>
    <w:rsid w:val="000332F8"/>
    <w:rsid w:val="00044693"/>
    <w:rsid w:val="00054374"/>
    <w:rsid w:val="000549A1"/>
    <w:rsid w:val="00055251"/>
    <w:rsid w:val="00055BC9"/>
    <w:rsid w:val="0006416F"/>
    <w:rsid w:val="00066150"/>
    <w:rsid w:val="00066222"/>
    <w:rsid w:val="00067268"/>
    <w:rsid w:val="00067B1D"/>
    <w:rsid w:val="00074C0B"/>
    <w:rsid w:val="000820CF"/>
    <w:rsid w:val="000963A3"/>
    <w:rsid w:val="00097540"/>
    <w:rsid w:val="000A00B3"/>
    <w:rsid w:val="000A2487"/>
    <w:rsid w:val="000A75A0"/>
    <w:rsid w:val="000A7AC3"/>
    <w:rsid w:val="000B17DC"/>
    <w:rsid w:val="000B75B2"/>
    <w:rsid w:val="000B75D0"/>
    <w:rsid w:val="000C7D59"/>
    <w:rsid w:val="000D372E"/>
    <w:rsid w:val="000D4516"/>
    <w:rsid w:val="000D77C7"/>
    <w:rsid w:val="000E1CB6"/>
    <w:rsid w:val="000E277D"/>
    <w:rsid w:val="000E5533"/>
    <w:rsid w:val="001013A8"/>
    <w:rsid w:val="001024C4"/>
    <w:rsid w:val="00105509"/>
    <w:rsid w:val="0011170B"/>
    <w:rsid w:val="00112AE2"/>
    <w:rsid w:val="00114920"/>
    <w:rsid w:val="00121B5B"/>
    <w:rsid w:val="00125855"/>
    <w:rsid w:val="001300D3"/>
    <w:rsid w:val="001344AC"/>
    <w:rsid w:val="0014220C"/>
    <w:rsid w:val="00145596"/>
    <w:rsid w:val="00145839"/>
    <w:rsid w:val="001505AC"/>
    <w:rsid w:val="00154134"/>
    <w:rsid w:val="00155983"/>
    <w:rsid w:val="00155A34"/>
    <w:rsid w:val="001604AB"/>
    <w:rsid w:val="00164707"/>
    <w:rsid w:val="00164B91"/>
    <w:rsid w:val="00172A27"/>
    <w:rsid w:val="00175957"/>
    <w:rsid w:val="00187DF6"/>
    <w:rsid w:val="00194365"/>
    <w:rsid w:val="001944F5"/>
    <w:rsid w:val="00195617"/>
    <w:rsid w:val="001B2E16"/>
    <w:rsid w:val="001C054B"/>
    <w:rsid w:val="001C0F9F"/>
    <w:rsid w:val="001C182B"/>
    <w:rsid w:val="001C510A"/>
    <w:rsid w:val="001D6139"/>
    <w:rsid w:val="001D769B"/>
    <w:rsid w:val="001E06A5"/>
    <w:rsid w:val="001E32AC"/>
    <w:rsid w:val="001E564E"/>
    <w:rsid w:val="001E658F"/>
    <w:rsid w:val="001E72D1"/>
    <w:rsid w:val="001F506C"/>
    <w:rsid w:val="001F55B1"/>
    <w:rsid w:val="001F6D6F"/>
    <w:rsid w:val="00206C33"/>
    <w:rsid w:val="0021170B"/>
    <w:rsid w:val="002117D0"/>
    <w:rsid w:val="00211BF3"/>
    <w:rsid w:val="0021497F"/>
    <w:rsid w:val="0021591C"/>
    <w:rsid w:val="00216BCF"/>
    <w:rsid w:val="00217C91"/>
    <w:rsid w:val="00221D47"/>
    <w:rsid w:val="0022379F"/>
    <w:rsid w:val="0022459A"/>
    <w:rsid w:val="0022476E"/>
    <w:rsid w:val="00225F7C"/>
    <w:rsid w:val="002333C1"/>
    <w:rsid w:val="00242DE0"/>
    <w:rsid w:val="00244182"/>
    <w:rsid w:val="00246487"/>
    <w:rsid w:val="00250A00"/>
    <w:rsid w:val="00253AFF"/>
    <w:rsid w:val="00264096"/>
    <w:rsid w:val="0026536E"/>
    <w:rsid w:val="00266035"/>
    <w:rsid w:val="00271AA0"/>
    <w:rsid w:val="00275CA3"/>
    <w:rsid w:val="00285B74"/>
    <w:rsid w:val="00287F66"/>
    <w:rsid w:val="002913E2"/>
    <w:rsid w:val="00291C44"/>
    <w:rsid w:val="00297AD7"/>
    <w:rsid w:val="002A558D"/>
    <w:rsid w:val="002C3CD8"/>
    <w:rsid w:val="002D0731"/>
    <w:rsid w:val="002D1376"/>
    <w:rsid w:val="002D14AE"/>
    <w:rsid w:val="002D755C"/>
    <w:rsid w:val="002E0680"/>
    <w:rsid w:val="002E0B01"/>
    <w:rsid w:val="002E7992"/>
    <w:rsid w:val="002F6943"/>
    <w:rsid w:val="0030076B"/>
    <w:rsid w:val="00302720"/>
    <w:rsid w:val="00303607"/>
    <w:rsid w:val="00305CAA"/>
    <w:rsid w:val="003148FE"/>
    <w:rsid w:val="003202A4"/>
    <w:rsid w:val="0033236B"/>
    <w:rsid w:val="0034406B"/>
    <w:rsid w:val="00344D24"/>
    <w:rsid w:val="003461DC"/>
    <w:rsid w:val="00353699"/>
    <w:rsid w:val="00360802"/>
    <w:rsid w:val="0036491C"/>
    <w:rsid w:val="003673C1"/>
    <w:rsid w:val="00375441"/>
    <w:rsid w:val="003815F6"/>
    <w:rsid w:val="00383971"/>
    <w:rsid w:val="00386C64"/>
    <w:rsid w:val="00386C70"/>
    <w:rsid w:val="00386D6B"/>
    <w:rsid w:val="003906AE"/>
    <w:rsid w:val="003932F2"/>
    <w:rsid w:val="00394717"/>
    <w:rsid w:val="003954FA"/>
    <w:rsid w:val="003A4070"/>
    <w:rsid w:val="003A61B7"/>
    <w:rsid w:val="003A63C6"/>
    <w:rsid w:val="003B27F3"/>
    <w:rsid w:val="003C1D76"/>
    <w:rsid w:val="003C1DC0"/>
    <w:rsid w:val="003D0FFC"/>
    <w:rsid w:val="003D406E"/>
    <w:rsid w:val="003D6349"/>
    <w:rsid w:val="003D6DDA"/>
    <w:rsid w:val="003E3FB7"/>
    <w:rsid w:val="003E7086"/>
    <w:rsid w:val="003F2B4E"/>
    <w:rsid w:val="003F6DD8"/>
    <w:rsid w:val="00401657"/>
    <w:rsid w:val="004023FB"/>
    <w:rsid w:val="00411B18"/>
    <w:rsid w:val="004139C0"/>
    <w:rsid w:val="00414044"/>
    <w:rsid w:val="0041689F"/>
    <w:rsid w:val="00421B48"/>
    <w:rsid w:val="00424DBD"/>
    <w:rsid w:val="00426155"/>
    <w:rsid w:val="00431C89"/>
    <w:rsid w:val="00432A03"/>
    <w:rsid w:val="004348F5"/>
    <w:rsid w:val="004360CA"/>
    <w:rsid w:val="00436830"/>
    <w:rsid w:val="004423AB"/>
    <w:rsid w:val="0044283D"/>
    <w:rsid w:val="0044360C"/>
    <w:rsid w:val="00444368"/>
    <w:rsid w:val="00447931"/>
    <w:rsid w:val="00456BC1"/>
    <w:rsid w:val="00473BB4"/>
    <w:rsid w:val="00476BF0"/>
    <w:rsid w:val="00491859"/>
    <w:rsid w:val="004A01AA"/>
    <w:rsid w:val="004A0372"/>
    <w:rsid w:val="004A1A1D"/>
    <w:rsid w:val="004A23D1"/>
    <w:rsid w:val="004A24A7"/>
    <w:rsid w:val="004A4F9A"/>
    <w:rsid w:val="004A6018"/>
    <w:rsid w:val="004A702E"/>
    <w:rsid w:val="004B0209"/>
    <w:rsid w:val="004B07D6"/>
    <w:rsid w:val="004B2976"/>
    <w:rsid w:val="004C3EA6"/>
    <w:rsid w:val="004E1F41"/>
    <w:rsid w:val="004E3B04"/>
    <w:rsid w:val="004E5C78"/>
    <w:rsid w:val="004F5776"/>
    <w:rsid w:val="004F7DCA"/>
    <w:rsid w:val="00500570"/>
    <w:rsid w:val="00510C5A"/>
    <w:rsid w:val="00510EEA"/>
    <w:rsid w:val="00513E20"/>
    <w:rsid w:val="00516B2C"/>
    <w:rsid w:val="00516C45"/>
    <w:rsid w:val="0052246D"/>
    <w:rsid w:val="00545D4B"/>
    <w:rsid w:val="0055603F"/>
    <w:rsid w:val="005566FF"/>
    <w:rsid w:val="00557322"/>
    <w:rsid w:val="00560E66"/>
    <w:rsid w:val="00561290"/>
    <w:rsid w:val="005655BB"/>
    <w:rsid w:val="0056668D"/>
    <w:rsid w:val="0056721A"/>
    <w:rsid w:val="00567DB5"/>
    <w:rsid w:val="00572DB6"/>
    <w:rsid w:val="005739C8"/>
    <w:rsid w:val="00576B3F"/>
    <w:rsid w:val="005772A9"/>
    <w:rsid w:val="00585285"/>
    <w:rsid w:val="005875B9"/>
    <w:rsid w:val="00592951"/>
    <w:rsid w:val="00595EFF"/>
    <w:rsid w:val="00596962"/>
    <w:rsid w:val="005969FB"/>
    <w:rsid w:val="005A431C"/>
    <w:rsid w:val="005A52C7"/>
    <w:rsid w:val="005A6CEA"/>
    <w:rsid w:val="005B2AB5"/>
    <w:rsid w:val="005B2C4E"/>
    <w:rsid w:val="005B6CEE"/>
    <w:rsid w:val="005C3F4C"/>
    <w:rsid w:val="005C6AA9"/>
    <w:rsid w:val="005D14E9"/>
    <w:rsid w:val="005D22E5"/>
    <w:rsid w:val="005D4557"/>
    <w:rsid w:val="005E4E7C"/>
    <w:rsid w:val="005E69D0"/>
    <w:rsid w:val="005F3968"/>
    <w:rsid w:val="005F4B5B"/>
    <w:rsid w:val="005F602A"/>
    <w:rsid w:val="00602898"/>
    <w:rsid w:val="00603DB1"/>
    <w:rsid w:val="00607731"/>
    <w:rsid w:val="00611B4E"/>
    <w:rsid w:val="00611C3E"/>
    <w:rsid w:val="00617D0B"/>
    <w:rsid w:val="006210E4"/>
    <w:rsid w:val="00621A9E"/>
    <w:rsid w:val="00625024"/>
    <w:rsid w:val="006251A5"/>
    <w:rsid w:val="00625928"/>
    <w:rsid w:val="00634AC5"/>
    <w:rsid w:val="006365CD"/>
    <w:rsid w:val="00637977"/>
    <w:rsid w:val="0064000A"/>
    <w:rsid w:val="00642F9E"/>
    <w:rsid w:val="0064718B"/>
    <w:rsid w:val="006503EF"/>
    <w:rsid w:val="00651816"/>
    <w:rsid w:val="00651993"/>
    <w:rsid w:val="00657E54"/>
    <w:rsid w:val="00661000"/>
    <w:rsid w:val="00662D55"/>
    <w:rsid w:val="0066649F"/>
    <w:rsid w:val="00667081"/>
    <w:rsid w:val="00677B93"/>
    <w:rsid w:val="00690C78"/>
    <w:rsid w:val="006A0EE2"/>
    <w:rsid w:val="006A3B53"/>
    <w:rsid w:val="006A7A3B"/>
    <w:rsid w:val="006B10D1"/>
    <w:rsid w:val="006B34D9"/>
    <w:rsid w:val="006B36E7"/>
    <w:rsid w:val="006B6C86"/>
    <w:rsid w:val="006D1B89"/>
    <w:rsid w:val="006D61D7"/>
    <w:rsid w:val="006E101A"/>
    <w:rsid w:val="006E54A2"/>
    <w:rsid w:val="007044D8"/>
    <w:rsid w:val="00706205"/>
    <w:rsid w:val="00714ACD"/>
    <w:rsid w:val="0072093F"/>
    <w:rsid w:val="007216CB"/>
    <w:rsid w:val="0072216A"/>
    <w:rsid w:val="007227FF"/>
    <w:rsid w:val="00731F87"/>
    <w:rsid w:val="00740D02"/>
    <w:rsid w:val="007424C6"/>
    <w:rsid w:val="00743DF1"/>
    <w:rsid w:val="007464DD"/>
    <w:rsid w:val="00750F25"/>
    <w:rsid w:val="00753739"/>
    <w:rsid w:val="00755CA3"/>
    <w:rsid w:val="00760BA6"/>
    <w:rsid w:val="0076349C"/>
    <w:rsid w:val="00763505"/>
    <w:rsid w:val="00764110"/>
    <w:rsid w:val="007672D2"/>
    <w:rsid w:val="00770411"/>
    <w:rsid w:val="00776816"/>
    <w:rsid w:val="00781259"/>
    <w:rsid w:val="0078574A"/>
    <w:rsid w:val="00786B2B"/>
    <w:rsid w:val="00793AED"/>
    <w:rsid w:val="00796603"/>
    <w:rsid w:val="00797166"/>
    <w:rsid w:val="007A2D85"/>
    <w:rsid w:val="007A4834"/>
    <w:rsid w:val="007B7C38"/>
    <w:rsid w:val="007C04CE"/>
    <w:rsid w:val="007C3669"/>
    <w:rsid w:val="007C6EBF"/>
    <w:rsid w:val="007D3003"/>
    <w:rsid w:val="007D7DD0"/>
    <w:rsid w:val="007E302E"/>
    <w:rsid w:val="007E3907"/>
    <w:rsid w:val="007E61FE"/>
    <w:rsid w:val="007E78CE"/>
    <w:rsid w:val="007F318B"/>
    <w:rsid w:val="007F62C7"/>
    <w:rsid w:val="007F6D61"/>
    <w:rsid w:val="0080724E"/>
    <w:rsid w:val="00813887"/>
    <w:rsid w:val="00813B6F"/>
    <w:rsid w:val="00814712"/>
    <w:rsid w:val="00815501"/>
    <w:rsid w:val="00825F55"/>
    <w:rsid w:val="00825FF9"/>
    <w:rsid w:val="0084579E"/>
    <w:rsid w:val="00846388"/>
    <w:rsid w:val="00854D07"/>
    <w:rsid w:val="00860A31"/>
    <w:rsid w:val="008629B5"/>
    <w:rsid w:val="008638B9"/>
    <w:rsid w:val="008657EF"/>
    <w:rsid w:val="00866137"/>
    <w:rsid w:val="0087002B"/>
    <w:rsid w:val="00872E70"/>
    <w:rsid w:val="00875206"/>
    <w:rsid w:val="008758A3"/>
    <w:rsid w:val="00877012"/>
    <w:rsid w:val="00877085"/>
    <w:rsid w:val="00885A5C"/>
    <w:rsid w:val="00885F0E"/>
    <w:rsid w:val="00886F55"/>
    <w:rsid w:val="00887116"/>
    <w:rsid w:val="008872F1"/>
    <w:rsid w:val="00894519"/>
    <w:rsid w:val="008960CE"/>
    <w:rsid w:val="008A3AC1"/>
    <w:rsid w:val="008A6C9C"/>
    <w:rsid w:val="008A74F4"/>
    <w:rsid w:val="008B23FD"/>
    <w:rsid w:val="008B34ED"/>
    <w:rsid w:val="008B392E"/>
    <w:rsid w:val="008B670C"/>
    <w:rsid w:val="008C26B6"/>
    <w:rsid w:val="008C7560"/>
    <w:rsid w:val="008D1A59"/>
    <w:rsid w:val="008E0BA4"/>
    <w:rsid w:val="008E2D5A"/>
    <w:rsid w:val="008E3344"/>
    <w:rsid w:val="008E34D5"/>
    <w:rsid w:val="008F49F0"/>
    <w:rsid w:val="008F4BC0"/>
    <w:rsid w:val="008F50D8"/>
    <w:rsid w:val="008F57ED"/>
    <w:rsid w:val="008F7BB5"/>
    <w:rsid w:val="009013E2"/>
    <w:rsid w:val="00902AFA"/>
    <w:rsid w:val="00902C05"/>
    <w:rsid w:val="009104A4"/>
    <w:rsid w:val="00912C52"/>
    <w:rsid w:val="00914E80"/>
    <w:rsid w:val="009159D7"/>
    <w:rsid w:val="00920A26"/>
    <w:rsid w:val="00921DC0"/>
    <w:rsid w:val="00926DD7"/>
    <w:rsid w:val="00934B39"/>
    <w:rsid w:val="00947674"/>
    <w:rsid w:val="00952170"/>
    <w:rsid w:val="009547FA"/>
    <w:rsid w:val="00954C38"/>
    <w:rsid w:val="00956689"/>
    <w:rsid w:val="00966235"/>
    <w:rsid w:val="0097363A"/>
    <w:rsid w:val="00973949"/>
    <w:rsid w:val="009767C9"/>
    <w:rsid w:val="00983A2A"/>
    <w:rsid w:val="00986DE1"/>
    <w:rsid w:val="00990E1A"/>
    <w:rsid w:val="009914C9"/>
    <w:rsid w:val="009A1B79"/>
    <w:rsid w:val="009A2776"/>
    <w:rsid w:val="009A4D34"/>
    <w:rsid w:val="009A525E"/>
    <w:rsid w:val="009A5E41"/>
    <w:rsid w:val="009C14F4"/>
    <w:rsid w:val="009C3EE0"/>
    <w:rsid w:val="009C64AE"/>
    <w:rsid w:val="009C65A2"/>
    <w:rsid w:val="009E12D5"/>
    <w:rsid w:val="009E29EF"/>
    <w:rsid w:val="009E2DE2"/>
    <w:rsid w:val="009E359E"/>
    <w:rsid w:val="009E765B"/>
    <w:rsid w:val="00A0078D"/>
    <w:rsid w:val="00A047AA"/>
    <w:rsid w:val="00A05921"/>
    <w:rsid w:val="00A07160"/>
    <w:rsid w:val="00A11229"/>
    <w:rsid w:val="00A11628"/>
    <w:rsid w:val="00A1442E"/>
    <w:rsid w:val="00A2516C"/>
    <w:rsid w:val="00A32246"/>
    <w:rsid w:val="00A42DCA"/>
    <w:rsid w:val="00A46630"/>
    <w:rsid w:val="00A475AB"/>
    <w:rsid w:val="00A614CE"/>
    <w:rsid w:val="00A735C6"/>
    <w:rsid w:val="00A80F6D"/>
    <w:rsid w:val="00A81CD4"/>
    <w:rsid w:val="00A90953"/>
    <w:rsid w:val="00A92786"/>
    <w:rsid w:val="00AA0461"/>
    <w:rsid w:val="00AA11EB"/>
    <w:rsid w:val="00AA7AB2"/>
    <w:rsid w:val="00AB392A"/>
    <w:rsid w:val="00AB5292"/>
    <w:rsid w:val="00AB7FA5"/>
    <w:rsid w:val="00AC519A"/>
    <w:rsid w:val="00AD5209"/>
    <w:rsid w:val="00AE5CBE"/>
    <w:rsid w:val="00AF2CF0"/>
    <w:rsid w:val="00AF486E"/>
    <w:rsid w:val="00B00BE7"/>
    <w:rsid w:val="00B03C03"/>
    <w:rsid w:val="00B03CD3"/>
    <w:rsid w:val="00B0631D"/>
    <w:rsid w:val="00B12F90"/>
    <w:rsid w:val="00B15A79"/>
    <w:rsid w:val="00B21F52"/>
    <w:rsid w:val="00B253F3"/>
    <w:rsid w:val="00B25D9F"/>
    <w:rsid w:val="00B27F3C"/>
    <w:rsid w:val="00B31134"/>
    <w:rsid w:val="00B34F6A"/>
    <w:rsid w:val="00B40BEF"/>
    <w:rsid w:val="00B418B5"/>
    <w:rsid w:val="00B43BF0"/>
    <w:rsid w:val="00B43CD4"/>
    <w:rsid w:val="00B469B7"/>
    <w:rsid w:val="00B47E24"/>
    <w:rsid w:val="00B524C8"/>
    <w:rsid w:val="00B5758F"/>
    <w:rsid w:val="00B64069"/>
    <w:rsid w:val="00B65CC6"/>
    <w:rsid w:val="00B67EFF"/>
    <w:rsid w:val="00B70FD1"/>
    <w:rsid w:val="00B726C7"/>
    <w:rsid w:val="00B72889"/>
    <w:rsid w:val="00B72CE7"/>
    <w:rsid w:val="00B774CF"/>
    <w:rsid w:val="00B77EC4"/>
    <w:rsid w:val="00B80AD5"/>
    <w:rsid w:val="00B860C3"/>
    <w:rsid w:val="00B90671"/>
    <w:rsid w:val="00B90B6E"/>
    <w:rsid w:val="00B91E38"/>
    <w:rsid w:val="00B92400"/>
    <w:rsid w:val="00B96A9E"/>
    <w:rsid w:val="00B96B7C"/>
    <w:rsid w:val="00B9707D"/>
    <w:rsid w:val="00BA2213"/>
    <w:rsid w:val="00BA4EFF"/>
    <w:rsid w:val="00BB5B6D"/>
    <w:rsid w:val="00BB6D96"/>
    <w:rsid w:val="00BC2EEC"/>
    <w:rsid w:val="00BC35DC"/>
    <w:rsid w:val="00BC67AA"/>
    <w:rsid w:val="00BC7899"/>
    <w:rsid w:val="00BD2369"/>
    <w:rsid w:val="00BD41A1"/>
    <w:rsid w:val="00BD5240"/>
    <w:rsid w:val="00BD5BB9"/>
    <w:rsid w:val="00BE4883"/>
    <w:rsid w:val="00BE7C39"/>
    <w:rsid w:val="00BF2297"/>
    <w:rsid w:val="00C053E5"/>
    <w:rsid w:val="00C07BF1"/>
    <w:rsid w:val="00C11059"/>
    <w:rsid w:val="00C174A4"/>
    <w:rsid w:val="00C214F6"/>
    <w:rsid w:val="00C226D9"/>
    <w:rsid w:val="00C23B98"/>
    <w:rsid w:val="00C24E1E"/>
    <w:rsid w:val="00C2645D"/>
    <w:rsid w:val="00C27B6D"/>
    <w:rsid w:val="00C3028C"/>
    <w:rsid w:val="00C3119C"/>
    <w:rsid w:val="00C315D6"/>
    <w:rsid w:val="00C4031C"/>
    <w:rsid w:val="00C43DB5"/>
    <w:rsid w:val="00C514A7"/>
    <w:rsid w:val="00C5290A"/>
    <w:rsid w:val="00C706FF"/>
    <w:rsid w:val="00C74CE8"/>
    <w:rsid w:val="00C90657"/>
    <w:rsid w:val="00C9536A"/>
    <w:rsid w:val="00CA1AC9"/>
    <w:rsid w:val="00CA621C"/>
    <w:rsid w:val="00CB5412"/>
    <w:rsid w:val="00CD2F21"/>
    <w:rsid w:val="00CD6ADB"/>
    <w:rsid w:val="00CD6D98"/>
    <w:rsid w:val="00CD7E92"/>
    <w:rsid w:val="00CE7860"/>
    <w:rsid w:val="00CF023C"/>
    <w:rsid w:val="00CF05BC"/>
    <w:rsid w:val="00D03706"/>
    <w:rsid w:val="00D048B7"/>
    <w:rsid w:val="00D1262C"/>
    <w:rsid w:val="00D14DB9"/>
    <w:rsid w:val="00D202CF"/>
    <w:rsid w:val="00D35C86"/>
    <w:rsid w:val="00D42526"/>
    <w:rsid w:val="00D4497C"/>
    <w:rsid w:val="00D51B1D"/>
    <w:rsid w:val="00D525E3"/>
    <w:rsid w:val="00D5627D"/>
    <w:rsid w:val="00D57C42"/>
    <w:rsid w:val="00D62988"/>
    <w:rsid w:val="00D70E13"/>
    <w:rsid w:val="00D7579D"/>
    <w:rsid w:val="00D845E0"/>
    <w:rsid w:val="00D878E1"/>
    <w:rsid w:val="00D87D2D"/>
    <w:rsid w:val="00D905C4"/>
    <w:rsid w:val="00D9132A"/>
    <w:rsid w:val="00D97460"/>
    <w:rsid w:val="00DA2896"/>
    <w:rsid w:val="00DA71C3"/>
    <w:rsid w:val="00DB2B70"/>
    <w:rsid w:val="00DB3B49"/>
    <w:rsid w:val="00DB73CD"/>
    <w:rsid w:val="00DC0A3E"/>
    <w:rsid w:val="00DC5B4A"/>
    <w:rsid w:val="00DC7831"/>
    <w:rsid w:val="00DC7B9C"/>
    <w:rsid w:val="00DD02B6"/>
    <w:rsid w:val="00DD5742"/>
    <w:rsid w:val="00DD598B"/>
    <w:rsid w:val="00DD5EE2"/>
    <w:rsid w:val="00DD7A3F"/>
    <w:rsid w:val="00DE44BB"/>
    <w:rsid w:val="00DE738F"/>
    <w:rsid w:val="00DF1B2F"/>
    <w:rsid w:val="00DF27AE"/>
    <w:rsid w:val="00DF2A76"/>
    <w:rsid w:val="00DF3CAF"/>
    <w:rsid w:val="00DF4260"/>
    <w:rsid w:val="00DF4B6D"/>
    <w:rsid w:val="00DF578E"/>
    <w:rsid w:val="00DF5B17"/>
    <w:rsid w:val="00DF719C"/>
    <w:rsid w:val="00E009AD"/>
    <w:rsid w:val="00E01E32"/>
    <w:rsid w:val="00E041C2"/>
    <w:rsid w:val="00E042CD"/>
    <w:rsid w:val="00E14BB5"/>
    <w:rsid w:val="00E1751F"/>
    <w:rsid w:val="00E23F6A"/>
    <w:rsid w:val="00E354F4"/>
    <w:rsid w:val="00E36D06"/>
    <w:rsid w:val="00E44E2C"/>
    <w:rsid w:val="00E46348"/>
    <w:rsid w:val="00E47B3B"/>
    <w:rsid w:val="00E60025"/>
    <w:rsid w:val="00E60267"/>
    <w:rsid w:val="00E60A10"/>
    <w:rsid w:val="00E63138"/>
    <w:rsid w:val="00E63CFD"/>
    <w:rsid w:val="00E72782"/>
    <w:rsid w:val="00E800E7"/>
    <w:rsid w:val="00E82448"/>
    <w:rsid w:val="00E90910"/>
    <w:rsid w:val="00E97A9C"/>
    <w:rsid w:val="00EA4024"/>
    <w:rsid w:val="00EA4B1F"/>
    <w:rsid w:val="00EB0304"/>
    <w:rsid w:val="00EB6582"/>
    <w:rsid w:val="00EB6B76"/>
    <w:rsid w:val="00EC0CD3"/>
    <w:rsid w:val="00EC0F7A"/>
    <w:rsid w:val="00EC5BF7"/>
    <w:rsid w:val="00ED2D79"/>
    <w:rsid w:val="00EE05C4"/>
    <w:rsid w:val="00EE7895"/>
    <w:rsid w:val="00EF18C1"/>
    <w:rsid w:val="00EF6BC6"/>
    <w:rsid w:val="00F02A17"/>
    <w:rsid w:val="00F05829"/>
    <w:rsid w:val="00F10A08"/>
    <w:rsid w:val="00F12359"/>
    <w:rsid w:val="00F1271D"/>
    <w:rsid w:val="00F1300D"/>
    <w:rsid w:val="00F2449B"/>
    <w:rsid w:val="00F25270"/>
    <w:rsid w:val="00F25306"/>
    <w:rsid w:val="00F25E6E"/>
    <w:rsid w:val="00F30157"/>
    <w:rsid w:val="00F34524"/>
    <w:rsid w:val="00F42B37"/>
    <w:rsid w:val="00F43993"/>
    <w:rsid w:val="00F44245"/>
    <w:rsid w:val="00F47C78"/>
    <w:rsid w:val="00F50FAC"/>
    <w:rsid w:val="00F547F7"/>
    <w:rsid w:val="00F71114"/>
    <w:rsid w:val="00F71ADB"/>
    <w:rsid w:val="00F71B22"/>
    <w:rsid w:val="00F72461"/>
    <w:rsid w:val="00F74258"/>
    <w:rsid w:val="00F76A22"/>
    <w:rsid w:val="00F86D7B"/>
    <w:rsid w:val="00F9105E"/>
    <w:rsid w:val="00F93F06"/>
    <w:rsid w:val="00F9568D"/>
    <w:rsid w:val="00F95DE1"/>
    <w:rsid w:val="00FA0034"/>
    <w:rsid w:val="00FA2A65"/>
    <w:rsid w:val="00FB25F3"/>
    <w:rsid w:val="00FB76BF"/>
    <w:rsid w:val="00FC33B2"/>
    <w:rsid w:val="00FC3A89"/>
    <w:rsid w:val="00FC3AC8"/>
    <w:rsid w:val="00FC4154"/>
    <w:rsid w:val="00FD202C"/>
    <w:rsid w:val="00FD2526"/>
    <w:rsid w:val="00FD42A2"/>
    <w:rsid w:val="00FD50E2"/>
    <w:rsid w:val="00FD63AD"/>
    <w:rsid w:val="00FD70BE"/>
    <w:rsid w:val="00FE3A06"/>
    <w:rsid w:val="00FE3CE8"/>
    <w:rsid w:val="00FE6165"/>
    <w:rsid w:val="00FE62DA"/>
    <w:rsid w:val="00FF088C"/>
    <w:rsid w:val="00FF28EC"/>
    <w:rsid w:val="00FF5451"/>
    <w:rsid w:val="00FF6D86"/>
    <w:rsid w:val="00FF7B48"/>
    <w:rsid w:val="01586AB7"/>
    <w:rsid w:val="038832FE"/>
    <w:rsid w:val="042B4404"/>
    <w:rsid w:val="049C609A"/>
    <w:rsid w:val="04FF135A"/>
    <w:rsid w:val="05170E2A"/>
    <w:rsid w:val="05F33E19"/>
    <w:rsid w:val="08A607DC"/>
    <w:rsid w:val="0BB772E4"/>
    <w:rsid w:val="0CA3463F"/>
    <w:rsid w:val="0FF11DF9"/>
    <w:rsid w:val="0FFF5BD0"/>
    <w:rsid w:val="109255ED"/>
    <w:rsid w:val="12342DAB"/>
    <w:rsid w:val="12AD7924"/>
    <w:rsid w:val="13033C28"/>
    <w:rsid w:val="13B94E90"/>
    <w:rsid w:val="13BF1349"/>
    <w:rsid w:val="14DD2439"/>
    <w:rsid w:val="16FA62BC"/>
    <w:rsid w:val="19367B17"/>
    <w:rsid w:val="1B85573B"/>
    <w:rsid w:val="1F8751EC"/>
    <w:rsid w:val="20674731"/>
    <w:rsid w:val="214926E0"/>
    <w:rsid w:val="21841F76"/>
    <w:rsid w:val="222C3F22"/>
    <w:rsid w:val="242A1E4E"/>
    <w:rsid w:val="24874F28"/>
    <w:rsid w:val="24ED39A1"/>
    <w:rsid w:val="26176E88"/>
    <w:rsid w:val="29C013EA"/>
    <w:rsid w:val="2D670935"/>
    <w:rsid w:val="2FDD7C63"/>
    <w:rsid w:val="35097DCD"/>
    <w:rsid w:val="35CB1A87"/>
    <w:rsid w:val="37DA1FFD"/>
    <w:rsid w:val="3C823756"/>
    <w:rsid w:val="3C9B5EFD"/>
    <w:rsid w:val="3E13186C"/>
    <w:rsid w:val="42310B31"/>
    <w:rsid w:val="48CA0F99"/>
    <w:rsid w:val="4BC8116F"/>
    <w:rsid w:val="4F0E00F7"/>
    <w:rsid w:val="50055DC9"/>
    <w:rsid w:val="524B628E"/>
    <w:rsid w:val="55857A4F"/>
    <w:rsid w:val="5598176B"/>
    <w:rsid w:val="5890674E"/>
    <w:rsid w:val="5FA63A90"/>
    <w:rsid w:val="656F3231"/>
    <w:rsid w:val="65C636CA"/>
    <w:rsid w:val="682D569C"/>
    <w:rsid w:val="691A5ECD"/>
    <w:rsid w:val="691B6ACA"/>
    <w:rsid w:val="691F79C3"/>
    <w:rsid w:val="697F115B"/>
    <w:rsid w:val="6AB5708C"/>
    <w:rsid w:val="782F28F7"/>
    <w:rsid w:val="796C3466"/>
    <w:rsid w:val="7B2D3227"/>
    <w:rsid w:val="7D5D521C"/>
    <w:rsid w:val="7EBB2477"/>
    <w:rsid w:val="7F9430D8"/>
    <w:rsid w:val="7FF3289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qFormat="1" w:unhideWhenUsed="0" w:uiPriority="0" w:semiHidden="0" w:name="Closing"/>
    <w:lsdException w:uiPriority="99" w:name="Signature"/>
    <w:lsdException w:qFormat="1" w:uiPriority="1" w:name="Default Paragraph Font"/>
    <w:lsdException w:qFormat="1"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45"/>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41"/>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link w:val="42"/>
    <w:qFormat/>
    <w:uiPriority w:val="0"/>
    <w:pPr>
      <w:keepNext/>
      <w:keepLines/>
      <w:spacing w:before="260" w:after="260" w:line="416" w:lineRule="auto"/>
      <w:outlineLvl w:val="2"/>
    </w:pPr>
    <w:rPr>
      <w:b/>
      <w:bCs/>
      <w:sz w:val="32"/>
      <w:szCs w:val="32"/>
    </w:rPr>
  </w:style>
  <w:style w:type="character" w:default="1" w:styleId="18">
    <w:name w:val="Default Paragraph Font"/>
    <w:semiHidden/>
    <w:unhideWhenUsed/>
    <w:qFormat/>
    <w:uiPriority w:val="1"/>
  </w:style>
  <w:style w:type="table" w:default="1" w:styleId="24">
    <w:name w:val="Normal Table"/>
    <w:semiHidden/>
    <w:unhideWhenUsed/>
    <w:qFormat/>
    <w:uiPriority w:val="99"/>
    <w:tblPr>
      <w:tblLayout w:type="fixed"/>
      <w:tblCellMar>
        <w:top w:w="0" w:type="dxa"/>
        <w:left w:w="108" w:type="dxa"/>
        <w:bottom w:w="0" w:type="dxa"/>
        <w:right w:w="108" w:type="dxa"/>
      </w:tblCellMar>
    </w:tblPr>
  </w:style>
  <w:style w:type="paragraph" w:styleId="2">
    <w:name w:val="Normal Indent"/>
    <w:basedOn w:val="1"/>
    <w:qFormat/>
    <w:uiPriority w:val="0"/>
    <w:pPr>
      <w:ind w:firstLine="420"/>
    </w:pPr>
    <w:rPr>
      <w:szCs w:val="20"/>
    </w:rPr>
  </w:style>
  <w:style w:type="paragraph" w:styleId="6">
    <w:name w:val="annotation subject"/>
    <w:basedOn w:val="7"/>
    <w:next w:val="7"/>
    <w:link w:val="35"/>
    <w:semiHidden/>
    <w:unhideWhenUsed/>
    <w:qFormat/>
    <w:uiPriority w:val="99"/>
    <w:rPr>
      <w:b/>
      <w:bCs/>
    </w:rPr>
  </w:style>
  <w:style w:type="paragraph" w:styleId="7">
    <w:name w:val="annotation text"/>
    <w:basedOn w:val="1"/>
    <w:link w:val="34"/>
    <w:semiHidden/>
    <w:unhideWhenUsed/>
    <w:qFormat/>
    <w:uiPriority w:val="99"/>
    <w:pPr>
      <w:jc w:val="left"/>
    </w:pPr>
  </w:style>
  <w:style w:type="paragraph" w:styleId="8">
    <w:name w:val="Closing"/>
    <w:basedOn w:val="1"/>
    <w:qFormat/>
    <w:uiPriority w:val="0"/>
    <w:pPr>
      <w:ind w:left="100" w:leftChars="2100"/>
    </w:pPr>
    <w:rPr>
      <w:rFonts w:ascii="宋体"/>
      <w:sz w:val="24"/>
    </w:rPr>
  </w:style>
  <w:style w:type="paragraph" w:styleId="9">
    <w:name w:val="Body Text"/>
    <w:basedOn w:val="1"/>
    <w:link w:val="39"/>
    <w:semiHidden/>
    <w:unhideWhenUsed/>
    <w:qFormat/>
    <w:uiPriority w:val="99"/>
    <w:pPr>
      <w:spacing w:after="120"/>
    </w:pPr>
  </w:style>
  <w:style w:type="paragraph" w:styleId="10">
    <w:name w:val="Body Text Indent"/>
    <w:basedOn w:val="1"/>
    <w:link w:val="37"/>
    <w:qFormat/>
    <w:uiPriority w:val="0"/>
    <w:pPr>
      <w:spacing w:after="120"/>
      <w:ind w:left="420" w:leftChars="200"/>
    </w:pPr>
    <w:rPr>
      <w:rFonts w:ascii="Calibri" w:hAnsi="Calibri"/>
      <w:szCs w:val="22"/>
    </w:rPr>
  </w:style>
  <w:style w:type="paragraph" w:styleId="11">
    <w:name w:val="Plain Text"/>
    <w:basedOn w:val="1"/>
    <w:link w:val="33"/>
    <w:unhideWhenUsed/>
    <w:qFormat/>
    <w:uiPriority w:val="0"/>
    <w:pPr>
      <w:widowControl/>
      <w:adjustRightInd w:val="0"/>
      <w:snapToGrid w:val="0"/>
      <w:ind w:firstLine="200" w:firstLineChars="200"/>
      <w:jc w:val="left"/>
    </w:pPr>
    <w:rPr>
      <w:rFonts w:ascii="宋体" w:hAnsi="Courier New" w:eastAsia="微软雅黑" w:cs="Courier New"/>
      <w:kern w:val="0"/>
      <w:sz w:val="22"/>
      <w:szCs w:val="21"/>
    </w:rPr>
  </w:style>
  <w:style w:type="paragraph" w:styleId="12">
    <w:name w:val="endnote text"/>
    <w:basedOn w:val="1"/>
    <w:link w:val="48"/>
    <w:semiHidden/>
    <w:unhideWhenUsed/>
    <w:qFormat/>
    <w:uiPriority w:val="99"/>
    <w:pPr>
      <w:snapToGrid w:val="0"/>
      <w:jc w:val="left"/>
    </w:pPr>
  </w:style>
  <w:style w:type="paragraph" w:styleId="13">
    <w:name w:val="Balloon Text"/>
    <w:basedOn w:val="1"/>
    <w:link w:val="43"/>
    <w:qFormat/>
    <w:uiPriority w:val="0"/>
    <w:rPr>
      <w:sz w:val="18"/>
      <w:szCs w:val="18"/>
    </w:rPr>
  </w:style>
  <w:style w:type="paragraph" w:styleId="14">
    <w:name w:val="footer"/>
    <w:basedOn w:val="1"/>
    <w:link w:val="29"/>
    <w:qFormat/>
    <w:uiPriority w:val="0"/>
    <w:pPr>
      <w:tabs>
        <w:tab w:val="center" w:pos="4153"/>
        <w:tab w:val="right" w:pos="8306"/>
      </w:tabs>
      <w:snapToGrid w:val="0"/>
      <w:jc w:val="left"/>
    </w:pPr>
    <w:rPr>
      <w:sz w:val="18"/>
      <w:szCs w:val="18"/>
    </w:rPr>
  </w:style>
  <w:style w:type="paragraph" w:styleId="15">
    <w:name w:val="header"/>
    <w:basedOn w:val="1"/>
    <w:link w:val="31"/>
    <w:qFormat/>
    <w:uiPriority w:val="0"/>
    <w:pPr>
      <w:pBdr>
        <w:bottom w:val="single" w:color="auto" w:sz="6" w:space="1"/>
      </w:pBdr>
      <w:tabs>
        <w:tab w:val="center" w:pos="4153"/>
        <w:tab w:val="right" w:pos="8306"/>
      </w:tabs>
      <w:snapToGrid w:val="0"/>
      <w:jc w:val="center"/>
    </w:pPr>
    <w:rPr>
      <w:sz w:val="18"/>
      <w:szCs w:val="18"/>
    </w:rPr>
  </w:style>
  <w:style w:type="paragraph" w:styleId="16">
    <w:name w:val="HTML Preformatted"/>
    <w:basedOn w:val="1"/>
    <w:link w:val="44"/>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17">
    <w:name w:val="Normal (Web)"/>
    <w:basedOn w:val="1"/>
    <w:qFormat/>
    <w:uiPriority w:val="0"/>
    <w:pPr>
      <w:widowControl/>
      <w:spacing w:before="100" w:beforeAutospacing="1" w:after="100" w:afterAutospacing="1"/>
      <w:jc w:val="left"/>
    </w:pPr>
    <w:rPr>
      <w:rFonts w:ascii="宋体" w:hAnsi="宋体" w:cs="宋体"/>
      <w:kern w:val="0"/>
      <w:sz w:val="24"/>
    </w:rPr>
  </w:style>
  <w:style w:type="character" w:styleId="19">
    <w:name w:val="Strong"/>
    <w:qFormat/>
    <w:uiPriority w:val="0"/>
    <w:rPr>
      <w:b/>
      <w:bCs/>
    </w:rPr>
  </w:style>
  <w:style w:type="character" w:styleId="20">
    <w:name w:val="endnote reference"/>
    <w:basedOn w:val="18"/>
    <w:semiHidden/>
    <w:unhideWhenUsed/>
    <w:qFormat/>
    <w:uiPriority w:val="99"/>
    <w:rPr>
      <w:vertAlign w:val="superscript"/>
    </w:rPr>
  </w:style>
  <w:style w:type="character" w:styleId="21">
    <w:name w:val="Emphasis"/>
    <w:qFormat/>
    <w:uiPriority w:val="20"/>
    <w:rPr>
      <w:i/>
      <w:iCs/>
    </w:rPr>
  </w:style>
  <w:style w:type="character" w:styleId="22">
    <w:name w:val="Hyperlink"/>
    <w:basedOn w:val="18"/>
    <w:unhideWhenUsed/>
    <w:qFormat/>
    <w:uiPriority w:val="0"/>
    <w:rPr>
      <w:color w:val="0000FF"/>
      <w:u w:val="single"/>
    </w:rPr>
  </w:style>
  <w:style w:type="character" w:styleId="23">
    <w:name w:val="annotation reference"/>
    <w:basedOn w:val="18"/>
    <w:semiHidden/>
    <w:unhideWhenUsed/>
    <w:qFormat/>
    <w:uiPriority w:val="99"/>
    <w:rPr>
      <w:sz w:val="21"/>
      <w:szCs w:val="21"/>
    </w:rPr>
  </w:style>
  <w:style w:type="table" w:styleId="25">
    <w:name w:val="Table Grid"/>
    <w:basedOn w:val="2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26">
    <w:name w:val="纯文本1"/>
    <w:basedOn w:val="1"/>
    <w:qFormat/>
    <w:uiPriority w:val="0"/>
    <w:pPr>
      <w:widowControl/>
      <w:jc w:val="left"/>
    </w:pPr>
    <w:rPr>
      <w:rFonts w:ascii="宋体" w:hAnsi="Courier New" w:eastAsia="微软雅黑"/>
      <w:kern w:val="0"/>
      <w:sz w:val="20"/>
      <w:szCs w:val="21"/>
    </w:rPr>
  </w:style>
  <w:style w:type="paragraph" w:customStyle="1" w:styleId="27">
    <w:name w:val="1_0"/>
    <w:basedOn w:val="1"/>
    <w:next w:val="26"/>
    <w:qFormat/>
    <w:uiPriority w:val="0"/>
    <w:rPr>
      <w:rFonts w:ascii="宋体" w:hAnsi="Courier New"/>
      <w:szCs w:val="22"/>
    </w:rPr>
  </w:style>
  <w:style w:type="paragraph" w:customStyle="1" w:styleId="28">
    <w:name w:val="无间隔1"/>
    <w:qFormat/>
    <w:uiPriority w:val="99"/>
    <w:pPr>
      <w:adjustRightInd w:val="0"/>
      <w:snapToGrid w:val="0"/>
    </w:pPr>
    <w:rPr>
      <w:rFonts w:ascii="Tahoma" w:hAnsi="Tahoma" w:eastAsia="微软雅黑" w:cs="Times New Roman"/>
      <w:sz w:val="22"/>
      <w:szCs w:val="22"/>
      <w:lang w:val="en-US" w:eastAsia="zh-CN" w:bidi="ar-SA"/>
    </w:rPr>
  </w:style>
  <w:style w:type="character" w:customStyle="1" w:styleId="29">
    <w:name w:val="页脚 字符"/>
    <w:link w:val="14"/>
    <w:qFormat/>
    <w:uiPriority w:val="0"/>
    <w:rPr>
      <w:kern w:val="2"/>
      <w:sz w:val="18"/>
      <w:szCs w:val="18"/>
    </w:rPr>
  </w:style>
  <w:style w:type="character" w:customStyle="1" w:styleId="30">
    <w:name w:val="apple-style-span"/>
    <w:basedOn w:val="18"/>
    <w:qFormat/>
    <w:uiPriority w:val="0"/>
  </w:style>
  <w:style w:type="character" w:customStyle="1" w:styleId="31">
    <w:name w:val="页眉 字符"/>
    <w:link w:val="15"/>
    <w:qFormat/>
    <w:uiPriority w:val="0"/>
    <w:rPr>
      <w:kern w:val="2"/>
      <w:sz w:val="18"/>
      <w:szCs w:val="18"/>
    </w:rPr>
  </w:style>
  <w:style w:type="character" w:customStyle="1" w:styleId="32">
    <w:name w:val="style141"/>
    <w:qFormat/>
    <w:uiPriority w:val="0"/>
    <w:rPr>
      <w:rFonts w:hint="eastAsia" w:ascii="宋体" w:hAnsi="宋体" w:eastAsia="宋体"/>
      <w:sz w:val="18"/>
      <w:szCs w:val="18"/>
    </w:rPr>
  </w:style>
  <w:style w:type="character" w:customStyle="1" w:styleId="33">
    <w:name w:val="纯文本 字符"/>
    <w:basedOn w:val="18"/>
    <w:link w:val="11"/>
    <w:qFormat/>
    <w:uiPriority w:val="0"/>
    <w:rPr>
      <w:rFonts w:ascii="宋体" w:hAnsi="Courier New" w:eastAsia="微软雅黑" w:cs="Courier New"/>
      <w:sz w:val="22"/>
      <w:szCs w:val="21"/>
    </w:rPr>
  </w:style>
  <w:style w:type="character" w:customStyle="1" w:styleId="34">
    <w:name w:val="批注文字 字符"/>
    <w:basedOn w:val="18"/>
    <w:link w:val="7"/>
    <w:semiHidden/>
    <w:qFormat/>
    <w:uiPriority w:val="99"/>
    <w:rPr>
      <w:kern w:val="2"/>
      <w:sz w:val="21"/>
      <w:szCs w:val="24"/>
    </w:rPr>
  </w:style>
  <w:style w:type="character" w:customStyle="1" w:styleId="35">
    <w:name w:val="批注主题 字符"/>
    <w:basedOn w:val="34"/>
    <w:link w:val="6"/>
    <w:semiHidden/>
    <w:qFormat/>
    <w:uiPriority w:val="99"/>
    <w:rPr>
      <w:b/>
      <w:bCs/>
      <w:kern w:val="2"/>
      <w:sz w:val="21"/>
      <w:szCs w:val="24"/>
    </w:rPr>
  </w:style>
  <w:style w:type="paragraph" w:styleId="36">
    <w:name w:val="List Paragraph"/>
    <w:basedOn w:val="1"/>
    <w:qFormat/>
    <w:uiPriority w:val="34"/>
    <w:pPr>
      <w:ind w:firstLine="420" w:firstLineChars="200"/>
    </w:pPr>
  </w:style>
  <w:style w:type="character" w:customStyle="1" w:styleId="37">
    <w:name w:val="正文文本缩进 字符"/>
    <w:basedOn w:val="18"/>
    <w:link w:val="10"/>
    <w:qFormat/>
    <w:uiPriority w:val="0"/>
    <w:rPr>
      <w:rFonts w:ascii="Calibri" w:hAnsi="Calibri"/>
      <w:kern w:val="2"/>
      <w:sz w:val="21"/>
      <w:szCs w:val="22"/>
    </w:rPr>
  </w:style>
  <w:style w:type="paragraph" w:customStyle="1" w:styleId="38">
    <w:name w:val="p18"/>
    <w:basedOn w:val="1"/>
    <w:qFormat/>
    <w:uiPriority w:val="0"/>
    <w:pPr>
      <w:widowControl/>
      <w:adjustRightInd w:val="0"/>
      <w:spacing w:line="312" w:lineRule="atLeast"/>
    </w:pPr>
    <w:rPr>
      <w:rFonts w:ascii="宋体" w:hAnsi="宋体" w:cs="宋体"/>
      <w:kern w:val="0"/>
      <w:sz w:val="24"/>
    </w:rPr>
  </w:style>
  <w:style w:type="character" w:customStyle="1" w:styleId="39">
    <w:name w:val="正文文本 字符"/>
    <w:basedOn w:val="18"/>
    <w:link w:val="9"/>
    <w:semiHidden/>
    <w:qFormat/>
    <w:uiPriority w:val="99"/>
    <w:rPr>
      <w:kern w:val="2"/>
      <w:sz w:val="21"/>
      <w:szCs w:val="24"/>
    </w:rPr>
  </w:style>
  <w:style w:type="character" w:customStyle="1" w:styleId="40">
    <w:name w:val="标题 1 字符"/>
    <w:basedOn w:val="18"/>
    <w:qFormat/>
    <w:uiPriority w:val="0"/>
    <w:rPr>
      <w:b/>
      <w:bCs/>
      <w:kern w:val="44"/>
      <w:sz w:val="44"/>
      <w:szCs w:val="44"/>
    </w:rPr>
  </w:style>
  <w:style w:type="character" w:customStyle="1" w:styleId="41">
    <w:name w:val="标题 2 字符"/>
    <w:basedOn w:val="18"/>
    <w:link w:val="4"/>
    <w:qFormat/>
    <w:uiPriority w:val="0"/>
    <w:rPr>
      <w:rFonts w:ascii="Arial" w:hAnsi="Arial" w:eastAsia="黑体"/>
      <w:b/>
      <w:bCs/>
      <w:kern w:val="2"/>
      <w:sz w:val="32"/>
      <w:szCs w:val="32"/>
    </w:rPr>
  </w:style>
  <w:style w:type="character" w:customStyle="1" w:styleId="42">
    <w:name w:val="标题 3 字符"/>
    <w:basedOn w:val="18"/>
    <w:link w:val="5"/>
    <w:qFormat/>
    <w:uiPriority w:val="0"/>
    <w:rPr>
      <w:b/>
      <w:bCs/>
      <w:kern w:val="2"/>
      <w:sz w:val="32"/>
      <w:szCs w:val="32"/>
    </w:rPr>
  </w:style>
  <w:style w:type="character" w:customStyle="1" w:styleId="43">
    <w:name w:val="批注框文本 字符"/>
    <w:basedOn w:val="18"/>
    <w:link w:val="13"/>
    <w:qFormat/>
    <w:uiPriority w:val="0"/>
    <w:rPr>
      <w:kern w:val="2"/>
      <w:sz w:val="18"/>
      <w:szCs w:val="18"/>
    </w:rPr>
  </w:style>
  <w:style w:type="character" w:customStyle="1" w:styleId="44">
    <w:name w:val="HTML 预设格式 字符"/>
    <w:basedOn w:val="18"/>
    <w:link w:val="16"/>
    <w:qFormat/>
    <w:uiPriority w:val="0"/>
    <w:rPr>
      <w:rFonts w:ascii="宋体" w:hAnsi="宋体" w:cs="宋体"/>
      <w:sz w:val="24"/>
      <w:szCs w:val="24"/>
    </w:rPr>
  </w:style>
  <w:style w:type="character" w:customStyle="1" w:styleId="45">
    <w:name w:val="标题 1 字符1"/>
    <w:link w:val="3"/>
    <w:qFormat/>
    <w:uiPriority w:val="0"/>
    <w:rPr>
      <w:b/>
      <w:bCs/>
      <w:kern w:val="44"/>
      <w:sz w:val="44"/>
      <w:szCs w:val="44"/>
    </w:rPr>
  </w:style>
  <w:style w:type="character" w:customStyle="1" w:styleId="46">
    <w:name w:val="页眉 Char"/>
    <w:qFormat/>
    <w:uiPriority w:val="0"/>
    <w:rPr>
      <w:kern w:val="2"/>
      <w:sz w:val="18"/>
      <w:szCs w:val="18"/>
      <w:lang w:val="zh-CN" w:eastAsia="zh-CN"/>
    </w:rPr>
  </w:style>
  <w:style w:type="character" w:customStyle="1" w:styleId="47">
    <w:name w:val="页脚 Char"/>
    <w:qFormat/>
    <w:uiPriority w:val="0"/>
    <w:rPr>
      <w:kern w:val="2"/>
      <w:sz w:val="18"/>
      <w:szCs w:val="18"/>
      <w:lang w:val="zh-CN" w:eastAsia="zh-CN"/>
    </w:rPr>
  </w:style>
  <w:style w:type="character" w:customStyle="1" w:styleId="48">
    <w:name w:val="尾注文本 字符"/>
    <w:basedOn w:val="18"/>
    <w:link w:val="12"/>
    <w:semiHidden/>
    <w:qFormat/>
    <w:uiPriority w:val="99"/>
    <w:rPr>
      <w:kern w:val="2"/>
      <w:sz w:val="21"/>
      <w:szCs w:val="24"/>
    </w:rPr>
  </w:style>
  <w:style w:type="character" w:customStyle="1" w:styleId="49">
    <w:name w:val="font51"/>
    <w:basedOn w:val="18"/>
    <w:qFormat/>
    <w:uiPriority w:val="0"/>
    <w:rPr>
      <w:rFonts w:ascii="微软雅黑" w:hAnsi="微软雅黑" w:eastAsia="微软雅黑" w:cs="微软雅黑"/>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16ADB92-84CC-4B37-A9CE-B4B74CD1E40E}">
  <ds:schemaRefs/>
</ds:datastoreItem>
</file>

<file path=docProps/app.xml><?xml version="1.0" encoding="utf-8"?>
<Properties xmlns="http://schemas.openxmlformats.org/officeDocument/2006/extended-properties" xmlns:vt="http://schemas.openxmlformats.org/officeDocument/2006/docPropsVTypes">
  <Template>Normal.dotm</Template>
  <Company>aaa</Company>
  <Pages>1</Pages>
  <Words>1671</Words>
  <Characters>9527</Characters>
  <Lines>79</Lines>
  <Paragraphs>22</Paragraphs>
  <TotalTime>19</TotalTime>
  <ScaleCrop>false</ScaleCrop>
  <LinksUpToDate>false</LinksUpToDate>
  <CharactersWithSpaces>11176</CharactersWithSpaces>
  <Application>WPS Office_11.8.2.8053_F1E327BC-269C-435d-A152-05C5408002CA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2018-02-28T04:01:00Z</dcterms:created>
  <dc:creator>abc</dc:creator>
  <cp:lastModifiedBy>詹映静</cp:lastModifiedBy>
  <cp:lastPrinted>2011-11-29T08:47:00Z</cp:lastPrinted>
  <dcterms:modified xsi:type="dcterms:W3CDTF">2024-03-28T01:25:47Z</dcterms:modified>
  <dc:title>广州大学城投资经营管理有限公司</dc:title>
  <cp:revision>321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ies>
</file>