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sz w:val="28"/>
          <w:szCs w:val="28"/>
          <w:highlight w:val="none"/>
          <w:lang w:eastAsia="zh-CN"/>
        </w:rPr>
      </w:pPr>
      <w:bookmarkStart w:id="19" w:name="_GoBack"/>
      <w:bookmarkEnd w:id="19"/>
      <w:bookmarkStart w:id="0" w:name="_Hlk102747051"/>
      <w:bookmarkEnd w:id="0"/>
      <w:r>
        <w:rPr>
          <w:rFonts w:hint="eastAsia"/>
          <w:b/>
          <w:sz w:val="28"/>
          <w:szCs w:val="28"/>
          <w:highlight w:val="none"/>
          <w:lang w:eastAsia="zh-CN"/>
        </w:rPr>
        <w:t>广州城投综合能源投资经营管理有限公司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lang w:eastAsia="zh-CN"/>
        </w:rPr>
        <w:t>枢纽楼柴油储存间安全风险点整改工程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枢纽楼柴油储存间安全风险点整改工程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sz w:val="24"/>
          <w:highlight w:val="none"/>
          <w:lang w:val="en-US" w:eastAsia="zh-CN"/>
        </w:rPr>
        <w:t>广州大学城</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7.25</w:t>
      </w:r>
      <w:r>
        <w:rPr>
          <w:rFonts w:hint="eastAsia"/>
          <w:sz w:val="24"/>
          <w:highlight w:val="none"/>
        </w:rPr>
        <w:t>万元（投标报价超过采购限价为无效投标）。</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ind w:left="0" w:firstLine="480" w:firstLineChars="200"/>
        <w:textAlignment w:val="auto"/>
        <w:rPr>
          <w:sz w:val="24"/>
          <w:highlight w:val="none"/>
        </w:rPr>
      </w:pPr>
      <w:r>
        <w:rPr>
          <w:rFonts w:hint="eastAsia"/>
          <w:sz w:val="24"/>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firstLine="720" w:firstLineChars="3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为消除枢纽楼柴油储存间安全风险隐患，现对柴油储存间进行整改。</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合格投标人资格要求</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36"/>
        <w:numPr>
          <w:ilvl w:val="0"/>
          <w:numId w:val="3"/>
        </w:numPr>
        <w:spacing w:before="156" w:beforeLines="50" w:after="156" w:afterLines="50" w:line="360" w:lineRule="auto"/>
        <w:ind w:left="0" w:firstLine="480"/>
        <w:rPr>
          <w:rFonts w:hint="eastAsia" w:ascii="宋体" w:hAnsi="宋体" w:eastAsia="宋体"/>
          <w:sz w:val="24"/>
          <w:szCs w:val="24"/>
        </w:rPr>
      </w:pPr>
      <w:r>
        <w:rPr>
          <w:rFonts w:hint="eastAsia" w:ascii="宋体" w:hAnsi="宋体" w:eastAsia="宋体"/>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投标人没有处于被责令停业或破产状态，且资产未被重组、接管和冻结，声明在投标活动中3 年内没有重大违法活动和涉嫌违规行为。(格式自拟)</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36"/>
        <w:numPr>
          <w:ilvl w:val="0"/>
          <w:numId w:val="3"/>
        </w:numPr>
        <w:spacing w:before="156" w:beforeLines="50" w:after="156" w:afterLines="50" w:line="360" w:lineRule="auto"/>
        <w:ind w:left="0" w:firstLine="480"/>
        <w:rPr>
          <w:rFonts w:hint="eastAsia" w:ascii="宋体" w:hAnsi="宋体" w:eastAsia="宋体"/>
          <w:sz w:val="24"/>
          <w:szCs w:val="24"/>
          <w:highlight w:val="none"/>
        </w:rPr>
      </w:pPr>
      <w:r>
        <w:rPr>
          <w:rFonts w:hint="eastAsia" w:ascii="宋体" w:hAnsi="宋体" w:eastAsia="宋体"/>
          <w:sz w:val="24"/>
          <w:szCs w:val="24"/>
          <w:highlight w:val="none"/>
        </w:rPr>
        <w:t>具有消防设施工程专业承包贰级或以上资质</w:t>
      </w:r>
      <w:r>
        <w:rPr>
          <w:rFonts w:hint="eastAsia"/>
          <w:sz w:val="24"/>
          <w:highlight w:val="none"/>
          <w:lang w:eastAsia="zh-CN"/>
        </w:rPr>
        <w:t>；</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w:t>
      </w:r>
      <w:r>
        <w:rPr>
          <w:rFonts w:hint="eastAsia" w:ascii="宋体" w:hAnsi="宋体" w:eastAsia="宋体"/>
          <w:sz w:val="24"/>
          <w:szCs w:val="24"/>
          <w:lang w:val="en-US" w:eastAsia="zh-CN"/>
        </w:rPr>
        <w:t>2</w:t>
      </w:r>
      <w:r>
        <w:rPr>
          <w:rFonts w:hint="eastAsia" w:ascii="宋体" w:hAnsi="宋体"/>
          <w:sz w:val="24"/>
          <w:szCs w:val="24"/>
          <w:lang w:val="en-US" w:eastAsia="zh-CN"/>
        </w:rPr>
        <w:t>1</w:t>
      </w:r>
      <w:r>
        <w:rPr>
          <w:rFonts w:hint="eastAsia" w:ascii="宋体" w:hAnsi="宋体" w:eastAsia="宋体"/>
          <w:sz w:val="24"/>
          <w:szCs w:val="24"/>
        </w:rPr>
        <w:t>年1月1日至今)完成过质量合格的类似项目业绩（需提供合同</w:t>
      </w:r>
      <w:r>
        <w:rPr>
          <w:rFonts w:hint="eastAsia" w:ascii="宋体" w:hAnsi="宋体" w:eastAsia="宋体"/>
          <w:sz w:val="24"/>
          <w:szCs w:val="24"/>
          <w:lang w:val="en-US" w:eastAsia="zh-CN"/>
        </w:rPr>
        <w:t>等</w:t>
      </w:r>
      <w:r>
        <w:rPr>
          <w:rFonts w:hint="eastAsia" w:ascii="宋体" w:hAnsi="宋体" w:eastAsia="宋体"/>
          <w:sz w:val="24"/>
          <w:szCs w:val="24"/>
        </w:rPr>
        <w:t>相关证明材料复印件；</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r>
        <w:rPr>
          <w:rFonts w:hint="eastAsia" w:ascii="宋体" w:hAnsi="宋体"/>
          <w:sz w:val="24"/>
          <w:szCs w:val="24"/>
          <w:lang w:eastAsia="zh-CN"/>
        </w:rPr>
        <w:t>。</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项目</w:t>
      </w:r>
      <w:r>
        <w:rPr>
          <w:rFonts w:hint="eastAsia"/>
          <w:b/>
          <w:bCs/>
          <w:sz w:val="24"/>
          <w:szCs w:val="24"/>
          <w:highlight w:val="none"/>
          <w:lang w:val="en-US" w:eastAsia="zh-CN"/>
        </w:rPr>
        <w:t>工作范围及内容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（一）工作范围：枢纽楼负一楼和副楼柴油储存间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（二）工作内容：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1、增设通风管路设施，同时加装温度、浓度检测、监控、报警及联动装置，控制箱安装在原消防风机房，温度或浓度达到设定值时，自动启动送、排风机；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280" w:leftChars="0" w:firstLine="48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2、两个贮油间地面用12砖做围堵（见附图），墙砌50公分高，负一层贮油间砌2.2米长，副楼贮油间砌2.6米长；</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280" w:leftChars="0" w:firstLine="48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3、现场卫生清洁；</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280" w:leftChars="0" w:firstLine="48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4、调试及培训。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280" w:leftChars="0" w:firstLine="480"/>
        <w:textAlignment w:val="auto"/>
        <w:rPr>
          <w:rFonts w:hint="eastAsia" w:asciiTheme="minorEastAsia" w:hAnsiTheme="minorEastAsia" w:eastAsiaTheme="minorEastAsia" w:cstheme="minorEastAsia"/>
          <w:kern w:val="2"/>
          <w:sz w:val="24"/>
          <w:szCs w:val="24"/>
          <w:lang w:val="en-US" w:eastAsia="zh-CN" w:bidi="ar-SA"/>
        </w:rPr>
      </w:pPr>
      <w:r>
        <w:rPr>
          <w:rFonts w:hint="eastAsia"/>
        </w:rPr>
        <w:drawing>
          <wp:inline distT="0" distB="0" distL="114300" distR="114300">
            <wp:extent cx="5105400" cy="2152650"/>
            <wp:effectExtent l="0" t="0" r="0" b="0"/>
            <wp:docPr id="1" name="图片 1" descr="ac0224b24f5dde89f739d164c504a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0224b24f5dde89f739d164c504a5e"/>
                    <pic:cNvPicPr>
                      <a:picLocks noChangeAspect="1"/>
                    </pic:cNvPicPr>
                  </pic:nvPicPr>
                  <pic:blipFill>
                    <a:blip r:embed="rId4"/>
                    <a:stretch>
                      <a:fillRect/>
                    </a:stretch>
                  </pic:blipFill>
                  <pic:spPr>
                    <a:xfrm>
                      <a:off x="0" y="0"/>
                      <a:ext cx="5105400" cy="2152650"/>
                    </a:xfrm>
                    <a:prstGeom prst="rect">
                      <a:avLst/>
                    </a:prstGeom>
                  </pic:spPr>
                </pic:pic>
              </a:graphicData>
            </a:graphic>
          </wp:inline>
        </w:drawing>
      </w:r>
      <w:r>
        <w:rPr>
          <w:rFonts w:hint="eastAsia"/>
        </w:rPr>
        <w:drawing>
          <wp:inline distT="0" distB="0" distL="114300" distR="114300">
            <wp:extent cx="2915285" cy="2146300"/>
            <wp:effectExtent l="0" t="0" r="18415" b="6350"/>
            <wp:docPr id="2" name="图片 2" descr="ed3058b62f422eb1f7362ec45ad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3058b62f422eb1f7362ec45ad4870"/>
                    <pic:cNvPicPr>
                      <a:picLocks noChangeAspect="1"/>
                    </pic:cNvPicPr>
                  </pic:nvPicPr>
                  <pic:blipFill>
                    <a:blip r:embed="rId5"/>
                    <a:stretch>
                      <a:fillRect/>
                    </a:stretch>
                  </pic:blipFill>
                  <pic:spPr>
                    <a:xfrm>
                      <a:off x="0" y="0"/>
                      <a:ext cx="2915285" cy="2146300"/>
                    </a:xfrm>
                    <a:prstGeom prst="rect">
                      <a:avLst/>
                    </a:prstGeom>
                  </pic:spPr>
                </pic:pic>
              </a:graphicData>
            </a:graphic>
          </wp:inline>
        </w:drawing>
      </w:r>
      <w:r>
        <w:rPr>
          <w:rFonts w:hint="eastAsia"/>
        </w:rPr>
        <w:drawing>
          <wp:inline distT="0" distB="0" distL="114300" distR="114300">
            <wp:extent cx="2607310" cy="2145030"/>
            <wp:effectExtent l="0" t="0" r="2540" b="7620"/>
            <wp:docPr id="3" name="图片 3" descr="c4c4ba2c218bdf6eda6799e3a02e5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4c4ba2c218bdf6eda6799e3a02e58e"/>
                    <pic:cNvPicPr>
                      <a:picLocks noChangeAspect="1"/>
                    </pic:cNvPicPr>
                  </pic:nvPicPr>
                  <pic:blipFill>
                    <a:blip r:embed="rId6"/>
                    <a:stretch>
                      <a:fillRect/>
                    </a:stretch>
                  </pic:blipFill>
                  <pic:spPr>
                    <a:xfrm>
                      <a:off x="0" y="0"/>
                      <a:ext cx="2607310" cy="2145030"/>
                    </a:xfrm>
                    <a:prstGeom prst="rect">
                      <a:avLst/>
                    </a:prstGeom>
                  </pic:spPr>
                </pic:pic>
              </a:graphicData>
            </a:graphic>
          </wp:inline>
        </w:drawing>
      </w:r>
    </w:p>
    <w:p>
      <w:pPr>
        <w:keepNext w:val="0"/>
        <w:keepLines w:val="0"/>
        <w:pageBreakBefore w:val="0"/>
        <w:numPr>
          <w:ilvl w:val="0"/>
          <w:numId w:val="1"/>
        </w:numPr>
        <w:kinsoku/>
        <w:wordWrap/>
        <w:overflowPunct/>
        <w:topLinePunct w:val="0"/>
        <w:bidi w:val="0"/>
        <w:spacing w:before="157" w:beforeLines="50" w:after="157" w:afterLines="50" w:line="360" w:lineRule="auto"/>
        <w:ind w:left="0" w:firstLine="482"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项目施工方法及技术要求</w:t>
      </w:r>
    </w:p>
    <w:p>
      <w:pPr>
        <w:pStyle w:val="36"/>
        <w:numPr>
          <w:ilvl w:val="-1"/>
          <w:numId w:val="0"/>
        </w:numPr>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 注意事项</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负责该项目的功能设计、绘制安装图及相关控制图（</w:t>
      </w:r>
      <w:r>
        <w:rPr>
          <w:rFonts w:hint="eastAsia" w:asciiTheme="minorEastAsia" w:hAnsiTheme="minorEastAsia" w:eastAsiaTheme="minorEastAsia" w:cstheme="minorEastAsia"/>
          <w:sz w:val="24"/>
          <w:lang w:val="en-US" w:eastAsia="zh-CN"/>
        </w:rPr>
        <w:t>采购人</w:t>
      </w:r>
      <w:r>
        <w:rPr>
          <w:rFonts w:hint="eastAsia" w:asciiTheme="minorEastAsia" w:hAnsiTheme="minorEastAsia" w:eastAsiaTheme="minorEastAsia" w:cstheme="minorEastAsia"/>
          <w:sz w:val="24"/>
        </w:rPr>
        <w:t>提供原枢纽楼负一楼和副楼柴油发电机房图纸）。</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负责新装系统正式移交后，系统质保期内的技术服务支持、设备维修等售后工作。</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3、中标单位</w:t>
      </w:r>
      <w:r>
        <w:rPr>
          <w:rFonts w:hint="eastAsia" w:asciiTheme="minorEastAsia" w:hAnsiTheme="minorEastAsia" w:eastAsiaTheme="minorEastAsia" w:cstheme="minorEastAsia"/>
          <w:sz w:val="24"/>
        </w:rPr>
        <w:t>须将项目所有随机资料（包括但不限于设备检验合格证书、3C认证证书、设备使用说明书、系统维修保养手册、主机点检要领以及有关图纸文件等）以及竣工图纸一式六份提交业主。</w:t>
      </w:r>
    </w:p>
    <w:p>
      <w:pPr>
        <w:pStyle w:val="36"/>
        <w:numPr>
          <w:ilvl w:val="-1"/>
          <w:numId w:val="0"/>
        </w:numPr>
        <w:spacing w:line="360" w:lineRule="auto"/>
        <w:ind w:left="0" w:firstLine="480" w:firstLineChars="200"/>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负责对物业公司现场操作及维护的人员进行培训，培训内容包括新装系统运行原理、系统操作、系统运行、事故处理及系统维护等</w:t>
      </w:r>
      <w:r>
        <w:rPr>
          <w:rFonts w:hint="eastAsia" w:asciiTheme="minorEastAsia" w:hAnsiTheme="minorEastAsia" w:eastAsiaTheme="minorEastAsia" w:cstheme="minorEastAsia"/>
          <w:sz w:val="24"/>
          <w:szCs w:val="24"/>
        </w:rPr>
        <w:t>。</w:t>
      </w:r>
    </w:p>
    <w:p>
      <w:pPr>
        <w:pStyle w:val="36"/>
        <w:numPr>
          <w:ilvl w:val="-1"/>
          <w:numId w:val="0"/>
        </w:numPr>
        <w:spacing w:line="360" w:lineRule="auto"/>
        <w:ind w:left="0" w:firstLine="480" w:firstLineChars="200"/>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lang w:eastAsia="zh-CN"/>
        </w:rPr>
        <w:t>（</w:t>
      </w:r>
      <w:r>
        <w:rPr>
          <w:rFonts w:hint="eastAsia" w:asciiTheme="minorEastAsia" w:hAnsiTheme="minorEastAsia" w:eastAsiaTheme="minorEastAsia" w:cstheme="minorEastAsia"/>
          <w:kern w:val="28"/>
          <w:sz w:val="24"/>
          <w:szCs w:val="24"/>
          <w:lang w:val="en-US" w:eastAsia="zh-CN"/>
        </w:rPr>
        <w:t>二</w:t>
      </w:r>
      <w:r>
        <w:rPr>
          <w:rFonts w:hint="eastAsia" w:asciiTheme="minorEastAsia" w:hAnsiTheme="minorEastAsia" w:eastAsiaTheme="minorEastAsia" w:cstheme="minorEastAsia"/>
          <w:kern w:val="28"/>
          <w:sz w:val="24"/>
          <w:szCs w:val="24"/>
          <w:lang w:eastAsia="zh-CN"/>
        </w:rPr>
        <w:t>）</w:t>
      </w:r>
      <w:r>
        <w:rPr>
          <w:rFonts w:hint="eastAsia" w:asciiTheme="minorEastAsia" w:hAnsiTheme="minorEastAsia" w:eastAsiaTheme="minorEastAsia" w:cstheme="minorEastAsia"/>
          <w:kern w:val="28"/>
          <w:sz w:val="24"/>
          <w:szCs w:val="24"/>
        </w:rPr>
        <w:t>换气系统联动技术要求</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自动控制要求</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统应根据保护范围中各区可燃气体浓度的反应而自动启动。探测器通过附设的耦合电路来控制气放系统，即有区域中的两个探测器报警时，才启动送排风机。当一个探测器报警时，控制器上即出现讯号，声光拉响，声或光警讯号亦出现在枢纽楼一楼消防自动报警系统。当两个探测器报警时，附设的耦合继电器便启动，并引发如下联动动作:</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“双”音器报警，控制板上并出现警报光信号。 </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消防总控制板上出现声光警报讯号。</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房间入口处的闪光灯闪动。</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联动通风机启动及风阀打开，以消除危险。</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手动控制要求</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拉动设在保护区入口处拉杆的机械设备单元即可启动系统，手拉力不超过170牛顿或位移不超过350毫米，光和声警报号亦出现在本大楼一楼消防自动报警系统。</w:t>
      </w:r>
    </w:p>
    <w:p>
      <w:pPr>
        <w:pStyle w:val="36"/>
        <w:numPr>
          <w:ilvl w:val="-1"/>
          <w:numId w:val="0"/>
        </w:numPr>
        <w:autoSpaceDE w:val="0"/>
        <w:autoSpaceDN w:val="0"/>
        <w:adjustRightInd w:val="0"/>
        <w:spacing w:before="157" w:beforeLines="50" w:after="157" w:afterLines="50"/>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val="en-US" w:eastAsia="zh-CN"/>
        </w:rPr>
        <w:t>3、协助配合</w:t>
      </w:r>
      <w:r>
        <w:rPr>
          <w:rFonts w:hint="eastAsia" w:asciiTheme="minorEastAsia" w:hAnsiTheme="minorEastAsia" w:eastAsiaTheme="minorEastAsia" w:cstheme="minorEastAsia"/>
          <w:sz w:val="24"/>
        </w:rPr>
        <w:t>该系统的报警信号需接入本大楼消防自动报警系统（届时需请消防维保单位协助）。</w:t>
      </w:r>
    </w:p>
    <w:p>
      <w:pPr>
        <w:pStyle w:val="36"/>
        <w:numPr>
          <w:ilvl w:val="-1"/>
          <w:numId w:val="0"/>
        </w:numPr>
        <w:autoSpaceDE w:val="0"/>
        <w:autoSpaceDN w:val="0"/>
        <w:adjustRightInd w:val="0"/>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施工技术要求</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配管施工</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采用镀锌金属电线管敷设，所用钢管不得有穿孔、裂缝及锈蚀现象，材质符合规范要求的标准，热镀锌层镀层厚度≥60μm。</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管线分线盒口朝侧面并加盖，做好接地跨接。</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管子煨弯后不允许有凹陷和裂缝，煨弯后的椭圆度不得大于管外径的10%，管口应处理光滑无毛刺。</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4</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明配管连接套丝长度不小于管接头长度的一半。管套接好后，在管接头两端用地线夹跨接连接地线。</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5</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明配管进入配电箱、接线盒用锁紧螺母固定后，丝扣露出2～4扣。</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6</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管子的弯曲角度一般不应大于90°，弯曲的半径不应小于管子直径的6倍。</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7</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在下列情况下，须装设接线盒，否则应选用大一级的管径。</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在无弯头时，管子全长在45m处</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当有一个弯头时，管子全长在30m处。</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当有二个弯头时，管子全长在20m处。</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4</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当有三个弯头时，管子全长在12m处。</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8</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钢管经过建筑物变形缝时应加补偿装置，钢管接地采用专用接地卡码连接，整个管路应可靠接地。</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rPr>
        <w:t>控制电缆敷设安装技术要求</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电缆各支持点间的距离应符合规范。</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 xml:space="preserve">标志牌上应注明线路编号（当设计无编号时，则应写明型号、规格及起止地点），并联使用的电缆应有顺序号，字迹应清晰，不易脱落。 </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标志牌的规格宜统一，标志牌应能防腐，且挂装应牢固。</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4</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穿线前，线管口应先装上护套或管螺帽，以免穿线时损伤导线绝缘层，并须将管内积水及杂物清除。</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5</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为了便于穿线，配管前应选择正确的线管规格。多根导线穿管时，导线截面积的总和应不超过管内面积的40％，管子内径不小于导线直径的1.4～1.5倍。</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6</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不同回路，不同电压等级和交流与直流的导线不得穿入同一根管子内。</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7</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导线在管内不得有接头和扭结，接头应在接线盒内连接。</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8</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为了保证接线正确，应按管内导线的作用不同而选取不同颜色的导线或在导线的端头绝缘层上做记号。</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9</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对每一回路均应测量绝缘电阻并填写《电气设备绝缘检查记录》作为竣工资料以备查用。</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10</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导线在箱、盒内的连接宜采用压接法，铜芯导线也可采用缠绕后涮锡之方法连接。</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导线与电器在端子间连接时，单股铜芯及导线截面2.5mm2以下的多股铜芯导线可直连接。但各股铜芯导线的线芯应先拧紧，涮锡后再连接。截面超2.5mm2的多股铜芯导线应压接线耳子后再与电器的端子连接。</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rPr>
        <w:t>火灾探测器安装技术要求</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探测器至墙壁、梁边的水平距离，不应小于0.5m。</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探测器周围0.5m内，不应有遮挡物。</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探测器至空调送风口边的水平距离，不应小于1.5m；至多孔送风顶棚孔口的水平距离，不应小于0.5m。</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4</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在宽度小于3m的内走道顶棚上设置探测器时，宜居中布置。感温探测器的安装间距，不应超过10m；感烟探测器的安装间距，不应超过15m。探测器距端墙的距离，不应大于探测器安装间距的一半。</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5</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探测器底座的外接导线，应留有不小于15cm的余量，入端处应有明显标志。</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6</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探测器底座的穿线孔宜封堵，安装完毕后的探测器底座应采取保护措施。</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7</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探测器待即将调试时方可安装，未安装前应妥善保管，并应采取防尘、防潮、防腐蚀措施。</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4、</w:t>
      </w:r>
      <w:r>
        <w:rPr>
          <w:rFonts w:hint="eastAsia" w:asciiTheme="minorEastAsia" w:hAnsiTheme="minorEastAsia" w:eastAsiaTheme="minorEastAsia" w:cstheme="minorEastAsia"/>
          <w:spacing w:val="20"/>
          <w:sz w:val="24"/>
        </w:rPr>
        <w:t>风管安装技术要求</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明装水平安装：水平度 每米≤3mm 总偏差≤20mm；明装垂直安装：垂直度 每米≤2mm 总偏差≤20mm；暗装风管的位置应正确，无明显偏差。</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风管穿越需要封闭的防火、防爆的墙体或楼板时，应设预埋管或防护套管，其钢板厚度不应小于1.6mm。风管与防护套管之间，应用不燃且对人体无危害的柔性材料封堵。</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风管系统安装完毕后,应按系统类别进行严密性检验。</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5、</w:t>
      </w:r>
      <w:r>
        <w:rPr>
          <w:rFonts w:hint="eastAsia" w:asciiTheme="minorEastAsia" w:hAnsiTheme="minorEastAsia" w:eastAsiaTheme="minorEastAsia" w:cstheme="minorEastAsia"/>
          <w:spacing w:val="20"/>
          <w:sz w:val="24"/>
        </w:rPr>
        <w:t>风口安装</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带风量调节阀的风口安装时，应先安装调节阀框，后安装风口的叶片框。同一方向的风口，其调节装置应设在同一侧。</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散流器风口安装时，应注意风口预留孔洞要比喉口尺寸大，留出扩散板的安装位置。</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排烟口与送风口的安装部位应符合设计要求，与风管或混凝土风道的连接应牢固、严密。</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6、</w:t>
      </w:r>
      <w:r>
        <w:rPr>
          <w:rFonts w:hint="eastAsia" w:asciiTheme="minorEastAsia" w:hAnsiTheme="minorEastAsia" w:eastAsiaTheme="minorEastAsia" w:cstheme="minorEastAsia"/>
          <w:spacing w:val="20"/>
          <w:sz w:val="24"/>
        </w:rPr>
        <w:t>风阀安装</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风阀安装前应检查框架结构是否牢固，调节、制动、定位等装置是否准确灵活。</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风阀的安装同风管的安装，将其法兰与风管或设备的法兰对正，加上密封垫片，上紧螺栓，使其与风管或设备连接牢固、严密。</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风阀安装时，应使阀件的操纵装置便于人工操作，其安装方向应与阀体外壳标注的方向一致。</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4</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安装完的风阀，应在阀体外壳上有明显和准确的开启方向、开启程度的标志。</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5</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防火阀的易熔片应安装在风管的迎风侧，其熔点温度应符合设计要求。</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val="en-US" w:eastAsia="zh-CN"/>
        </w:rPr>
        <w:t>7、</w:t>
      </w:r>
      <w:r>
        <w:rPr>
          <w:rFonts w:hint="eastAsia" w:asciiTheme="minorEastAsia" w:hAnsiTheme="minorEastAsia" w:eastAsiaTheme="minorEastAsia" w:cstheme="minorEastAsia"/>
          <w:spacing w:val="20"/>
          <w:sz w:val="24"/>
        </w:rPr>
        <w:t>风机的安装</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1</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风口、出风口的位置等要与设计相符，叶轮旋转方向应符合设备技术文件的规定。检查外观和外露部分各加工面及转子有无碰伤、变形或锈蚀等情况，手动盘动叶轮有无卡滞现象。</w:t>
      </w:r>
    </w:p>
    <w:p>
      <w:pPr>
        <w:pStyle w:val="36"/>
        <w:numPr>
          <w:ilvl w:val="-1"/>
          <w:numId w:val="0"/>
        </w:numPr>
        <w:spacing w:line="360" w:lineRule="auto"/>
        <w:ind w:left="0" w:firstLine="560" w:firstLineChars="200"/>
        <w:rPr>
          <w:rFonts w:hint="eastAsia"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2</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减小风机的压头损失，提高风机效率，在现场条件允许的情况下，安装时保证风机的出口至弯管的距离为风机出口长边的1.5～2.5 倍，如现场条件不允许，在弯管内设导流叶片予以弥补。</w:t>
      </w:r>
    </w:p>
    <w:p>
      <w:pPr>
        <w:pStyle w:val="36"/>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56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lang w:val="en-US" w:eastAsia="zh-CN"/>
        </w:rPr>
        <w:t>3</w:t>
      </w:r>
      <w:r>
        <w:rPr>
          <w:rFonts w:hint="eastAsia" w:asciiTheme="minorEastAsia" w:hAnsiTheme="minorEastAsia" w:eastAsiaTheme="minorEastAsia" w:cstheme="minorEastAsia"/>
          <w:spacing w:val="20"/>
          <w:sz w:val="24"/>
          <w:lang w:eastAsia="zh-CN"/>
        </w:rPr>
        <w:t>）</w:t>
      </w:r>
      <w:r>
        <w:rPr>
          <w:rFonts w:hint="eastAsia" w:asciiTheme="minorEastAsia" w:hAnsiTheme="minorEastAsia" w:eastAsiaTheme="minorEastAsia" w:cstheme="minorEastAsia"/>
          <w:spacing w:val="20"/>
          <w:sz w:val="24"/>
        </w:rPr>
        <w:t>通风机与风管连接处均设150～250mm 长的软接头，接缝处做到严密和牢固，并且不允许软接头变径。管道风机安装时采用减振支吊架。</w:t>
      </w:r>
      <w:r>
        <w:rPr>
          <w:rFonts w:hint="eastAsia" w:asciiTheme="minorEastAsia" w:hAnsiTheme="minorEastAsia" w:eastAsiaTheme="minorEastAsia" w:cstheme="minorEastAsia"/>
          <w:spacing w:val="20"/>
          <w:sz w:val="24"/>
          <w:lang w:val="en-US" w:eastAsia="zh-CN"/>
        </w:rPr>
        <w:t xml:space="preserve">     （4）</w:t>
      </w:r>
      <w:r>
        <w:rPr>
          <w:rFonts w:hint="eastAsia" w:asciiTheme="minorEastAsia" w:hAnsiTheme="minorEastAsia" w:eastAsiaTheme="minorEastAsia" w:cstheme="minorEastAsia"/>
          <w:spacing w:val="20"/>
          <w:sz w:val="24"/>
        </w:rPr>
        <w:t>风机进、出口风管直通大气处加装防动物丝网。</w:t>
      </w:r>
    </w:p>
    <w:p>
      <w:pPr>
        <w:keepNext w:val="0"/>
        <w:keepLines w:val="0"/>
        <w:pageBreakBefore w:val="0"/>
        <w:numPr>
          <w:ilvl w:val="0"/>
          <w:numId w:val="1"/>
        </w:numPr>
        <w:kinsoku/>
        <w:wordWrap/>
        <w:overflowPunct/>
        <w:topLinePunct w:val="0"/>
        <w:bidi w:val="0"/>
        <w:spacing w:before="157" w:beforeLines="50" w:after="157" w:afterLines="50" w:line="360" w:lineRule="auto"/>
        <w:ind w:left="0" w:firstLine="482"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工程量及材料说明</w:t>
      </w:r>
    </w:p>
    <w:p>
      <w:pPr>
        <w:pStyle w:val="2"/>
        <w:numPr>
          <w:ilvl w:val="0"/>
          <w:numId w:val="4"/>
        </w:numPr>
        <w:spacing w:before="157" w:beforeLines="50" w:after="157" w:afterLines="5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主要工作内容描述</w:t>
      </w:r>
    </w:p>
    <w:p>
      <w:pPr>
        <w:pStyle w:val="2"/>
        <w:numPr>
          <w:ilvl w:val="-1"/>
          <w:numId w:val="0"/>
        </w:numPr>
        <w:spacing w:before="157" w:beforeLines="50" w:after="157" w:afterLines="5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两个贮油间地面用12砖做围堵（见附图），墙砌50公分高，负一层贮油间砌2.2米长，副楼贮油间砌2.6米长，以防贮油罐损坏时，油品外溢。</w:t>
      </w:r>
    </w:p>
    <w:p>
      <w:pPr>
        <w:pStyle w:val="2"/>
        <w:numPr>
          <w:ilvl w:val="-1"/>
          <w:numId w:val="0"/>
        </w:numPr>
        <w:spacing w:before="157" w:beforeLines="50" w:after="157" w:afterLines="5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新装换气系统设备、增设通风管路设施和材料的供应、安装。</w:t>
      </w:r>
    </w:p>
    <w:p>
      <w:pPr>
        <w:pStyle w:val="2"/>
        <w:numPr>
          <w:ilvl w:val="-1"/>
          <w:numId w:val="0"/>
        </w:numPr>
        <w:spacing w:before="157" w:beforeLines="50" w:after="157" w:afterLines="5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加装温度、浓度检测、监控、报警及联动装置。</w:t>
      </w:r>
    </w:p>
    <w:p>
      <w:pPr>
        <w:pStyle w:val="2"/>
        <w:numPr>
          <w:ilvl w:val="-1"/>
          <w:numId w:val="0"/>
        </w:numPr>
        <w:spacing w:before="157" w:beforeLines="50" w:after="157" w:afterLines="5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将新装换气系统的报警信号接入本大楼消防自动报警系统。</w:t>
      </w:r>
    </w:p>
    <w:p>
      <w:pPr>
        <w:pStyle w:val="2"/>
        <w:numPr>
          <w:ilvl w:val="-1"/>
          <w:numId w:val="0"/>
        </w:numPr>
        <w:spacing w:before="157" w:beforeLines="50" w:after="157" w:afterLines="50"/>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负责进行新装换气系统的系统调试及联调、系统验收。</w:t>
      </w:r>
    </w:p>
    <w:p>
      <w:pPr>
        <w:keepNext w:val="0"/>
        <w:keepLines w:val="0"/>
        <w:pageBreakBefore w:val="0"/>
        <w:kinsoku/>
        <w:wordWrap/>
        <w:overflowPunct/>
        <w:topLinePunct w:val="0"/>
        <w:bidi w:val="0"/>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主要工程量</w:t>
      </w:r>
    </w:p>
    <w:p>
      <w:pPr>
        <w:keepNext w:val="0"/>
        <w:keepLines w:val="0"/>
        <w:pageBreakBefore w:val="0"/>
        <w:kinsoku/>
        <w:wordWrap/>
        <w:overflowPunct/>
        <w:topLinePunct w:val="0"/>
        <w:bidi w:val="0"/>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以下工程量仅作参考，本项目由投标人包工包料</w:t>
      </w:r>
      <w:r>
        <w:rPr>
          <w:rFonts w:hint="eastAsia" w:asciiTheme="minorEastAsia" w:hAnsiTheme="minorEastAsia" w:eastAsiaTheme="minorEastAsia" w:cstheme="minorEastAsia"/>
          <w:sz w:val="24"/>
          <w:szCs w:val="24"/>
          <w:highlight w:val="none"/>
          <w:lang w:val="en-US" w:eastAsia="zh-CN"/>
        </w:rPr>
        <w:t>，包含工程所需的设计费、设备费、材料费、施工费、调试费、人工费、安装调试费、运输费、证件费、协助配合报警信号接入本大楼消防自动报警系统费用等全部费用。</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lang w:val="en-US" w:eastAsia="zh-CN"/>
        </w:rPr>
        <w:t>应</w:t>
      </w:r>
      <w:r>
        <w:rPr>
          <w:rFonts w:hint="eastAsia" w:asciiTheme="minorEastAsia" w:hAnsiTheme="minorEastAsia" w:eastAsiaTheme="minorEastAsia" w:cstheme="minorEastAsia"/>
          <w:sz w:val="24"/>
          <w:szCs w:val="24"/>
          <w:highlight w:val="none"/>
        </w:rPr>
        <w:t>勘踏现场后，应根据下表及结合现场实际情况综合考虑再进行报价。</w:t>
      </w:r>
    </w:p>
    <w:tbl>
      <w:tblPr>
        <w:tblStyle w:val="25"/>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259"/>
        <w:gridCol w:w="848"/>
        <w:gridCol w:w="1125"/>
        <w:gridCol w:w="1305"/>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序号</w:t>
            </w:r>
          </w:p>
        </w:tc>
        <w:tc>
          <w:tcPr>
            <w:tcW w:w="4259"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名称</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lang w:val="en-US" w:eastAsia="zh-CN"/>
              </w:rPr>
              <w:t>计量</w:t>
            </w:r>
            <w:r>
              <w:rPr>
                <w:rFonts w:hint="eastAsia" w:asciiTheme="minorEastAsia" w:hAnsiTheme="minorEastAsia" w:eastAsiaTheme="minorEastAsia" w:cstheme="minorEastAsia"/>
                <w:bCs/>
                <w:color w:val="000000"/>
                <w:kern w:val="0"/>
                <w:sz w:val="24"/>
                <w:szCs w:val="24"/>
              </w:rPr>
              <w:t>单位</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工程量</w:t>
            </w:r>
          </w:p>
        </w:tc>
        <w:tc>
          <w:tcPr>
            <w:tcW w:w="1305" w:type="dxa"/>
            <w:vAlign w:val="center"/>
          </w:tcPr>
          <w:p>
            <w:pPr>
              <w:spacing w:line="360" w:lineRule="auto"/>
              <w:jc w:val="center"/>
              <w:rPr>
                <w:rFonts w:hint="default" w:ascii="仿宋" w:hAnsi="仿宋" w:eastAsia="仿宋" w:cs="仿宋"/>
                <w:bCs/>
                <w:color w:val="000000"/>
                <w:kern w:val="0"/>
                <w:sz w:val="24"/>
                <w:szCs w:val="24"/>
              </w:rPr>
            </w:pPr>
            <w:r>
              <w:rPr>
                <w:rFonts w:hint="eastAsia" w:ascii="仿宋" w:hAnsi="仿宋" w:eastAsia="仿宋" w:cs="仿宋"/>
                <w:b/>
                <w:bCs w:val="0"/>
                <w:color w:val="000000"/>
                <w:kern w:val="0"/>
                <w:sz w:val="24"/>
                <w:szCs w:val="24"/>
                <w:lang w:val="en-US" w:eastAsia="zh-CN"/>
              </w:rPr>
              <w:t>投标设备品牌型号规格</w:t>
            </w:r>
          </w:p>
        </w:tc>
        <w:tc>
          <w:tcPr>
            <w:tcW w:w="1010" w:type="dxa"/>
            <w:vAlign w:val="center"/>
          </w:tcPr>
          <w:p>
            <w:pPr>
              <w:spacing w:line="36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1</w:t>
            </w:r>
          </w:p>
        </w:tc>
        <w:tc>
          <w:tcPr>
            <w:tcW w:w="4259" w:type="dxa"/>
            <w:vAlign w:val="center"/>
          </w:tcPr>
          <w:p>
            <w:pPr>
              <w:pStyle w:val="50"/>
              <w:spacing w:before="64" w:line="232" w:lineRule="auto"/>
              <w:ind w:right="10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可燃气体探测器</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个</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4</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2</w:t>
            </w:r>
          </w:p>
        </w:tc>
        <w:tc>
          <w:tcPr>
            <w:tcW w:w="4259" w:type="dxa"/>
            <w:vAlign w:val="center"/>
          </w:tcPr>
          <w:p>
            <w:pPr>
              <w:pStyle w:val="50"/>
              <w:spacing w:before="315"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温度探测器</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个</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2</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3</w:t>
            </w:r>
          </w:p>
        </w:tc>
        <w:tc>
          <w:tcPr>
            <w:tcW w:w="4259" w:type="dxa"/>
            <w:vAlign w:val="center"/>
          </w:tcPr>
          <w:p>
            <w:pPr>
              <w:pStyle w:val="50"/>
              <w:spacing w:before="78"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风机控制器</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台</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2</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4</w:t>
            </w:r>
          </w:p>
        </w:tc>
        <w:tc>
          <w:tcPr>
            <w:tcW w:w="4259" w:type="dxa"/>
            <w:vAlign w:val="center"/>
          </w:tcPr>
          <w:p>
            <w:pPr>
              <w:pStyle w:val="50"/>
              <w:spacing w:before="215"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联动模块</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个</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6</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5</w:t>
            </w:r>
          </w:p>
        </w:tc>
        <w:tc>
          <w:tcPr>
            <w:tcW w:w="4259" w:type="dxa"/>
            <w:vAlign w:val="center"/>
          </w:tcPr>
          <w:p>
            <w:pPr>
              <w:pStyle w:val="50"/>
              <w:spacing w:before="265"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防爆风机</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台</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4</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6</w:t>
            </w:r>
          </w:p>
        </w:tc>
        <w:tc>
          <w:tcPr>
            <w:tcW w:w="425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防火阀</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个</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4</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7</w:t>
            </w:r>
          </w:p>
        </w:tc>
        <w:tc>
          <w:tcPr>
            <w:tcW w:w="425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风管 1.0镀锌钢板</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平米</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20</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8</w:t>
            </w:r>
          </w:p>
        </w:tc>
        <w:tc>
          <w:tcPr>
            <w:tcW w:w="425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砖隔离墙14CM</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平米</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20</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9</w:t>
            </w:r>
          </w:p>
        </w:tc>
        <w:tc>
          <w:tcPr>
            <w:tcW w:w="425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电线管  SC20</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米</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100</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10</w:t>
            </w:r>
          </w:p>
        </w:tc>
        <w:tc>
          <w:tcPr>
            <w:tcW w:w="425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电线   ZR-RVS2*1.5</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米</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150</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11</w:t>
            </w:r>
          </w:p>
        </w:tc>
        <w:tc>
          <w:tcPr>
            <w:tcW w:w="425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电线   ZR-BV2.5</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米</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300</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12</w:t>
            </w:r>
          </w:p>
        </w:tc>
        <w:tc>
          <w:tcPr>
            <w:tcW w:w="4259"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rPr>
              <w:t>图纸费用</w:t>
            </w:r>
            <w:r>
              <w:rPr>
                <w:rFonts w:hint="eastAsia" w:asciiTheme="minorEastAsia" w:hAnsiTheme="minorEastAsia" w:eastAsiaTheme="minorEastAsia" w:cstheme="minorEastAsia"/>
                <w:bCs/>
                <w:color w:val="000000"/>
                <w:kern w:val="0"/>
                <w:sz w:val="24"/>
                <w:szCs w:val="24"/>
                <w:lang w:eastAsia="zh-CN"/>
              </w:rPr>
              <w:t>（</w:t>
            </w:r>
            <w:r>
              <w:rPr>
                <w:rFonts w:hint="eastAsia" w:asciiTheme="minorEastAsia" w:hAnsiTheme="minorEastAsia" w:eastAsiaTheme="minorEastAsia" w:cstheme="minorEastAsia"/>
                <w:bCs/>
                <w:color w:val="000000"/>
                <w:kern w:val="0"/>
                <w:sz w:val="24"/>
                <w:szCs w:val="24"/>
                <w:lang w:val="en-US" w:eastAsia="zh-CN"/>
              </w:rPr>
              <w:t>含设计、安装图及相关控制图</w:t>
            </w:r>
            <w:r>
              <w:rPr>
                <w:rFonts w:hint="eastAsia" w:asciiTheme="minorEastAsia" w:hAnsiTheme="minorEastAsia" w:eastAsiaTheme="minorEastAsia" w:cstheme="minorEastAsia"/>
                <w:bCs/>
                <w:color w:val="000000"/>
                <w:kern w:val="0"/>
                <w:sz w:val="24"/>
                <w:szCs w:val="24"/>
                <w:lang w:eastAsia="zh-CN"/>
              </w:rPr>
              <w:t>）</w:t>
            </w:r>
          </w:p>
        </w:tc>
        <w:tc>
          <w:tcPr>
            <w:tcW w:w="848"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项</w:t>
            </w:r>
          </w:p>
        </w:tc>
        <w:tc>
          <w:tcPr>
            <w:tcW w:w="1125" w:type="dxa"/>
            <w:vAlign w:val="center"/>
          </w:tcPr>
          <w:p>
            <w:pPr>
              <w:spacing w:line="360" w:lineRule="auto"/>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1</w:t>
            </w:r>
          </w:p>
        </w:tc>
        <w:tc>
          <w:tcPr>
            <w:tcW w:w="1305" w:type="dxa"/>
          </w:tcPr>
          <w:p>
            <w:pPr>
              <w:spacing w:line="360" w:lineRule="auto"/>
              <w:jc w:val="center"/>
              <w:rPr>
                <w:rFonts w:ascii="仿宋" w:hAnsi="仿宋" w:eastAsia="仿宋" w:cs="仿宋"/>
                <w:bCs/>
                <w:color w:val="000000"/>
                <w:kern w:val="0"/>
                <w:sz w:val="24"/>
                <w:szCs w:val="24"/>
              </w:rPr>
            </w:pPr>
          </w:p>
        </w:tc>
        <w:tc>
          <w:tcPr>
            <w:tcW w:w="1010" w:type="dxa"/>
          </w:tcPr>
          <w:p>
            <w:pPr>
              <w:spacing w:line="360" w:lineRule="auto"/>
              <w:jc w:val="center"/>
              <w:rPr>
                <w:rFonts w:ascii="仿宋" w:hAnsi="仿宋" w:eastAsia="仿宋" w:cs="仿宋"/>
                <w:bCs/>
                <w:color w:val="000000"/>
                <w:kern w:val="0"/>
                <w:sz w:val="24"/>
                <w:szCs w:val="24"/>
              </w:rPr>
            </w:pPr>
          </w:p>
        </w:tc>
      </w:tr>
    </w:tbl>
    <w:p>
      <w:pPr>
        <w:pStyle w:val="2"/>
        <w:rPr>
          <w:rFonts w:hint="eastAsia"/>
        </w:rPr>
      </w:pPr>
    </w:p>
    <w:p>
      <w:pPr>
        <w:keepNext w:val="0"/>
        <w:keepLines w:val="0"/>
        <w:pageBreakBefore w:val="0"/>
        <w:kinsoku/>
        <w:wordWrap/>
        <w:overflowPunct/>
        <w:topLinePunct w:val="0"/>
        <w:bidi w:val="0"/>
        <w:spacing w:before="157" w:beforeLines="50" w:after="157" w:afterLines="50" w:line="360" w:lineRule="auto"/>
        <w:ind w:firstLine="480" w:firstLineChars="20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备注：本项目材料、机械、器具等</w:t>
      </w:r>
      <w:r>
        <w:rPr>
          <w:rFonts w:hint="eastAsia" w:asciiTheme="minorEastAsia" w:hAnsiTheme="minorEastAsia" w:eastAsiaTheme="minorEastAsia" w:cstheme="minorEastAsia"/>
          <w:bCs/>
          <w:kern w:val="0"/>
          <w:sz w:val="24"/>
          <w:szCs w:val="24"/>
          <w:highlight w:val="none"/>
          <w:lang w:val="en-US" w:eastAsia="zh-CN"/>
        </w:rPr>
        <w:t>均由施工方</w:t>
      </w:r>
      <w:r>
        <w:rPr>
          <w:rFonts w:hint="eastAsia" w:asciiTheme="minorEastAsia" w:hAnsiTheme="minorEastAsia" w:eastAsiaTheme="minorEastAsia" w:cstheme="minorEastAsia"/>
          <w:bCs/>
          <w:kern w:val="0"/>
          <w:sz w:val="24"/>
          <w:szCs w:val="24"/>
          <w:highlight w:val="none"/>
        </w:rPr>
        <w:t>提供，工程量清单报价时建议按上述表格人工、材料分开单列报价。</w:t>
      </w:r>
    </w:p>
    <w:p>
      <w:pPr>
        <w:pStyle w:val="2"/>
        <w:numPr>
          <w:ilvl w:val="0"/>
          <w:numId w:val="4"/>
        </w:numPr>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主要材料清单及说明</w:t>
      </w:r>
    </w:p>
    <w:p>
      <w:pPr>
        <w:pStyle w:val="2"/>
        <w:numPr>
          <w:ilvl w:val="-1"/>
          <w:numId w:val="0"/>
        </w:numPr>
        <w:ind w:firstLine="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 xml:space="preserve">   </w:t>
      </w:r>
    </w:p>
    <w:p>
      <w:pPr>
        <w:pStyle w:val="2"/>
        <w:numPr>
          <w:ilvl w:val="-1"/>
          <w:numId w:val="0"/>
        </w:numPr>
        <w:ind w:firstLine="0"/>
        <w:rPr>
          <w:rFonts w:hint="default" w:asciiTheme="minorEastAsia" w:hAnsiTheme="minorEastAsia" w:eastAsiaTheme="minorEastAsia" w:cstheme="minorEastAsia"/>
          <w:bCs/>
          <w:kern w:val="0"/>
          <w:sz w:val="24"/>
          <w:szCs w:val="24"/>
          <w:highlight w:val="none"/>
          <w:lang w:val="en-US" w:eastAsia="zh-CN"/>
        </w:rPr>
      </w:pPr>
      <w:r>
        <w:rPr>
          <w:rFonts w:hint="default" w:asciiTheme="minorEastAsia" w:hAnsiTheme="minorEastAsia" w:eastAsiaTheme="minorEastAsia" w:cstheme="minorEastAsia"/>
          <w:bCs/>
          <w:kern w:val="0"/>
          <w:sz w:val="24"/>
          <w:szCs w:val="24"/>
          <w:highlight w:val="none"/>
          <w:lang w:val="en-US" w:eastAsia="zh-CN"/>
        </w:rPr>
        <w:object>
          <v:shape id="_x0000_i1025" o:spt="75" type="#_x0000_t75" style="height:444.9pt;width:453.05pt;" o:ole="t" filled="f" o:preferrelative="t" stroked="f" coordsize="21600,21600">
            <v:path/>
            <v:fill on="f" focussize="0,0"/>
            <v:stroke on="f"/>
            <v:imagedata r:id="rId8" o:title=""/>
            <o:lock v:ext="edit" aspectratio="f"/>
            <w10:wrap type="none"/>
            <w10:anchorlock/>
          </v:shape>
          <o:OLEObject Type="Embed" ProgID="Word.Document.8" ShapeID="_x0000_i1025" DrawAspect="Content" ObjectID="_1468075725" r:id="rId7">
            <o:LockedField>false</o:LockedField>
          </o:OLEObject>
        </w:object>
      </w:r>
    </w:p>
    <w:p>
      <w:pPr>
        <w:pStyle w:val="2"/>
        <w:numPr>
          <w:ilvl w:val="0"/>
          <w:numId w:val="4"/>
        </w:numPr>
        <w:ind w:firstLine="42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其他材料要求及说明</w:t>
      </w:r>
    </w:p>
    <w:p>
      <w:pPr>
        <w:pStyle w:val="2"/>
        <w:numPr>
          <w:ilvl w:val="-1"/>
          <w:numId w:val="0"/>
        </w:numPr>
        <w:ind w:firstLine="0"/>
        <w:rPr>
          <w:rFonts w:hint="default" w:asciiTheme="minorEastAsia" w:hAnsiTheme="minorEastAsia" w:eastAsiaTheme="minorEastAsia" w:cstheme="minorEastAsia"/>
          <w:bCs/>
          <w:kern w:val="0"/>
          <w:sz w:val="24"/>
          <w:szCs w:val="24"/>
          <w:highlight w:val="none"/>
          <w:lang w:val="en-US" w:eastAsia="zh-CN"/>
        </w:rPr>
      </w:pPr>
      <w:r>
        <w:rPr>
          <w:rFonts w:hint="default" w:asciiTheme="minorEastAsia" w:hAnsiTheme="minorEastAsia" w:eastAsiaTheme="minorEastAsia" w:cstheme="minorEastAsia"/>
          <w:bCs/>
          <w:kern w:val="0"/>
          <w:sz w:val="24"/>
          <w:szCs w:val="24"/>
          <w:highlight w:val="none"/>
          <w:lang w:val="en-US" w:eastAsia="zh-CN"/>
        </w:rPr>
        <w:object>
          <v:shape id="_x0000_i1026" o:spt="75" type="#_x0000_t75" style="height:625.5pt;width:453.15pt;" o:ole="t" filled="f" o:preferrelative="t" stroked="f" coordsize="21600,21600">
            <v:path/>
            <v:fill on="f" focussize="0,0"/>
            <v:stroke on="f"/>
            <v:imagedata r:id="rId10" o:title=""/>
            <o:lock v:ext="edit" aspectratio="f"/>
            <w10:wrap type="none"/>
            <w10:anchorlock/>
          </v:shape>
          <o:OLEObject Type="Embed" ProgID="Word.Document.8" ShapeID="_x0000_i1026" DrawAspect="Content" ObjectID="_1468075726" r:id="rId9">
            <o:LockedField>false</o:LockedField>
          </o:OLEObject>
        </w:objec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 xml:space="preserve"> 施工要求及注意事项</w:t>
      </w:r>
    </w:p>
    <w:p>
      <w:pPr>
        <w:numPr>
          <w:ilvl w:val="0"/>
          <w:numId w:val="5"/>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施工方应充分察勘现场，施工时注意周边设施保护，必要时采取有效措施，施工方应充分考虑成品保护措施费。</w:t>
      </w:r>
    </w:p>
    <w:p>
      <w:pPr>
        <w:numPr>
          <w:ilvl w:val="0"/>
          <w:numId w:val="5"/>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注意文明、安全施工，做好个人防护措施。</w:t>
      </w:r>
    </w:p>
    <w:p>
      <w:pPr>
        <w:numPr>
          <w:ilvl w:val="0"/>
          <w:numId w:val="5"/>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施工结束后，要做到工完场清后才能离开现场。</w:t>
      </w:r>
    </w:p>
    <w:p>
      <w:pPr>
        <w:numPr>
          <w:ilvl w:val="0"/>
          <w:numId w:val="5"/>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动火作业前必须办理我司动火作业票等方可施工，动火点现场需放置灭火器。注意捕集火花，隔离熔渣，将动火点和附近的可燃物隔离。</w:t>
      </w:r>
    </w:p>
    <w:p>
      <w:pPr>
        <w:numPr>
          <w:ilvl w:val="0"/>
          <w:numId w:val="5"/>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安全第一，执行采购方的安全管理规章制度，办票作业，</w:t>
      </w:r>
      <w:r>
        <w:rPr>
          <w:rFonts w:hint="eastAsia" w:asciiTheme="minorEastAsia" w:hAnsiTheme="minorEastAsia" w:eastAsiaTheme="minorEastAsia" w:cstheme="minorEastAsia"/>
          <w:sz w:val="24"/>
          <w:szCs w:val="24"/>
          <w:highlight w:val="none"/>
        </w:rPr>
        <w:t>严格按施工方案进行施工，如改变施工方案须经我司批准后方可实施，雷雨大风天气禁止户外作业</w:t>
      </w:r>
      <w:r>
        <w:rPr>
          <w:rFonts w:hint="eastAsia" w:asciiTheme="minorEastAsia" w:hAnsiTheme="minorEastAsia" w:eastAsiaTheme="minorEastAsia" w:cstheme="minorEastAsia"/>
          <w:sz w:val="24"/>
          <w:szCs w:val="24"/>
          <w:highlight w:val="none"/>
          <w:lang w:val="en-US" w:eastAsia="zh-CN"/>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6"/>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本项目施工工期</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具体开工时间由</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人通知。</w:t>
      </w:r>
    </w:p>
    <w:p>
      <w:pPr>
        <w:numPr>
          <w:ilvl w:val="0"/>
          <w:numId w:val="6"/>
        </w:numPr>
        <w:spacing w:before="120" w:beforeLines="50" w:after="120" w:afterLines="50" w:line="360" w:lineRule="auto"/>
        <w:ind w:left="0" w:firstLine="480" w:firstLineChars="200"/>
        <w:rPr>
          <w:sz w:val="24"/>
          <w:highlight w:val="none"/>
        </w:rPr>
      </w:pPr>
      <w:r>
        <w:rPr>
          <w:rFonts w:hint="eastAsia"/>
          <w:sz w:val="24"/>
          <w:highlight w:val="none"/>
        </w:rPr>
        <w:t>工程</w:t>
      </w:r>
      <w:r>
        <w:rPr>
          <w:rFonts w:hint="eastAsia"/>
          <w:sz w:val="24"/>
          <w:highlight w:val="none"/>
          <w:lang w:val="en-US" w:eastAsia="zh-CN"/>
        </w:rPr>
        <w:t>质量要求、</w:t>
      </w:r>
      <w:r>
        <w:rPr>
          <w:rFonts w:hint="eastAsia"/>
          <w:sz w:val="24"/>
          <w:highlight w:val="none"/>
        </w:rPr>
        <w:t>验收标准及方式</w:t>
      </w:r>
    </w:p>
    <w:p>
      <w:pPr>
        <w:numPr>
          <w:ilvl w:val="0"/>
          <w:numId w:val="7"/>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质量要求</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1</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所提供设备特性和性能不低于</w:t>
      </w:r>
      <w:bookmarkStart w:id="1" w:name="_Hlk166512392"/>
      <w:r>
        <w:rPr>
          <w:rFonts w:hint="eastAsia" w:asciiTheme="minorEastAsia" w:hAnsiTheme="minorEastAsia" w:eastAsiaTheme="minorEastAsia" w:cstheme="minorEastAsia"/>
          <w:bCs/>
          <w:kern w:val="0"/>
          <w:sz w:val="24"/>
          <w:szCs w:val="24"/>
          <w:highlight w:val="none"/>
          <w:lang w:val="en-US" w:eastAsia="zh-CN"/>
        </w:rPr>
        <w:t>竞选</w:t>
      </w:r>
      <w:r>
        <w:rPr>
          <w:rFonts w:hint="eastAsia" w:asciiTheme="minorEastAsia" w:hAnsiTheme="minorEastAsia" w:eastAsiaTheme="minorEastAsia" w:cstheme="minorEastAsia"/>
          <w:bCs/>
          <w:kern w:val="0"/>
          <w:sz w:val="24"/>
          <w:szCs w:val="24"/>
          <w:highlight w:val="none"/>
        </w:rPr>
        <w:t>文件要求</w:t>
      </w:r>
    </w:p>
    <w:bookmarkEnd w:id="1"/>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2</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投标时提供设备的型号</w:t>
      </w:r>
      <w:r>
        <w:rPr>
          <w:rFonts w:hint="eastAsia" w:asciiTheme="minorEastAsia" w:hAnsiTheme="minorEastAsia" w:eastAsiaTheme="minorEastAsia" w:cstheme="minorEastAsia"/>
          <w:bCs/>
          <w:kern w:val="0"/>
          <w:sz w:val="24"/>
          <w:szCs w:val="24"/>
          <w:highlight w:val="none"/>
          <w:lang w:val="en-US" w:eastAsia="zh-CN"/>
        </w:rPr>
        <w:t>规格</w:t>
      </w:r>
      <w:r>
        <w:rPr>
          <w:rFonts w:hint="eastAsia" w:asciiTheme="minorEastAsia" w:hAnsiTheme="minorEastAsia" w:eastAsiaTheme="minorEastAsia" w:cstheme="minorEastAsia"/>
          <w:bCs/>
          <w:kern w:val="0"/>
          <w:sz w:val="24"/>
          <w:szCs w:val="24"/>
          <w:highlight w:val="none"/>
        </w:rPr>
        <w:t>，设备测试记录由</w:t>
      </w:r>
      <w:r>
        <w:rPr>
          <w:rFonts w:hint="eastAsia" w:asciiTheme="minorEastAsia" w:hAnsiTheme="minorEastAsia" w:eastAsiaTheme="minorEastAsia" w:cstheme="minorEastAsia"/>
          <w:bCs/>
          <w:kern w:val="0"/>
          <w:sz w:val="24"/>
          <w:szCs w:val="24"/>
          <w:highlight w:val="none"/>
          <w:lang w:val="en-US" w:eastAsia="zh-CN"/>
        </w:rPr>
        <w:t>中</w:t>
      </w:r>
      <w:r>
        <w:rPr>
          <w:rFonts w:hint="eastAsia" w:asciiTheme="minorEastAsia" w:hAnsiTheme="minorEastAsia" w:eastAsiaTheme="minorEastAsia" w:cstheme="minorEastAsia"/>
          <w:bCs/>
          <w:kern w:val="0"/>
          <w:sz w:val="24"/>
          <w:szCs w:val="24"/>
          <w:highlight w:val="none"/>
        </w:rPr>
        <w:t>标人严格做成文件，提交给</w:t>
      </w:r>
      <w:r>
        <w:rPr>
          <w:rFonts w:hint="eastAsia" w:asciiTheme="minorEastAsia" w:hAnsiTheme="minorEastAsia" w:eastAsiaTheme="minorEastAsia" w:cstheme="minorEastAsia"/>
          <w:bCs/>
          <w:kern w:val="0"/>
          <w:sz w:val="24"/>
          <w:szCs w:val="24"/>
          <w:highlight w:val="none"/>
          <w:lang w:val="en-US" w:eastAsia="zh-CN"/>
        </w:rPr>
        <w:t>采购</w:t>
      </w:r>
      <w:r>
        <w:rPr>
          <w:rFonts w:hint="eastAsia" w:asciiTheme="minorEastAsia" w:hAnsiTheme="minorEastAsia" w:eastAsiaTheme="minorEastAsia" w:cstheme="minorEastAsia"/>
          <w:bCs/>
          <w:kern w:val="0"/>
          <w:sz w:val="24"/>
          <w:szCs w:val="24"/>
          <w:highlight w:val="none"/>
        </w:rPr>
        <w:t>方，作为设备验收的一部分。</w:t>
      </w:r>
      <w:bookmarkStart w:id="2" w:name="_Hlt35072599"/>
      <w:bookmarkEnd w:id="2"/>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中标</w:t>
      </w:r>
      <w:r>
        <w:rPr>
          <w:rFonts w:hint="eastAsia" w:asciiTheme="minorEastAsia" w:hAnsiTheme="minorEastAsia" w:eastAsiaTheme="minorEastAsia" w:cstheme="minorEastAsia"/>
          <w:bCs/>
          <w:kern w:val="0"/>
          <w:sz w:val="24"/>
          <w:szCs w:val="24"/>
          <w:highlight w:val="none"/>
        </w:rPr>
        <w:t>人在</w:t>
      </w:r>
      <w:r>
        <w:rPr>
          <w:rFonts w:hint="eastAsia" w:asciiTheme="minorEastAsia" w:hAnsiTheme="minorEastAsia" w:eastAsiaTheme="minorEastAsia" w:cstheme="minorEastAsia"/>
          <w:bCs/>
          <w:kern w:val="0"/>
          <w:sz w:val="24"/>
          <w:szCs w:val="24"/>
          <w:highlight w:val="none"/>
          <w:lang w:val="en-US" w:eastAsia="zh-CN"/>
        </w:rPr>
        <w:t>采购</w:t>
      </w:r>
      <w:r>
        <w:rPr>
          <w:rFonts w:hint="eastAsia" w:asciiTheme="minorEastAsia" w:hAnsiTheme="minorEastAsia" w:eastAsiaTheme="minorEastAsia" w:cstheme="minorEastAsia"/>
          <w:bCs/>
          <w:kern w:val="0"/>
          <w:sz w:val="24"/>
          <w:szCs w:val="24"/>
          <w:highlight w:val="none"/>
        </w:rPr>
        <w:t>方现场对供货设备完成安装、调试、试运行、投入正常运行期间，进行设备的性能测试</w:t>
      </w:r>
      <w:bookmarkStart w:id="3" w:name="_Hlt35073870"/>
      <w:bookmarkEnd w:id="3"/>
      <w:r>
        <w:rPr>
          <w:rFonts w:hint="eastAsia" w:asciiTheme="minorEastAsia" w:hAnsiTheme="minorEastAsia" w:eastAsiaTheme="minorEastAsia" w:cstheme="minorEastAsia"/>
          <w:bCs/>
          <w:kern w:val="0"/>
          <w:sz w:val="24"/>
          <w:szCs w:val="24"/>
          <w:highlight w:val="none"/>
        </w:rPr>
        <w:t>，所有功能都需满足</w:t>
      </w:r>
      <w:r>
        <w:rPr>
          <w:rFonts w:hint="eastAsia" w:asciiTheme="minorEastAsia" w:hAnsiTheme="minorEastAsia" w:eastAsiaTheme="minorEastAsia" w:cstheme="minorEastAsia"/>
          <w:bCs/>
          <w:kern w:val="0"/>
          <w:sz w:val="24"/>
          <w:szCs w:val="24"/>
          <w:highlight w:val="none"/>
          <w:lang w:val="en-US" w:eastAsia="zh-CN"/>
        </w:rPr>
        <w:t>竞选</w:t>
      </w:r>
      <w:r>
        <w:rPr>
          <w:rFonts w:hint="eastAsia" w:asciiTheme="minorEastAsia" w:hAnsiTheme="minorEastAsia" w:eastAsiaTheme="minorEastAsia" w:cstheme="minorEastAsia"/>
          <w:bCs/>
          <w:kern w:val="0"/>
          <w:sz w:val="24"/>
          <w:szCs w:val="24"/>
          <w:highlight w:val="none"/>
        </w:rPr>
        <w:t>文件技术要求。</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4</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中标单位</w:t>
      </w:r>
      <w:r>
        <w:rPr>
          <w:rFonts w:hint="eastAsia" w:asciiTheme="minorEastAsia" w:hAnsiTheme="minorEastAsia" w:eastAsiaTheme="minorEastAsia" w:cstheme="minorEastAsia"/>
          <w:bCs/>
          <w:kern w:val="0"/>
          <w:sz w:val="24"/>
          <w:szCs w:val="24"/>
          <w:highlight w:val="none"/>
        </w:rPr>
        <w:t>与</w:t>
      </w:r>
      <w:r>
        <w:rPr>
          <w:rFonts w:hint="eastAsia" w:asciiTheme="minorEastAsia" w:hAnsiTheme="minorEastAsia" w:eastAsiaTheme="minorEastAsia" w:cstheme="minorEastAsia"/>
          <w:bCs/>
          <w:kern w:val="0"/>
          <w:sz w:val="24"/>
          <w:szCs w:val="24"/>
          <w:highlight w:val="none"/>
          <w:lang w:val="en-US" w:eastAsia="zh-CN"/>
        </w:rPr>
        <w:t>采购</w:t>
      </w:r>
      <w:r>
        <w:rPr>
          <w:rFonts w:hint="eastAsia" w:asciiTheme="minorEastAsia" w:hAnsiTheme="minorEastAsia" w:eastAsiaTheme="minorEastAsia" w:cstheme="minorEastAsia"/>
          <w:bCs/>
          <w:kern w:val="0"/>
          <w:sz w:val="24"/>
          <w:szCs w:val="24"/>
          <w:highlight w:val="none"/>
        </w:rPr>
        <w:t>方一起进行性能考核，设备具备在系统不间断地、连续地、稳定地运转时满足各项性能指标要求。</w:t>
      </w:r>
    </w:p>
    <w:p>
      <w:pPr>
        <w:numPr>
          <w:ilvl w:val="0"/>
          <w:numId w:val="7"/>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验收的参考标准</w:t>
      </w:r>
    </w:p>
    <w:p>
      <w:pPr>
        <w:numPr>
          <w:ilvl w:val="-1"/>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highlight w:val="none"/>
        </w:rPr>
        <w:t>《危险化学品安全管理条例》</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《火灾自动报警系统设计规范》GB 50116-2013</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《火灾自动报警系统施工及验收规范》GB 50166-2007</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《民用建筑电气设计规范》（JGJ 16-2008）</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 xml:space="preserve"> 《建筑电气工程施工质量验收规范》GB50303-2002</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《电气装置安装工程接地装置施工及验收规范》（GB 50169-2006）</w:t>
      </w:r>
      <w:r>
        <w:rPr>
          <w:rFonts w:hint="eastAsia" w:asciiTheme="minorEastAsia" w:hAnsiTheme="minorEastAsia" w:eastAsiaTheme="minorEastAsia" w:cstheme="minorEastAsia"/>
          <w:bCs/>
          <w:kern w:val="0"/>
          <w:sz w:val="24"/>
          <w:highlight w:val="none"/>
          <w:lang w:val="en-US" w:eastAsia="zh-CN"/>
        </w:rPr>
        <w:t>及</w:t>
      </w:r>
      <w:r>
        <w:rPr>
          <w:rFonts w:hint="eastAsia" w:asciiTheme="minorEastAsia" w:hAnsiTheme="minorEastAsia" w:eastAsiaTheme="minorEastAsia" w:cstheme="minorEastAsia"/>
          <w:bCs/>
          <w:kern w:val="0"/>
          <w:sz w:val="24"/>
          <w:szCs w:val="24"/>
          <w:highlight w:val="none"/>
          <w:lang w:val="en-US" w:eastAsia="zh-CN"/>
        </w:rPr>
        <w:t>按</w:t>
      </w:r>
      <w:r>
        <w:rPr>
          <w:rFonts w:hint="eastAsia" w:asciiTheme="minorEastAsia" w:hAnsiTheme="minorEastAsia" w:eastAsiaTheme="minorEastAsia" w:cstheme="minorEastAsia"/>
          <w:bCs/>
          <w:kern w:val="0"/>
          <w:sz w:val="24"/>
          <w:szCs w:val="24"/>
          <w:highlight w:val="none"/>
        </w:rPr>
        <w:t>国家和行业相关的其他质量验收标准要求执行。</w:t>
      </w:r>
    </w:p>
    <w:p>
      <w:pPr>
        <w:numPr>
          <w:ilvl w:val="0"/>
          <w:numId w:val="0"/>
        </w:numPr>
        <w:spacing w:before="120" w:beforeLines="50" w:after="120" w:afterLines="50" w:line="360" w:lineRule="auto"/>
        <w:ind w:leftChars="20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工程验收的方式</w:t>
      </w:r>
    </w:p>
    <w:p>
      <w:pPr>
        <w:numPr>
          <w:ilvl w:val="0"/>
          <w:numId w:val="8"/>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lang w:val="en-US" w:eastAsia="zh-CN"/>
        </w:rPr>
        <w:t>项目分</w:t>
      </w:r>
      <w:r>
        <w:rPr>
          <w:rFonts w:hint="eastAsia" w:asciiTheme="minorEastAsia" w:hAnsiTheme="minorEastAsia" w:eastAsiaTheme="minorEastAsia" w:cstheme="minorEastAsia"/>
          <w:b w:val="0"/>
          <w:bCs w:val="0"/>
          <w:kern w:val="0"/>
          <w:sz w:val="24"/>
          <w:szCs w:val="24"/>
          <w:highlight w:val="none"/>
        </w:rPr>
        <w:t>材料验收</w:t>
      </w:r>
      <w:r>
        <w:rPr>
          <w:rFonts w:hint="eastAsia" w:asciiTheme="minorEastAsia" w:hAnsiTheme="minorEastAsia" w:eastAsiaTheme="minorEastAsia" w:cstheme="minorEastAsia"/>
          <w:b w:val="0"/>
          <w:bCs w:val="0"/>
          <w:kern w:val="0"/>
          <w:sz w:val="24"/>
          <w:szCs w:val="24"/>
          <w:highlight w:val="none"/>
          <w:lang w:eastAsia="zh-CN"/>
        </w:rPr>
        <w:t>（</w:t>
      </w:r>
      <w:r>
        <w:rPr>
          <w:rFonts w:hint="eastAsia" w:asciiTheme="minorEastAsia" w:hAnsiTheme="minorEastAsia" w:eastAsiaTheme="minorEastAsia" w:cstheme="minorEastAsia"/>
          <w:kern w:val="0"/>
          <w:sz w:val="24"/>
          <w:highlight w:val="none"/>
        </w:rPr>
        <w:t>所有材料需经我司人员核查后方可使用</w:t>
      </w:r>
      <w:r>
        <w:rPr>
          <w:rFonts w:hint="eastAsia" w:asciiTheme="minorEastAsia" w:hAnsiTheme="minorEastAsia" w:eastAsiaTheme="minorEastAsia" w:cstheme="minorEastAsia"/>
          <w:b w:val="0"/>
          <w:bCs w:val="0"/>
          <w:kern w:val="0"/>
          <w:sz w:val="24"/>
          <w:szCs w:val="24"/>
          <w:highlight w:val="none"/>
          <w:lang w:eastAsia="zh-CN"/>
        </w:rPr>
        <w:t>）、</w:t>
      </w:r>
      <w:r>
        <w:rPr>
          <w:rFonts w:hint="eastAsia" w:asciiTheme="minorEastAsia" w:hAnsiTheme="minorEastAsia" w:eastAsiaTheme="minorEastAsia" w:cstheme="minorEastAsia"/>
          <w:b w:val="0"/>
          <w:bCs w:val="0"/>
          <w:kern w:val="0"/>
          <w:sz w:val="24"/>
          <w:szCs w:val="24"/>
          <w:highlight w:val="none"/>
          <w:lang w:val="en-US" w:eastAsia="zh-CN"/>
        </w:rPr>
        <w:t>过程验收及竣工验收</w:t>
      </w:r>
      <w:r>
        <w:rPr>
          <w:rFonts w:hint="eastAsia" w:asciiTheme="minorEastAsia" w:hAnsiTheme="minorEastAsia" w:eastAsiaTheme="minorEastAsia" w:cstheme="minorEastAsia"/>
          <w:b w:val="0"/>
          <w:bCs w:val="0"/>
          <w:kern w:val="0"/>
          <w:sz w:val="24"/>
          <w:szCs w:val="24"/>
          <w:highlight w:val="none"/>
        </w:rPr>
        <w:t>。</w:t>
      </w:r>
    </w:p>
    <w:p>
      <w:pPr>
        <w:numPr>
          <w:ilvl w:val="0"/>
          <w:numId w:val="8"/>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kern w:val="0"/>
          <w:sz w:val="24"/>
          <w:highlight w:val="none"/>
        </w:rPr>
        <w:t>对内部接线</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外部电缆</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端子</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各电器的安装</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过电保护</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接地等进行检验</w:t>
      </w:r>
      <w:r>
        <w:rPr>
          <w:rFonts w:hint="eastAsia" w:asciiTheme="minorEastAsia" w:hAnsiTheme="minorEastAsia" w:eastAsiaTheme="minorEastAsia" w:cstheme="minorEastAsia"/>
          <w:b w:val="0"/>
          <w:bCs w:val="0"/>
          <w:kern w:val="0"/>
          <w:sz w:val="24"/>
          <w:szCs w:val="24"/>
          <w:highlight w:val="none"/>
        </w:rPr>
        <w:t>。</w:t>
      </w:r>
    </w:p>
    <w:p>
      <w:pPr>
        <w:numPr>
          <w:ilvl w:val="0"/>
          <w:numId w:val="8"/>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kern w:val="0"/>
          <w:sz w:val="24"/>
          <w:highlight w:val="none"/>
        </w:rPr>
        <w:t>对整个系统的功能及运行状况进行测试，以检验是否符合技术文件及用户的要求</w:t>
      </w:r>
      <w:r>
        <w:rPr>
          <w:rFonts w:hint="eastAsia" w:asciiTheme="minorEastAsia" w:hAnsiTheme="minorEastAsia" w:eastAsiaTheme="minorEastAsia" w:cstheme="minorEastAsia"/>
          <w:b w:val="0"/>
          <w:bCs w:val="0"/>
          <w:kern w:val="0"/>
          <w:sz w:val="24"/>
          <w:szCs w:val="24"/>
          <w:highlight w:val="none"/>
        </w:rPr>
        <w:t>。</w:t>
      </w:r>
    </w:p>
    <w:p>
      <w:pPr>
        <w:numPr>
          <w:ilvl w:val="0"/>
          <w:numId w:val="8"/>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sz w:val="24"/>
          <w:highlight w:val="none"/>
        </w:rPr>
        <w:t>现场试验、检测、调试要求100％功能和性能测试</w:t>
      </w:r>
      <w:r>
        <w:rPr>
          <w:rFonts w:hint="eastAsia" w:asciiTheme="minorEastAsia" w:hAnsiTheme="minorEastAsia" w:eastAsiaTheme="minorEastAsia" w:cstheme="minorEastAsia"/>
          <w:b w:val="0"/>
          <w:bCs w:val="0"/>
          <w:kern w:val="0"/>
          <w:sz w:val="24"/>
          <w:szCs w:val="24"/>
          <w:highlight w:val="none"/>
        </w:rPr>
        <w:t>。</w:t>
      </w:r>
    </w:p>
    <w:p>
      <w:pPr>
        <w:numPr>
          <w:ilvl w:val="0"/>
          <w:numId w:val="0"/>
        </w:numPr>
        <w:spacing w:line="360" w:lineRule="auto"/>
        <w:ind w:left="400" w:lef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质保期：</w:t>
      </w:r>
      <w:r>
        <w:rPr>
          <w:rFonts w:hint="eastAsia" w:asciiTheme="minorEastAsia" w:hAnsiTheme="minorEastAsia" w:eastAsiaTheme="minorEastAsia" w:cstheme="minorEastAsia"/>
          <w:b w:val="0"/>
          <w:bCs w:val="0"/>
          <w:sz w:val="24"/>
          <w:szCs w:val="24"/>
        </w:rPr>
        <w:t>本工程质保期要求为</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bidi="ar"/>
        </w:rPr>
        <w:t>质保期从验收合格之日起计算，质保期内出现任何质量问题均由施工单位</w:t>
      </w:r>
      <w:r>
        <w:rPr>
          <w:rFonts w:hint="eastAsia" w:asciiTheme="minorEastAsia" w:hAnsiTheme="minorEastAsia" w:eastAsiaTheme="minorEastAsia" w:cstheme="minorEastAsia"/>
          <w:b w:val="0"/>
          <w:bCs w:val="0"/>
          <w:sz w:val="24"/>
          <w:szCs w:val="24"/>
          <w:lang w:val="en-US" w:eastAsia="zh-CN" w:bidi="ar"/>
        </w:rPr>
        <w:t>免费</w:t>
      </w:r>
      <w:r>
        <w:rPr>
          <w:rFonts w:hint="eastAsia" w:asciiTheme="minorEastAsia" w:hAnsiTheme="minorEastAsia" w:eastAsiaTheme="minorEastAsia" w:cstheme="minorEastAsia"/>
          <w:b w:val="0"/>
          <w:bCs w:val="0"/>
          <w:sz w:val="24"/>
          <w:szCs w:val="24"/>
          <w:lang w:bidi="ar"/>
        </w:rPr>
        <w:t>负责维修。</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w:t>
      </w:r>
      <w:r>
        <w:rPr>
          <w:rFonts w:hint="eastAsia"/>
          <w:sz w:val="24"/>
          <w:highlight w:val="none"/>
          <w:lang w:val="en-US" w:eastAsia="zh-CN"/>
        </w:rPr>
        <w:t>包设计、包安装调试、</w:t>
      </w:r>
      <w:r>
        <w:rPr>
          <w:rFonts w:hint="eastAsia"/>
          <w:sz w:val="24"/>
          <w:highlight w:val="none"/>
        </w:rPr>
        <w:t>包工期、包质量、包安全、包安全文明施工、包验收、包结算、包资料整理、包综合治理</w:t>
      </w:r>
      <w:r>
        <w:rPr>
          <w:rFonts w:hint="eastAsia"/>
          <w:b w:val="0"/>
          <w:bCs w:val="0"/>
          <w:sz w:val="24"/>
          <w:highlight w:val="none"/>
        </w:rPr>
        <w:t>、</w:t>
      </w:r>
      <w:r>
        <w:rPr>
          <w:rFonts w:hint="eastAsia"/>
          <w:b w:val="0"/>
          <w:bCs w:val="0"/>
          <w:sz w:val="24"/>
          <w:highlight w:val="none"/>
          <w:lang w:val="en-US" w:eastAsia="zh-CN"/>
        </w:rPr>
        <w:t>包现场卫生清洁、</w:t>
      </w:r>
      <w:r>
        <w:rPr>
          <w:rFonts w:hint="eastAsia"/>
          <w:sz w:val="24"/>
          <w:highlight w:val="none"/>
        </w:rPr>
        <w:t>包风险、包利润和管理费等完成本项目的全部费用</w:t>
      </w:r>
      <w:r>
        <w:rPr>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2</w:t>
      </w:r>
      <w:r>
        <w:rPr>
          <w:rFonts w:hint="eastAsia" w:ascii="宋体" w:hAnsi="宋体" w:cs="Arial"/>
          <w:color w:val="000000"/>
          <w:sz w:val="24"/>
          <w:lang w:eastAsia="zh-CN"/>
        </w:rPr>
        <w:t>）</w:t>
      </w: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3</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4</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项目竣工验收合格并按甲方要求完成合同结算手续后，甲方收到乙方请款资料后15个工作日内支付工程款至合同结算总造价的9</w:t>
      </w:r>
      <w:r>
        <w:rPr>
          <w:rFonts w:hint="eastAsia" w:ascii="宋体" w:hAnsi="宋体" w:cs="Arial"/>
          <w:color w:val="000000"/>
          <w:sz w:val="24"/>
          <w:lang w:val="en-US" w:eastAsia="zh-CN"/>
        </w:rPr>
        <w:t>7</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5</w:t>
      </w:r>
      <w:r>
        <w:rPr>
          <w:rFonts w:hint="eastAsia" w:ascii="宋体" w:hAnsi="宋体" w:cs="Arial"/>
          <w:color w:val="000000"/>
          <w:sz w:val="24"/>
          <w:lang w:eastAsia="zh-CN"/>
        </w:rPr>
        <w:t>）</w:t>
      </w: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4"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Theme="minorEastAsia" w:hAnsiTheme="minorEastAsia"/>
          <w:sz w:val="24"/>
          <w:szCs w:val="28"/>
        </w:rPr>
        <w:t>信用中国”网站（www.creditchina.gov.cn）的信用记录查询结果截图并打印页面加盖公章</w:t>
      </w:r>
      <w:r>
        <w:rPr>
          <w:rFonts w:hint="eastAsia" w:asciiTheme="minorEastAsia" w:hAnsiTheme="minorEastAsia"/>
          <w:sz w:val="24"/>
          <w:szCs w:val="28"/>
          <w:lang w:eastAsia="zh-CN"/>
        </w:rPr>
        <w:t>；</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Theme="minorEastAsia" w:hAnsiTheme="minorEastAsia"/>
          <w:sz w:val="24"/>
          <w:szCs w:val="28"/>
        </w:rPr>
        <w:t>在投标活动中3年内没有重大违法活动和涉嫌违规行为声明。（格式自</w:t>
      </w:r>
      <w:r>
        <w:rPr>
          <w:rFonts w:hint="eastAsia" w:asciiTheme="minorEastAsia" w:hAnsiTheme="minorEastAsia"/>
          <w:sz w:val="24"/>
          <w:szCs w:val="28"/>
          <w:lang w:val="en-US" w:eastAsia="zh-CN"/>
        </w:rPr>
        <w:t>拟）</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21</w:t>
      </w:r>
      <w:r>
        <w:rPr>
          <w:rFonts w:hint="eastAsia" w:ascii="宋体" w:hAnsi="宋体" w:cs="Arial"/>
          <w:color w:val="000000"/>
          <w:sz w:val="24"/>
          <w:highlight w:val="none"/>
        </w:rPr>
        <w:t>年1月1日至今) 完成过质量合格的类似项目业绩（需提供合同等相关证明材料复印件）；</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rPr>
        <w:t>专职安全员具有有效的安全生产考核合格证（C类）或建筑施工企业专职安全生产管理人员有安全生产考核合格证书（C3），提供复印件</w:t>
      </w:r>
      <w:r>
        <w:rPr>
          <w:rFonts w:hint="eastAsia" w:ascii="宋体" w:hAnsi="宋体" w:cs="Arial"/>
          <w:color w:val="000000"/>
          <w:sz w:val="24"/>
          <w:lang w:eastAsia="zh-CN"/>
        </w:rPr>
        <w:t>；</w:t>
      </w:r>
    </w:p>
    <w:p>
      <w:pPr>
        <w:numPr>
          <w:ilvl w:val="0"/>
          <w:numId w:val="12"/>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4"/>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bookmarkStart w:id="5" w:name="_Hlk33472829"/>
      <w:r>
        <w:rPr>
          <w:rFonts w:hint="eastAsia" w:ascii="宋体" w:hAnsi="宋体" w:cs="Arial"/>
          <w:color w:val="000000"/>
          <w:sz w:val="24"/>
          <w:highlight w:val="none"/>
          <w:lang w:val="en-US" w:eastAsia="zh-CN"/>
        </w:rPr>
        <w:t>总体</w:t>
      </w:r>
      <w:r>
        <w:rPr>
          <w:rFonts w:hint="eastAsia" w:ascii="宋体" w:hAnsi="宋体" w:cs="Arial"/>
          <w:color w:val="000000"/>
          <w:sz w:val="24"/>
          <w:highlight w:val="none"/>
        </w:rPr>
        <w:t>实施方案</w:t>
      </w:r>
      <w:r>
        <w:rPr>
          <w:rFonts w:hint="eastAsia" w:asciiTheme="minorEastAsia" w:hAnsiTheme="minorEastAsia" w:eastAsiaTheme="minorEastAsia" w:cstheme="minorEastAsia"/>
          <w:color w:val="000000"/>
          <w:sz w:val="24"/>
          <w:szCs w:val="24"/>
          <w:highlight w:val="none"/>
        </w:rPr>
        <w:t>；</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3"/>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3"/>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5"/>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bookmarkStart w:id="6" w:name="_Hlk33472852"/>
      <w:r>
        <w:rPr>
          <w:rFonts w:hint="eastAsia" w:ascii="宋体" w:hAnsi="宋体" w:cs="Arial"/>
          <w:color w:val="000000"/>
          <w:sz w:val="24"/>
          <w:highlight w:val="none"/>
        </w:rPr>
        <w:t>报价一览表（格式见附件1）</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6"/>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7" w:name="_Hlk33472865"/>
      <w:r>
        <w:rPr>
          <w:rFonts w:hint="eastAsia"/>
          <w:sz w:val="24"/>
          <w:highlight w:val="none"/>
        </w:rPr>
        <w:t>本项目采用经评审的最低投标价加信用评分评标，对投标人进行价格和信用评审，其中价格评审部分占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7"/>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8" w:name="_Hlk33472887"/>
      <w:r>
        <w:rPr>
          <w:rFonts w:hint="eastAsia"/>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Pr>
          <w:rFonts w:hint="eastAsia"/>
          <w:sz w:val="24"/>
          <w:highlight w:val="none"/>
        </w:rPr>
        <w:t>。勘踏现场时间：</w:t>
      </w:r>
      <w:r>
        <w:rPr>
          <w:sz w:val="24"/>
          <w:highlight w:val="none"/>
        </w:rPr>
        <w:t>202</w:t>
      </w:r>
      <w:r>
        <w:rPr>
          <w:rFonts w:hint="eastAsia"/>
          <w:sz w:val="24"/>
          <w:highlight w:val="none"/>
          <w:lang w:val="en-US" w:eastAsia="zh-CN"/>
        </w:rPr>
        <w:t>4</w:t>
      </w:r>
      <w:r>
        <w:rPr>
          <w:rFonts w:hint="eastAsia"/>
          <w:color w:val="FF0000"/>
          <w:sz w:val="24"/>
          <w:highlight w:val="none"/>
        </w:rPr>
        <w:t>年</w:t>
      </w:r>
      <w:r>
        <w:rPr>
          <w:rFonts w:hint="eastAsia"/>
          <w:color w:val="FF0000"/>
          <w:sz w:val="24"/>
          <w:highlight w:val="none"/>
          <w:lang w:val="en-US" w:eastAsia="zh-CN"/>
        </w:rPr>
        <w:t>5</w:t>
      </w:r>
      <w:r>
        <w:rPr>
          <w:rFonts w:hint="eastAsia"/>
          <w:color w:val="FF0000"/>
          <w:sz w:val="24"/>
          <w:highlight w:val="none"/>
        </w:rPr>
        <w:t>月</w:t>
      </w:r>
      <w:r>
        <w:rPr>
          <w:rFonts w:hint="eastAsia"/>
          <w:color w:val="FF0000"/>
          <w:sz w:val="24"/>
          <w:highlight w:val="none"/>
          <w:lang w:val="en-US" w:eastAsia="zh-CN"/>
        </w:rPr>
        <w:t>23</w:t>
      </w:r>
      <w:r>
        <w:rPr>
          <w:rFonts w:hint="eastAsia"/>
          <w:color w:val="FF0000"/>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喻工</w:t>
      </w:r>
      <w:r>
        <w:rPr>
          <w:rFonts w:hint="eastAsia"/>
          <w:sz w:val="24"/>
          <w:highlight w:val="none"/>
        </w:rPr>
        <w:t>，联系电话：</w:t>
      </w:r>
      <w:r>
        <w:rPr>
          <w:rFonts w:hint="eastAsia"/>
          <w:sz w:val="24"/>
          <w:highlight w:val="none"/>
          <w:lang w:val="en-US" w:eastAsia="zh-CN"/>
        </w:rPr>
        <w:t>020-39302022</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9" w:name="_Hlk33473031"/>
      <w:r>
        <w:rPr>
          <w:rFonts w:hint="eastAsia" w:ascii="宋体" w:hAnsi="宋体"/>
          <w:b/>
          <w:sz w:val="24"/>
          <w:highlight w:val="none"/>
        </w:rPr>
        <w:t>递交投标文件</w:t>
      </w:r>
    </w:p>
    <w:p>
      <w:pPr>
        <w:numPr>
          <w:ilvl w:val="0"/>
          <w:numId w:val="15"/>
        </w:numPr>
        <w:spacing w:before="120" w:beforeLines="50" w:after="120" w:afterLines="50" w:line="360" w:lineRule="auto"/>
        <w:ind w:left="0" w:firstLine="480" w:firstLineChars="200"/>
        <w:rPr>
          <w:sz w:val="24"/>
          <w:highlight w:val="none"/>
        </w:rPr>
      </w:pPr>
      <w:bookmarkStart w:id="10" w:name="_Hlk33472917"/>
      <w:bookmarkStart w:id="11"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4</w:t>
      </w:r>
      <w:r>
        <w:rPr>
          <w:rFonts w:hint="eastAsia"/>
          <w:color w:val="FF0000"/>
          <w:sz w:val="24"/>
          <w:highlight w:val="none"/>
        </w:rPr>
        <w:t>年</w:t>
      </w:r>
      <w:r>
        <w:rPr>
          <w:rFonts w:hint="eastAsia"/>
          <w:color w:val="FF0000"/>
          <w:sz w:val="24"/>
          <w:highlight w:val="none"/>
          <w:lang w:val="en-US" w:eastAsia="zh-CN"/>
        </w:rPr>
        <w:t>5</w:t>
      </w:r>
      <w:r>
        <w:rPr>
          <w:rFonts w:hint="eastAsia"/>
          <w:color w:val="FF0000"/>
          <w:sz w:val="24"/>
          <w:highlight w:val="none"/>
        </w:rPr>
        <w:t>月</w:t>
      </w:r>
      <w:r>
        <w:rPr>
          <w:rFonts w:hint="eastAsia"/>
          <w:color w:val="FF0000"/>
          <w:sz w:val="24"/>
          <w:highlight w:val="none"/>
          <w:lang w:val="en-US" w:eastAsia="zh-CN"/>
        </w:rPr>
        <w:t>27</w:t>
      </w:r>
      <w:r>
        <w:rPr>
          <w:rFonts w:hint="eastAsia"/>
          <w:color w:val="FF0000"/>
          <w:sz w:val="24"/>
          <w:highlight w:val="none"/>
        </w:rPr>
        <w:t>日</w:t>
      </w:r>
      <w:r>
        <w:rPr>
          <w:rFonts w:hint="eastAsia"/>
          <w:sz w:val="24"/>
          <w:highlight w:val="none"/>
        </w:rPr>
        <w:t>北京时间1</w:t>
      </w:r>
      <w:r>
        <w:rPr>
          <w:rFonts w:hint="eastAsia"/>
          <w:sz w:val="24"/>
          <w:highlight w:val="none"/>
          <w:lang w:val="en-US" w:eastAsia="zh-CN"/>
        </w:rPr>
        <w:t>7</w:t>
      </w:r>
      <w:r>
        <w:rPr>
          <w:rFonts w:hint="eastAsia"/>
          <w:sz w:val="24"/>
          <w:highlight w:val="none"/>
        </w:rPr>
        <w:t>时</w:t>
      </w:r>
      <w:r>
        <w:rPr>
          <w:rFonts w:hint="eastAsia"/>
          <w:sz w:val="24"/>
          <w:highlight w:val="none"/>
          <w:lang w:val="en-US" w:eastAsia="zh-CN"/>
        </w:rPr>
        <w:t>00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枢纽楼柴油储存间安全风险点整改工程</w:t>
      </w:r>
      <w:r>
        <w:rPr>
          <w:rFonts w:hint="eastAsia"/>
          <w:sz w:val="24"/>
          <w:highlight w:val="none"/>
        </w:rPr>
        <w:t>”字样。投标人递交投标文件后，请联系采购人确认。</w:t>
      </w:r>
    </w:p>
    <w:p>
      <w:pPr>
        <w:numPr>
          <w:ilvl w:val="0"/>
          <w:numId w:val="15"/>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10"/>
      <w:r>
        <w:rPr>
          <w:sz w:val="24"/>
          <w:highlight w:val="none"/>
        </w:rPr>
        <w:t>。</w:t>
      </w:r>
    </w:p>
    <w:bookmarkEnd w:id="11"/>
    <w:p>
      <w:pPr>
        <w:numPr>
          <w:ilvl w:val="0"/>
          <w:numId w:val="1"/>
        </w:numPr>
        <w:spacing w:before="120" w:beforeLines="50" w:after="120" w:afterLines="50" w:line="360" w:lineRule="auto"/>
        <w:ind w:left="0" w:firstLine="482" w:firstLineChars="200"/>
        <w:rPr>
          <w:rFonts w:ascii="宋体" w:hAnsi="宋体"/>
          <w:b/>
          <w:sz w:val="24"/>
          <w:highlight w:val="none"/>
        </w:rPr>
      </w:pPr>
      <w:bookmarkStart w:id="12" w:name="_Hlk33473147"/>
      <w:bookmarkStart w:id="13"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广州国企阳光采购服务平台（http://ygcg.gzggzy.cn））</w:t>
      </w:r>
      <w:r>
        <w:rPr>
          <w:rFonts w:hint="eastAsia"/>
          <w:sz w:val="24"/>
          <w:highlight w:val="none"/>
        </w:rPr>
        <w:t>、</w:t>
      </w:r>
      <w:r>
        <w:rPr>
          <w:rFonts w:hint="eastAsia"/>
          <w:sz w:val="24"/>
          <w:highlight w:val="none"/>
          <w:lang w:eastAsia="zh-CN"/>
        </w:rPr>
        <w:t>广州城投综合能源投资经营管理有限公司</w:t>
      </w:r>
      <w:r>
        <w:rPr>
          <w:rFonts w:hint="eastAsia"/>
          <w:sz w:val="24"/>
          <w:highlight w:val="none"/>
        </w:rPr>
        <w:t>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12"/>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广州城投综合能源投资经营管理有限公司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7</w:t>
      </w:r>
    </w:p>
    <w:p>
      <w:pPr>
        <w:spacing w:before="120" w:beforeLines="50" w:after="120" w:afterLines="50" w:line="360" w:lineRule="auto"/>
        <w:ind w:firstLine="480" w:firstLineChars="200"/>
        <w:rPr>
          <w:rFonts w:ascii="宋体" w:hAnsi="宋体"/>
          <w:sz w:val="24"/>
          <w:highlight w:val="none"/>
        </w:rPr>
      </w:pPr>
      <w:bookmarkStart w:id="14"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sz w:val="24"/>
          <w:highlight w:val="none"/>
        </w:rPr>
        <w:t>附件6：投标文件有效性审查表</w:t>
      </w:r>
    </w:p>
    <w:p>
      <w:pPr>
        <w:pStyle w:val="8"/>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广州城投综合能源投资经营管理有限公司</w:t>
      </w:r>
    </w:p>
    <w:p>
      <w:pPr>
        <w:pStyle w:val="8"/>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 xml:space="preserve">21 </w:t>
      </w:r>
      <w:r>
        <w:rPr>
          <w:rFonts w:hint="eastAsia"/>
          <w:highlight w:val="none"/>
        </w:rPr>
        <w:t>日</w:t>
      </w:r>
      <w:bookmarkEnd w:id="9"/>
    </w:p>
    <w:bookmarkEnd w:id="13"/>
    <w:bookmarkEnd w:id="14"/>
    <w:p>
      <w:pPr>
        <w:spacing w:before="120" w:beforeLines="50" w:after="120" w:afterLines="50" w:line="360" w:lineRule="auto"/>
        <w:rPr>
          <w:rFonts w:hint="eastAsia" w:ascii="宋体" w:hAnsi="宋体" w:cs="Arial"/>
          <w:color w:val="000000"/>
          <w:sz w:val="30"/>
          <w:szCs w:val="30"/>
          <w:highlight w:val="none"/>
        </w:rPr>
      </w:pPr>
    </w:p>
    <w:p>
      <w:pPr>
        <w:spacing w:before="120" w:beforeLines="50" w:after="120" w:afterLines="50" w:line="360" w:lineRule="auto"/>
        <w:rPr>
          <w:rFonts w:hAnsi="宋体"/>
          <w:b/>
          <w:sz w:val="28"/>
          <w:szCs w:val="28"/>
          <w:highlight w:val="none"/>
        </w:rPr>
      </w:pPr>
      <w:r>
        <w:rPr>
          <w:rFonts w:hint="eastAsia" w:ascii="宋体" w:hAnsi="宋体" w:cs="Arial"/>
          <w:color w:val="000000"/>
          <w:sz w:val="30"/>
          <w:szCs w:val="30"/>
          <w:highlight w:val="none"/>
        </w:rPr>
        <w:br w:type="page"/>
      </w:r>
      <w:r>
        <w:rPr>
          <w:rFonts w:hint="eastAsia" w:ascii="宋体" w:hAnsi="宋体" w:cs="Arial"/>
          <w:color w:val="000000"/>
          <w:sz w:val="30"/>
          <w:szCs w:val="30"/>
          <w:highlight w:val="none"/>
        </w:rPr>
        <w:t>附件1</w:t>
      </w:r>
    </w:p>
    <w:p>
      <w:pPr>
        <w:pStyle w:val="11"/>
        <w:ind w:firstLine="0" w:firstLineChars="0"/>
        <w:jc w:val="center"/>
        <w:rPr>
          <w:rFonts w:hAnsi="宋体"/>
          <w:b/>
          <w:sz w:val="28"/>
          <w:szCs w:val="28"/>
          <w:highlight w:val="none"/>
        </w:rPr>
      </w:pPr>
      <w:r>
        <w:rPr>
          <w:rFonts w:hAnsi="宋体"/>
          <w:b/>
          <w:sz w:val="28"/>
          <w:szCs w:val="28"/>
          <w:highlight w:val="none"/>
        </w:rPr>
        <w:t>报价一览表</w:t>
      </w:r>
    </w:p>
    <w:p>
      <w:pPr>
        <w:pStyle w:val="11"/>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枢纽楼柴油储存间安全风险点整改工程</w:t>
      </w:r>
    </w:p>
    <w:tbl>
      <w:tblPr>
        <w:tblStyle w:val="24"/>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5"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5"/>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w:t>
      </w:r>
      <w:r>
        <w:rPr>
          <w:rFonts w:hint="eastAsia" w:hAnsi="宋体"/>
          <w:sz w:val="22"/>
          <w:szCs w:val="28"/>
          <w:highlight w:val="none"/>
          <w:lang w:val="en-US" w:eastAsia="zh-CN"/>
        </w:rPr>
        <w:t>设计、</w:t>
      </w:r>
      <w:r>
        <w:rPr>
          <w:rFonts w:hint="eastAsia" w:hAnsi="宋体"/>
          <w:sz w:val="22"/>
          <w:szCs w:val="28"/>
          <w:highlight w:val="none"/>
        </w:rPr>
        <w:t>设备、工具、机具、安装</w:t>
      </w:r>
      <w:r>
        <w:rPr>
          <w:rFonts w:hint="eastAsia" w:hAnsi="宋体"/>
          <w:sz w:val="22"/>
          <w:szCs w:val="28"/>
          <w:highlight w:val="none"/>
          <w:lang w:val="en-US" w:eastAsia="zh-CN"/>
        </w:rPr>
        <w:t>调试</w:t>
      </w:r>
      <w:r>
        <w:rPr>
          <w:rFonts w:hint="eastAsia" w:hAnsi="宋体"/>
          <w:sz w:val="22"/>
          <w:szCs w:val="28"/>
          <w:highlight w:val="none"/>
        </w:rPr>
        <w:t>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6"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枢纽楼柴油储存间安全风险点整改工程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4</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6"/>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7"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4</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7"/>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7"/>
        <w:spacing w:line="360" w:lineRule="auto"/>
        <w:ind w:firstLine="424" w:firstLineChars="177"/>
        <w:rPr>
          <w:rFonts w:hAnsi="宋体"/>
          <w:bCs/>
          <w:sz w:val="24"/>
          <w:szCs w:val="24"/>
          <w:highlight w:val="none"/>
        </w:rPr>
      </w:pPr>
    </w:p>
    <w:p>
      <w:pPr>
        <w:pStyle w:val="27"/>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7"/>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7"/>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6"/>
        <w:spacing w:line="360" w:lineRule="auto"/>
        <w:jc w:val="both"/>
        <w:rPr>
          <w:rFonts w:hAnsi="宋体"/>
          <w:sz w:val="24"/>
          <w:szCs w:val="24"/>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6"/>
        <w:spacing w:line="360" w:lineRule="auto"/>
        <w:jc w:val="both"/>
        <w:rPr>
          <w:rFonts w:hAnsi="宋体" w:eastAsia="宋体" w:cs="宋体"/>
          <w:sz w:val="24"/>
          <w:szCs w:val="24"/>
          <w:highlight w:val="none"/>
        </w:rPr>
      </w:pPr>
    </w:p>
    <w:p>
      <w:pPr>
        <w:pStyle w:val="26"/>
        <w:spacing w:line="360" w:lineRule="auto"/>
        <w:jc w:val="both"/>
        <w:rPr>
          <w:rFonts w:hAnsi="宋体" w:eastAsia="宋体" w:cs="宋体"/>
          <w:sz w:val="24"/>
          <w:szCs w:val="24"/>
          <w:highlight w:val="none"/>
        </w:rPr>
      </w:pPr>
      <w:bookmarkStart w:id="18" w:name="_Hlk33473384"/>
      <w:r>
        <w:rPr>
          <w:rFonts w:hint="eastAsia" w:hAnsi="宋体" w:eastAsia="宋体" w:cs="宋体"/>
          <w:sz w:val="24"/>
          <w:szCs w:val="24"/>
          <w:highlight w:val="none"/>
        </w:rPr>
        <w:t>法定代表人（签字或盖章）：</w:t>
      </w: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4</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8"/>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枢纽楼柴油储存间安全风险点整改工程</w:t>
      </w:r>
    </w:p>
    <w:tbl>
      <w:tblPr>
        <w:tblStyle w:val="24"/>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hint="eastAsia" w:ascii="宋体" w:hAnsi="宋体" w:cs="宋体"/>
                <w:sz w:val="21"/>
                <w:szCs w:val="21"/>
                <w:highlight w:val="none"/>
              </w:rPr>
            </w:pPr>
            <w:r>
              <w:rPr>
                <w:rFonts w:hint="eastAsia" w:ascii="宋体" w:hAnsi="宋体" w:cs="宋体"/>
                <w:sz w:val="21"/>
                <w:szCs w:val="21"/>
                <w:highlight w:val="none"/>
              </w:rPr>
              <w:t>3</w:t>
            </w:r>
          </w:p>
        </w:tc>
        <w:tc>
          <w:tcPr>
            <w:tcW w:w="6862" w:type="dxa"/>
            <w:shd w:val="clear" w:color="auto" w:fill="auto"/>
            <w:vAlign w:val="center"/>
          </w:tcPr>
          <w:p>
            <w:pPr>
              <w:rPr>
                <w:rFonts w:hint="eastAsia" w:ascii="宋体" w:hAnsi="宋体" w:cs="宋体"/>
                <w:sz w:val="21"/>
                <w:szCs w:val="21"/>
                <w:highlight w:val="none"/>
              </w:rPr>
            </w:pPr>
            <w:r>
              <w:rPr>
                <w:rFonts w:hint="eastAsia" w:ascii="宋体" w:hAnsi="宋体"/>
                <w:szCs w:val="21"/>
                <w:highlight w:val="none"/>
              </w:rPr>
              <w:t>具有消防设施工程专业承包贰级或以上资质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4</w:t>
            </w:r>
          </w:p>
        </w:tc>
        <w:tc>
          <w:tcPr>
            <w:tcW w:w="6862" w:type="dxa"/>
            <w:vAlign w:val="center"/>
          </w:tcPr>
          <w:p>
            <w:pPr>
              <w:rPr>
                <w:rFonts w:ascii="宋体" w:hAnsi="宋体" w:cs="宋体"/>
                <w:bCs/>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w:t>
            </w:r>
            <w:r>
              <w:rPr>
                <w:rFonts w:hint="eastAsia" w:ascii="宋体" w:hAnsi="宋体" w:cs="宋体"/>
                <w:szCs w:val="21"/>
                <w:highlight w:val="none"/>
                <w:lang w:val="en-US" w:eastAsia="zh-CN"/>
              </w:rPr>
              <w:t>21</w:t>
            </w:r>
            <w:r>
              <w:rPr>
                <w:rFonts w:hint="eastAsia" w:ascii="宋体" w:hAnsi="宋体" w:cs="宋体"/>
                <w:szCs w:val="21"/>
                <w:highlight w:val="none"/>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枢纽楼柴油储存间安全风险点整改工程</w:t>
      </w:r>
    </w:p>
    <w:tbl>
      <w:tblPr>
        <w:tblStyle w:val="24"/>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cs="宋体"/>
                <w:szCs w:val="21"/>
                <w:highlight w:val="none"/>
              </w:rPr>
            </w:pPr>
            <w:r>
              <w:rPr>
                <w:rFonts w:hint="eastAsia" w:ascii="宋体" w:hAnsi="宋体" w:cs="宋体"/>
                <w:szCs w:val="21"/>
              </w:rPr>
              <w:t>3</w:t>
            </w:r>
          </w:p>
        </w:tc>
        <w:tc>
          <w:tcPr>
            <w:tcW w:w="6410" w:type="dxa"/>
            <w:shd w:val="clear" w:color="auto" w:fill="auto"/>
            <w:vAlign w:val="center"/>
          </w:tcPr>
          <w:p>
            <w:pPr>
              <w:rPr>
                <w:rFonts w:hint="eastAsia" w:ascii="宋体" w:hAnsi="宋体" w:cs="宋体"/>
                <w:szCs w:val="21"/>
                <w:highlight w:val="none"/>
              </w:rPr>
            </w:pPr>
            <w:r>
              <w:rPr>
                <w:rFonts w:hint="eastAsia" w:ascii="宋体" w:hAnsi="宋体" w:cs="宋体"/>
                <w:szCs w:val="21"/>
              </w:rPr>
              <w:t>投标人被列入“信用中国”网站（www.creditchina.gov.cn）记录失信被执行人或重大税收违法案件当事人名单，投标人</w:t>
            </w:r>
            <w:r>
              <w:rPr>
                <w:rFonts w:hint="eastAsia" w:ascii="宋体" w:hAnsi="宋体" w:cs="宋体"/>
                <w:szCs w:val="21"/>
                <w:lang w:val="en-US" w:eastAsia="zh-CN"/>
              </w:rPr>
              <w:t>未</w:t>
            </w:r>
            <w:r>
              <w:rPr>
                <w:rFonts w:hint="eastAsia" w:ascii="宋体" w:hAnsi="宋体" w:cs="宋体"/>
                <w:szCs w:val="21"/>
              </w:rPr>
              <w:t>提供《信用记录承诺函》附“信用中国”网站（www.creditchina.gov.cn）的信用记录查询结果截图并打印页面加盖公章。</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cs="宋体"/>
                <w:szCs w:val="21"/>
                <w:highlight w:val="none"/>
              </w:rPr>
            </w:pPr>
            <w:r>
              <w:rPr>
                <w:rFonts w:hint="eastAsia" w:ascii="宋体" w:hAnsi="宋体" w:cs="宋体"/>
                <w:szCs w:val="21"/>
              </w:rPr>
              <w:t>4</w:t>
            </w:r>
          </w:p>
        </w:tc>
        <w:tc>
          <w:tcPr>
            <w:tcW w:w="6410" w:type="dxa"/>
            <w:shd w:val="clear" w:color="auto" w:fill="auto"/>
            <w:vAlign w:val="center"/>
          </w:tcPr>
          <w:p>
            <w:pPr>
              <w:rPr>
                <w:rFonts w:hint="eastAsia" w:ascii="宋体" w:hAnsi="宋体" w:cs="宋体"/>
                <w:szCs w:val="21"/>
                <w:highlight w:val="none"/>
              </w:rPr>
            </w:pPr>
            <w:r>
              <w:rPr>
                <w:rFonts w:hint="eastAsia" w:ascii="宋体" w:hAnsi="宋体" w:cs="宋体"/>
                <w:szCs w:val="21"/>
              </w:rPr>
              <w:t>投标人</w:t>
            </w:r>
            <w:r>
              <w:rPr>
                <w:rFonts w:hint="eastAsia" w:ascii="宋体" w:hAnsi="宋体" w:cs="宋体"/>
                <w:szCs w:val="21"/>
                <w:lang w:val="en-US" w:eastAsia="zh-CN"/>
              </w:rPr>
              <w:t>无提供：</w:t>
            </w:r>
            <w:r>
              <w:rPr>
                <w:rFonts w:hint="eastAsia" w:ascii="宋体" w:hAnsi="宋体" w:cs="宋体"/>
                <w:szCs w:val="21"/>
              </w:rPr>
              <w:t>没有处于被责令停业或破产状态，且资产未被重组、接管和冻结，声明在投标活动中3年内没有重大违法活动和涉嫌违规行为</w:t>
            </w:r>
            <w:r>
              <w:rPr>
                <w:rFonts w:hint="eastAsia" w:ascii="宋体" w:hAnsi="宋体" w:cs="宋体"/>
                <w:szCs w:val="21"/>
                <w:lang w:val="en-US" w:eastAsia="zh-CN"/>
              </w:rPr>
              <w:t>的文件</w:t>
            </w:r>
            <w:r>
              <w:rPr>
                <w:rFonts w:hint="eastAsia" w:ascii="宋体" w:hAnsi="宋体" w:cs="宋体"/>
                <w:szCs w:val="21"/>
              </w:rPr>
              <w:t>。（格式自拟）</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6</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7</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8</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9</w:t>
            </w:r>
          </w:p>
        </w:tc>
        <w:tc>
          <w:tcPr>
            <w:tcW w:w="6410" w:type="dxa"/>
            <w:shd w:val="clear" w:color="auto" w:fill="auto"/>
            <w:vAlign w:val="center"/>
          </w:tcPr>
          <w:p>
            <w:pPr>
              <w:numPr>
                <w:ilvl w:val="0"/>
                <w:numId w:val="0"/>
              </w:numPr>
              <w:spacing w:before="120" w:beforeLines="50" w:after="120" w:afterLines="50" w:line="360" w:lineRule="auto"/>
              <w:ind w:left="0" w:leftChars="0" w:firstLine="0" w:firstLineChars="0"/>
              <w:rPr>
                <w:szCs w:val="21"/>
                <w:highlight w:val="none"/>
              </w:rPr>
            </w:pPr>
            <w:r>
              <w:rPr>
                <w:rFonts w:hint="eastAsia" w:ascii="宋体" w:hAnsi="宋体" w:cs="宋体"/>
                <w:b w:val="0"/>
                <w:bCs w:val="0"/>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10</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11</w:t>
            </w:r>
          </w:p>
        </w:tc>
        <w:tc>
          <w:tcPr>
            <w:tcW w:w="6410" w:type="dxa"/>
            <w:shd w:val="clear" w:color="auto" w:fill="auto"/>
            <w:vAlign w:val="center"/>
          </w:tcPr>
          <w:p>
            <w:pPr>
              <w:rPr>
                <w:szCs w:val="21"/>
                <w:highlight w:val="none"/>
              </w:rPr>
            </w:pPr>
            <w:r>
              <w:rPr>
                <w:rFonts w:hint="eastAsia" w:ascii="宋体" w:hAnsi="宋体"/>
                <w:lang w:val="en-US" w:eastAsia="zh-CN"/>
              </w:rPr>
              <w:t>无提供</w:t>
            </w:r>
            <w:r>
              <w:rPr>
                <w:rFonts w:hint="eastAsia" w:ascii="宋体" w:hAnsi="宋体"/>
              </w:rPr>
              <w:t>专职安全员有效的安全生产考核合格证（C类）或建筑施工企业专职安全生产管理人员</w:t>
            </w:r>
            <w:r>
              <w:rPr>
                <w:rFonts w:hint="eastAsia" w:ascii="宋体" w:hAnsi="宋体"/>
                <w:lang w:val="en-US" w:eastAsia="zh-CN"/>
              </w:rPr>
              <w:t>有效的</w:t>
            </w:r>
            <w:r>
              <w:rPr>
                <w:rFonts w:hint="eastAsia" w:ascii="宋体" w:hAnsi="宋体"/>
              </w:rPr>
              <w:t>安全生产考核合格证书（C3）</w:t>
            </w:r>
            <w:r>
              <w:rPr>
                <w:rFonts w:hint="eastAsia" w:ascii="宋体" w:hAnsi="宋体"/>
                <w:lang w:val="en-US" w:eastAsia="zh-CN"/>
              </w:rPr>
              <w:t>复印件</w:t>
            </w:r>
            <w:r>
              <w:rPr>
                <w:rFonts w:hint="eastAsia" w:ascii="宋体" w:hAnsi="宋体"/>
                <w:lang w:eastAsia="zh-CN"/>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lang w:val="en-US" w:eastAsia="zh-CN"/>
        </w:rPr>
        <w:t>2024</w:t>
      </w:r>
      <w:r>
        <w:rPr>
          <w:rFonts w:hint="eastAsia" w:ascii="宋体" w:hAnsi="宋体"/>
          <w:sz w:val="24"/>
          <w:highlight w:val="none"/>
        </w:rPr>
        <w:t>年月 日</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82F0A"/>
    <w:multiLevelType w:val="singleLevel"/>
    <w:tmpl w:val="99982F0A"/>
    <w:lvl w:ilvl="0" w:tentative="0">
      <w:start w:val="1"/>
      <w:numFmt w:val="chineseCounting"/>
      <w:suff w:val="nothing"/>
      <w:lvlText w:val="（%1）"/>
      <w:lvlJc w:val="left"/>
      <w:pPr>
        <w:ind w:left="0" w:firstLine="420"/>
      </w:pPr>
      <w:rPr>
        <w:rFonts w:hint="eastAsia"/>
      </w:rPr>
    </w:lvl>
  </w:abstractNum>
  <w:abstractNum w:abstractNumId="1">
    <w:nsid w:val="F9A24F78"/>
    <w:multiLevelType w:val="singleLevel"/>
    <w:tmpl w:val="F9A24F78"/>
    <w:lvl w:ilvl="0" w:tentative="0">
      <w:start w:val="1"/>
      <w:numFmt w:val="chineseCounting"/>
      <w:suff w:val="nothing"/>
      <w:lvlText w:val="（%1）"/>
      <w:lvlJc w:val="left"/>
      <w:rPr>
        <w:rFonts w:hint="eastAsia"/>
      </w:rPr>
    </w:lvl>
  </w:abstractNum>
  <w:abstractNum w:abstractNumId="2">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210BC6F7"/>
    <w:multiLevelType w:val="singleLevel"/>
    <w:tmpl w:val="210BC6F7"/>
    <w:lvl w:ilvl="0" w:tentative="0">
      <w:start w:val="1"/>
      <w:numFmt w:val="decimal"/>
      <w:suff w:val="nothing"/>
      <w:lvlText w:val="%1、"/>
      <w:lvlJc w:val="left"/>
    </w:lvl>
  </w:abstractNum>
  <w:abstractNum w:abstractNumId="7">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72DE5B4"/>
    <w:multiLevelType w:val="singleLevel"/>
    <w:tmpl w:val="572DE5B4"/>
    <w:lvl w:ilvl="0" w:tentative="0">
      <w:start w:val="1"/>
      <w:numFmt w:val="decimal"/>
      <w:suff w:val="nothing"/>
      <w:lvlText w:val="%1."/>
      <w:lvlJc w:val="left"/>
    </w:lvl>
  </w:abstractNum>
  <w:abstractNum w:abstractNumId="14">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7CE70E6D"/>
    <w:multiLevelType w:val="singleLevel"/>
    <w:tmpl w:val="7CE70E6D"/>
    <w:lvl w:ilvl="0" w:tentative="0">
      <w:start w:val="1"/>
      <w:numFmt w:val="decimal"/>
      <w:suff w:val="nothing"/>
      <w:lvlText w:val="%1."/>
      <w:lvlJc w:val="left"/>
    </w:lvl>
  </w:abstractNum>
  <w:num w:numId="1">
    <w:abstractNumId w:val="2"/>
  </w:num>
  <w:num w:numId="2">
    <w:abstractNumId w:val="7"/>
  </w:num>
  <w:num w:numId="3">
    <w:abstractNumId w:val="14"/>
  </w:num>
  <w:num w:numId="4">
    <w:abstractNumId w:val="1"/>
  </w:num>
  <w:num w:numId="5">
    <w:abstractNumId w:val="0"/>
  </w:num>
  <w:num w:numId="6">
    <w:abstractNumId w:val="4"/>
  </w:num>
  <w:num w:numId="7">
    <w:abstractNumId w:val="6"/>
  </w:num>
  <w:num w:numId="8">
    <w:abstractNumId w:val="15"/>
  </w:num>
  <w:num w:numId="9">
    <w:abstractNumId w:val="11"/>
  </w:num>
  <w:num w:numId="10">
    <w:abstractNumId w:val="5"/>
  </w:num>
  <w:num w:numId="11">
    <w:abstractNumId w:val="12"/>
  </w:num>
  <w:num w:numId="12">
    <w:abstractNumId w:val="3"/>
  </w:num>
  <w:num w:numId="13">
    <w:abstractNumId w:val="10"/>
  </w:num>
  <w:num w:numId="14">
    <w:abstractNumId w:val="9"/>
  </w:num>
  <w:num w:numId="15">
    <w:abstractNumId w:val="8"/>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49C609A"/>
    <w:rsid w:val="05170E2A"/>
    <w:rsid w:val="05F33E19"/>
    <w:rsid w:val="08A607DC"/>
    <w:rsid w:val="0BB772E4"/>
    <w:rsid w:val="0CA3463F"/>
    <w:rsid w:val="0FF11DF9"/>
    <w:rsid w:val="0FFF5BD0"/>
    <w:rsid w:val="109255ED"/>
    <w:rsid w:val="12342DAB"/>
    <w:rsid w:val="12AD7924"/>
    <w:rsid w:val="13033C28"/>
    <w:rsid w:val="13B94E90"/>
    <w:rsid w:val="13BF1349"/>
    <w:rsid w:val="14DD2439"/>
    <w:rsid w:val="16FA62BC"/>
    <w:rsid w:val="17492C7D"/>
    <w:rsid w:val="19367B17"/>
    <w:rsid w:val="196A3D19"/>
    <w:rsid w:val="1B85573B"/>
    <w:rsid w:val="1F8751EC"/>
    <w:rsid w:val="20674731"/>
    <w:rsid w:val="214926E0"/>
    <w:rsid w:val="21841F76"/>
    <w:rsid w:val="222C3F22"/>
    <w:rsid w:val="242A1E4E"/>
    <w:rsid w:val="24874F28"/>
    <w:rsid w:val="24DA09EB"/>
    <w:rsid w:val="24ED39A1"/>
    <w:rsid w:val="26176E88"/>
    <w:rsid w:val="278042F0"/>
    <w:rsid w:val="29C013EA"/>
    <w:rsid w:val="2D670935"/>
    <w:rsid w:val="2FDD7C63"/>
    <w:rsid w:val="35097DCD"/>
    <w:rsid w:val="373B7023"/>
    <w:rsid w:val="37DA1FFD"/>
    <w:rsid w:val="3A351B0C"/>
    <w:rsid w:val="3C823756"/>
    <w:rsid w:val="3C9B5EFD"/>
    <w:rsid w:val="3E13186C"/>
    <w:rsid w:val="42310B31"/>
    <w:rsid w:val="4BC8116F"/>
    <w:rsid w:val="4F0E00F7"/>
    <w:rsid w:val="50055DC9"/>
    <w:rsid w:val="523B3176"/>
    <w:rsid w:val="524B628E"/>
    <w:rsid w:val="55857A4F"/>
    <w:rsid w:val="5598176B"/>
    <w:rsid w:val="5890674E"/>
    <w:rsid w:val="5FA63A90"/>
    <w:rsid w:val="641876E8"/>
    <w:rsid w:val="656F3231"/>
    <w:rsid w:val="65C636CA"/>
    <w:rsid w:val="682D569C"/>
    <w:rsid w:val="691A5ECD"/>
    <w:rsid w:val="691B6ACA"/>
    <w:rsid w:val="691F79C3"/>
    <w:rsid w:val="697F115B"/>
    <w:rsid w:val="6AB5708C"/>
    <w:rsid w:val="782F28F7"/>
    <w:rsid w:val="796C3466"/>
    <w:rsid w:val="7B2D3227"/>
    <w:rsid w:val="7D5D521C"/>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annotation subject"/>
    <w:basedOn w:val="7"/>
    <w:next w:val="7"/>
    <w:link w:val="35"/>
    <w:semiHidden/>
    <w:unhideWhenUsed/>
    <w:qFormat/>
    <w:uiPriority w:val="99"/>
    <w:rPr>
      <w:b/>
      <w:bCs/>
    </w:rPr>
  </w:style>
  <w:style w:type="paragraph" w:styleId="7">
    <w:name w:val="annotation text"/>
    <w:basedOn w:val="1"/>
    <w:link w:val="34"/>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w:basedOn w:val="1"/>
    <w:link w:val="39"/>
    <w:semiHidden/>
    <w:unhideWhenUsed/>
    <w:qFormat/>
    <w:uiPriority w:val="99"/>
    <w:pPr>
      <w:spacing w:after="120"/>
    </w:pPr>
  </w:style>
  <w:style w:type="paragraph" w:styleId="10">
    <w:name w:val="Body Text Indent"/>
    <w:basedOn w:val="1"/>
    <w:link w:val="37"/>
    <w:qFormat/>
    <w:uiPriority w:val="0"/>
    <w:pPr>
      <w:spacing w:after="120"/>
      <w:ind w:left="420" w:leftChars="200"/>
    </w:pPr>
    <w:rPr>
      <w:rFonts w:ascii="Calibri" w:hAnsi="Calibri"/>
      <w:szCs w:val="22"/>
    </w:rPr>
  </w:style>
  <w:style w:type="paragraph" w:styleId="11">
    <w:name w:val="Plain Text"/>
    <w:basedOn w:val="1"/>
    <w:link w:val="3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2">
    <w:name w:val="endnote text"/>
    <w:basedOn w:val="1"/>
    <w:link w:val="48"/>
    <w:semiHidden/>
    <w:unhideWhenUsed/>
    <w:qFormat/>
    <w:uiPriority w:val="99"/>
    <w:pPr>
      <w:snapToGrid w:val="0"/>
      <w:jc w:val="left"/>
    </w:pPr>
  </w:style>
  <w:style w:type="paragraph" w:styleId="13">
    <w:name w:val="Balloon Text"/>
    <w:basedOn w:val="1"/>
    <w:link w:val="43"/>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qFormat/>
    <w:uiPriority w:val="0"/>
    <w:rPr>
      <w:b/>
      <w:bCs/>
    </w:rPr>
  </w:style>
  <w:style w:type="character" w:styleId="20">
    <w:name w:val="endnote reference"/>
    <w:basedOn w:val="18"/>
    <w:semiHidden/>
    <w:unhideWhenUsed/>
    <w:qFormat/>
    <w:uiPriority w:val="99"/>
    <w:rPr>
      <w:vertAlign w:val="superscript"/>
    </w:rPr>
  </w:style>
  <w:style w:type="character" w:styleId="21">
    <w:name w:val="Emphasis"/>
    <w:qFormat/>
    <w:uiPriority w:val="20"/>
    <w:rPr>
      <w:i/>
      <w:iCs/>
    </w:rPr>
  </w:style>
  <w:style w:type="character" w:styleId="22">
    <w:name w:val="Hyperlink"/>
    <w:basedOn w:val="18"/>
    <w:unhideWhenUsed/>
    <w:qFormat/>
    <w:uiPriority w:val="0"/>
    <w:rPr>
      <w:color w:val="0000FF"/>
      <w:u w:val="single"/>
    </w:rPr>
  </w:style>
  <w:style w:type="character" w:styleId="23">
    <w:name w:val="annotation reference"/>
    <w:basedOn w:val="18"/>
    <w:semiHidden/>
    <w:unhideWhenUsed/>
    <w:qFormat/>
    <w:uiPriority w:val="99"/>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纯文本1"/>
    <w:basedOn w:val="1"/>
    <w:qFormat/>
    <w:uiPriority w:val="0"/>
    <w:pPr>
      <w:widowControl/>
      <w:jc w:val="left"/>
    </w:pPr>
    <w:rPr>
      <w:rFonts w:ascii="宋体" w:hAnsi="Courier New" w:eastAsia="微软雅黑"/>
      <w:kern w:val="0"/>
      <w:sz w:val="20"/>
      <w:szCs w:val="21"/>
    </w:rPr>
  </w:style>
  <w:style w:type="paragraph" w:customStyle="1" w:styleId="27">
    <w:name w:val="1_0"/>
    <w:basedOn w:val="1"/>
    <w:next w:val="26"/>
    <w:qFormat/>
    <w:uiPriority w:val="0"/>
    <w:rPr>
      <w:rFonts w:ascii="宋体" w:hAnsi="Courier New"/>
      <w:szCs w:val="22"/>
    </w:rPr>
  </w:style>
  <w:style w:type="paragraph" w:customStyle="1" w:styleId="28">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9">
    <w:name w:val="页脚 字符"/>
    <w:link w:val="14"/>
    <w:qFormat/>
    <w:uiPriority w:val="0"/>
    <w:rPr>
      <w:kern w:val="2"/>
      <w:sz w:val="18"/>
      <w:szCs w:val="18"/>
    </w:rPr>
  </w:style>
  <w:style w:type="character" w:customStyle="1" w:styleId="30">
    <w:name w:val="apple-style-span"/>
    <w:basedOn w:val="18"/>
    <w:qFormat/>
    <w:uiPriority w:val="0"/>
  </w:style>
  <w:style w:type="character" w:customStyle="1" w:styleId="31">
    <w:name w:val="页眉 字符"/>
    <w:link w:val="15"/>
    <w:qFormat/>
    <w:uiPriority w:val="0"/>
    <w:rPr>
      <w:kern w:val="2"/>
      <w:sz w:val="18"/>
      <w:szCs w:val="18"/>
    </w:rPr>
  </w:style>
  <w:style w:type="character" w:customStyle="1" w:styleId="32">
    <w:name w:val="style141"/>
    <w:qFormat/>
    <w:uiPriority w:val="0"/>
    <w:rPr>
      <w:rFonts w:hint="eastAsia" w:ascii="宋体" w:hAnsi="宋体" w:eastAsia="宋体"/>
      <w:sz w:val="18"/>
      <w:szCs w:val="18"/>
    </w:rPr>
  </w:style>
  <w:style w:type="character" w:customStyle="1" w:styleId="33">
    <w:name w:val="纯文本 字符"/>
    <w:basedOn w:val="18"/>
    <w:link w:val="11"/>
    <w:qFormat/>
    <w:uiPriority w:val="0"/>
    <w:rPr>
      <w:rFonts w:ascii="宋体" w:hAnsi="Courier New" w:eastAsia="微软雅黑" w:cs="Courier New"/>
      <w:sz w:val="22"/>
      <w:szCs w:val="21"/>
    </w:rPr>
  </w:style>
  <w:style w:type="character" w:customStyle="1" w:styleId="34">
    <w:name w:val="批注文字 字符"/>
    <w:basedOn w:val="18"/>
    <w:link w:val="7"/>
    <w:semiHidden/>
    <w:qFormat/>
    <w:uiPriority w:val="99"/>
    <w:rPr>
      <w:kern w:val="2"/>
      <w:sz w:val="21"/>
      <w:szCs w:val="24"/>
    </w:rPr>
  </w:style>
  <w:style w:type="character" w:customStyle="1" w:styleId="35">
    <w:name w:val="批注主题 字符"/>
    <w:basedOn w:val="34"/>
    <w:link w:val="6"/>
    <w:semiHidden/>
    <w:qFormat/>
    <w:uiPriority w:val="99"/>
    <w:rPr>
      <w:b/>
      <w:bCs/>
      <w:kern w:val="2"/>
      <w:sz w:val="21"/>
      <w:szCs w:val="24"/>
    </w:rPr>
  </w:style>
  <w:style w:type="paragraph" w:styleId="36">
    <w:name w:val="List Paragraph"/>
    <w:basedOn w:val="1"/>
    <w:qFormat/>
    <w:uiPriority w:val="34"/>
    <w:pPr>
      <w:ind w:firstLine="420" w:firstLineChars="200"/>
    </w:pPr>
  </w:style>
  <w:style w:type="character" w:customStyle="1" w:styleId="37">
    <w:name w:val="正文文本缩进 字符"/>
    <w:basedOn w:val="18"/>
    <w:link w:val="10"/>
    <w:qFormat/>
    <w:uiPriority w:val="0"/>
    <w:rPr>
      <w:rFonts w:ascii="Calibri" w:hAnsi="Calibri"/>
      <w:kern w:val="2"/>
      <w:sz w:val="21"/>
      <w:szCs w:val="22"/>
    </w:rPr>
  </w:style>
  <w:style w:type="paragraph" w:customStyle="1" w:styleId="38">
    <w:name w:val="p18"/>
    <w:basedOn w:val="1"/>
    <w:qFormat/>
    <w:uiPriority w:val="0"/>
    <w:pPr>
      <w:widowControl/>
      <w:adjustRightInd w:val="0"/>
      <w:spacing w:line="312" w:lineRule="atLeast"/>
    </w:pPr>
    <w:rPr>
      <w:rFonts w:ascii="宋体" w:hAnsi="宋体" w:cs="宋体"/>
      <w:kern w:val="0"/>
      <w:sz w:val="24"/>
    </w:rPr>
  </w:style>
  <w:style w:type="character" w:customStyle="1" w:styleId="39">
    <w:name w:val="正文文本 字符"/>
    <w:basedOn w:val="18"/>
    <w:link w:val="9"/>
    <w:semiHidden/>
    <w:qFormat/>
    <w:uiPriority w:val="99"/>
    <w:rPr>
      <w:kern w:val="2"/>
      <w:sz w:val="21"/>
      <w:szCs w:val="24"/>
    </w:rPr>
  </w:style>
  <w:style w:type="character" w:customStyle="1" w:styleId="40">
    <w:name w:val="标题 1 字符"/>
    <w:basedOn w:val="18"/>
    <w:qFormat/>
    <w:uiPriority w:val="0"/>
    <w:rPr>
      <w:b/>
      <w:bCs/>
      <w:kern w:val="44"/>
      <w:sz w:val="44"/>
      <w:szCs w:val="44"/>
    </w:rPr>
  </w:style>
  <w:style w:type="character" w:customStyle="1" w:styleId="41">
    <w:name w:val="标题 2 字符"/>
    <w:basedOn w:val="18"/>
    <w:link w:val="4"/>
    <w:qFormat/>
    <w:uiPriority w:val="0"/>
    <w:rPr>
      <w:rFonts w:ascii="Arial" w:hAnsi="Arial" w:eastAsia="黑体"/>
      <w:b/>
      <w:bCs/>
      <w:kern w:val="2"/>
      <w:sz w:val="32"/>
      <w:szCs w:val="32"/>
    </w:rPr>
  </w:style>
  <w:style w:type="character" w:customStyle="1" w:styleId="42">
    <w:name w:val="标题 3 字符"/>
    <w:basedOn w:val="18"/>
    <w:link w:val="5"/>
    <w:qFormat/>
    <w:uiPriority w:val="0"/>
    <w:rPr>
      <w:b/>
      <w:bCs/>
      <w:kern w:val="2"/>
      <w:sz w:val="32"/>
      <w:szCs w:val="32"/>
    </w:rPr>
  </w:style>
  <w:style w:type="character" w:customStyle="1" w:styleId="43">
    <w:name w:val="批注框文本 字符"/>
    <w:basedOn w:val="18"/>
    <w:link w:val="13"/>
    <w:qFormat/>
    <w:uiPriority w:val="0"/>
    <w:rPr>
      <w:kern w:val="2"/>
      <w:sz w:val="18"/>
      <w:szCs w:val="18"/>
    </w:rPr>
  </w:style>
  <w:style w:type="character" w:customStyle="1" w:styleId="44">
    <w:name w:val="HTML 预设格式 字符"/>
    <w:basedOn w:val="18"/>
    <w:link w:val="16"/>
    <w:qFormat/>
    <w:uiPriority w:val="0"/>
    <w:rPr>
      <w:rFonts w:ascii="宋体" w:hAnsi="宋体" w:cs="宋体"/>
      <w:sz w:val="24"/>
      <w:szCs w:val="24"/>
    </w:rPr>
  </w:style>
  <w:style w:type="character" w:customStyle="1" w:styleId="45">
    <w:name w:val="标题 1 字符1"/>
    <w:link w:val="3"/>
    <w:qFormat/>
    <w:uiPriority w:val="0"/>
    <w:rPr>
      <w:b/>
      <w:bCs/>
      <w:kern w:val="44"/>
      <w:sz w:val="44"/>
      <w:szCs w:val="44"/>
    </w:rPr>
  </w:style>
  <w:style w:type="character" w:customStyle="1" w:styleId="46">
    <w:name w:val="页眉 Char"/>
    <w:qFormat/>
    <w:uiPriority w:val="0"/>
    <w:rPr>
      <w:kern w:val="2"/>
      <w:sz w:val="18"/>
      <w:szCs w:val="18"/>
      <w:lang w:val="zh-CN" w:eastAsia="zh-CN"/>
    </w:rPr>
  </w:style>
  <w:style w:type="character" w:customStyle="1" w:styleId="47">
    <w:name w:val="页脚 Char"/>
    <w:qFormat/>
    <w:uiPriority w:val="0"/>
    <w:rPr>
      <w:kern w:val="2"/>
      <w:sz w:val="18"/>
      <w:szCs w:val="18"/>
      <w:lang w:val="zh-CN" w:eastAsia="zh-CN"/>
    </w:rPr>
  </w:style>
  <w:style w:type="character" w:customStyle="1" w:styleId="48">
    <w:name w:val="尾注文本 字符"/>
    <w:basedOn w:val="18"/>
    <w:link w:val="12"/>
    <w:semiHidden/>
    <w:qFormat/>
    <w:uiPriority w:val="99"/>
    <w:rPr>
      <w:kern w:val="2"/>
      <w:sz w:val="21"/>
      <w:szCs w:val="24"/>
    </w:rPr>
  </w:style>
  <w:style w:type="character" w:customStyle="1" w:styleId="49">
    <w:name w:val="font51"/>
    <w:basedOn w:val="18"/>
    <w:qFormat/>
    <w:uiPriority w:val="0"/>
    <w:rPr>
      <w:rFonts w:ascii="微软雅黑" w:hAnsi="微软雅黑" w:eastAsia="微软雅黑" w:cs="微软雅黑"/>
      <w:color w:val="000000"/>
      <w:sz w:val="24"/>
      <w:szCs w:val="24"/>
      <w:u w:val="none"/>
    </w:rPr>
  </w:style>
  <w:style w:type="paragraph" w:customStyle="1" w:styleId="5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customStyle="1" w:styleId="51">
    <w:name w:val="正文缩2"/>
    <w:qFormat/>
    <w:uiPriority w:val="0"/>
    <w:pPr>
      <w:spacing w:line="360" w:lineRule="auto"/>
    </w:pPr>
    <w:rPr>
      <w:rFonts w:ascii="Times New Roman" w:hAnsi="Times New Roman" w:eastAsia="宋体" w:cs="Times New Roman"/>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e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18</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2024-05-21T02:06:35Z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