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highlight w:val="none"/>
        </w:rPr>
      </w:pPr>
      <w:r>
        <w:rPr>
          <w:rFonts w:hint="eastAsia"/>
          <w:b/>
          <w:sz w:val="28"/>
          <w:highlight w:val="none"/>
        </w:rPr>
        <w:t>广州城投综合能源投资经营管理有限公司</w:t>
      </w:r>
    </w:p>
    <w:p>
      <w:pPr>
        <w:jc w:val="center"/>
        <w:rPr>
          <w:b/>
          <w:sz w:val="28"/>
          <w:highlight w:val="none"/>
        </w:rPr>
      </w:pPr>
      <w:r>
        <w:rPr>
          <w:rFonts w:hint="eastAsia"/>
          <w:b/>
          <w:sz w:val="28"/>
          <w:szCs w:val="28"/>
        </w:rPr>
        <w:t>20240625维修部月度材料采购</w:t>
      </w:r>
      <w:r>
        <w:rPr>
          <w:rFonts w:hint="eastAsia"/>
          <w:b/>
          <w:sz w:val="28"/>
          <w:szCs w:val="28"/>
          <w:lang w:val="en-US" w:eastAsia="zh-CN"/>
        </w:rPr>
        <w:t xml:space="preserve"> </w:t>
      </w:r>
      <w:r>
        <w:rPr>
          <w:rFonts w:hint="eastAsia"/>
          <w:b/>
          <w:sz w:val="28"/>
          <w:highlight w:val="none"/>
        </w:rPr>
        <w:t>竞选文件</w:t>
      </w:r>
    </w:p>
    <w:p>
      <w:pPr>
        <w:spacing w:line="360" w:lineRule="auto"/>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eastAsia="宋体" w:cs="宋体"/>
          <w:sz w:val="24"/>
          <w:szCs w:val="24"/>
        </w:rPr>
        <w:t>20240625维修部月度材料采购</w:t>
      </w:r>
    </w:p>
    <w:p>
      <w:pPr>
        <w:pStyle w:val="14"/>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限价7万元。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eastAsia="宋体" w:cs="宋体"/>
          <w:sz w:val="24"/>
          <w:szCs w:val="24"/>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sz w:val="24"/>
          <w:highlight w:val="none"/>
        </w:rPr>
        <w:t>投标人没有处于被责令停业或破产状态，且资产未被重组、接管和冻</w:t>
      </w:r>
      <w:r>
        <w:rPr>
          <w:rFonts w:hint="eastAsia" w:ascii="宋体" w:hAnsi="宋体"/>
          <w:color w:val="auto"/>
          <w:sz w:val="24"/>
          <w:highlight w:val="none"/>
        </w:rPr>
        <w:t>结，声明在投标活动中3 年内没有重大违法活动和涉嫌违规行为</w:t>
      </w:r>
      <w:r>
        <w:rPr>
          <w:rFonts w:hint="eastAsia" w:ascii="宋体" w:hAnsi="宋体"/>
          <w:color w:val="auto"/>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color w:val="auto"/>
          <w:sz w:val="24"/>
          <w:highlight w:val="none"/>
        </w:rPr>
        <w:t>法定代表人证明书（格式见附件</w:t>
      </w:r>
      <w:r>
        <w:rPr>
          <w:rFonts w:ascii="宋体" w:hAnsi="宋体"/>
          <w:color w:val="auto"/>
          <w:sz w:val="24"/>
          <w:highlight w:val="none"/>
        </w:rPr>
        <w:t>5</w:t>
      </w:r>
      <w:r>
        <w:rPr>
          <w:rFonts w:hint="eastAsia" w:ascii="宋体" w:hAnsi="宋体"/>
          <w:color w:val="auto"/>
          <w:sz w:val="24"/>
          <w:highlight w:val="none"/>
        </w:rPr>
        <w:t>）</w:t>
      </w:r>
      <w:r>
        <w:rPr>
          <w:rFonts w:hint="eastAsia" w:ascii="宋体" w:hAnsi="宋体"/>
          <w:color w:val="auto"/>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color w:val="auto"/>
          <w:sz w:val="24"/>
          <w:highlight w:val="none"/>
        </w:rPr>
        <w:t>法定代表人授权委托证明书（格式见附件</w:t>
      </w:r>
      <w:r>
        <w:rPr>
          <w:rFonts w:ascii="宋体" w:hAnsi="宋体"/>
          <w:color w:val="auto"/>
          <w:sz w:val="24"/>
          <w:highlight w:val="none"/>
        </w:rPr>
        <w:t>6</w:t>
      </w:r>
      <w:r>
        <w:rPr>
          <w:rFonts w:hint="eastAsia" w:ascii="宋体" w:hAnsi="宋体"/>
          <w:color w:val="auto"/>
          <w:sz w:val="24"/>
          <w:highlight w:val="none"/>
        </w:rPr>
        <w:t>）</w:t>
      </w:r>
      <w:r>
        <w:rPr>
          <w:rFonts w:hint="eastAsia" w:ascii="宋体" w:hAnsi="宋体"/>
          <w:color w:val="auto"/>
          <w:sz w:val="24"/>
          <w:highlight w:val="none"/>
          <w:lang w:val="en-US" w:eastAsia="zh-CN"/>
        </w:rPr>
        <w:t>。</w:t>
      </w:r>
    </w:p>
    <w:p>
      <w:pPr>
        <w:pStyle w:val="14"/>
        <w:numPr>
          <w:ilvl w:val="0"/>
          <w:numId w:val="0"/>
        </w:numPr>
        <w:spacing w:line="360" w:lineRule="auto"/>
        <w:rPr>
          <w:rFonts w:ascii="宋体" w:hAnsi="宋体"/>
          <w:color w:val="auto"/>
          <w:sz w:val="24"/>
          <w:highlight w:val="none"/>
        </w:rPr>
      </w:pP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w:t>
      </w:r>
      <w:r>
        <w:rPr>
          <w:rFonts w:hint="eastAsia" w:ascii="宋体" w:hAnsi="宋体"/>
          <w:color w:val="auto"/>
          <w:sz w:val="24"/>
          <w:highlight w:val="none"/>
        </w:rPr>
        <w:t>时间：</w:t>
      </w:r>
      <w:r>
        <w:rPr>
          <w:rFonts w:hint="eastAsia" w:ascii="宋体" w:hAnsi="宋体" w:eastAsiaTheme="minorEastAsia" w:cstheme="minorBidi"/>
          <w:color w:val="auto"/>
          <w:kern w:val="2"/>
          <w:sz w:val="24"/>
          <w:szCs w:val="24"/>
          <w:highlight w:val="none"/>
          <w:lang w:val="en-US" w:eastAsia="zh-CN" w:bidi="ar-SA"/>
        </w:rPr>
        <w:t>2024年7月</w:t>
      </w:r>
      <w:r>
        <w:rPr>
          <w:rFonts w:hint="eastAsia" w:ascii="宋体" w:hAnsi="宋体" w:cstheme="minorBidi"/>
          <w:color w:val="auto"/>
          <w:kern w:val="2"/>
          <w:sz w:val="24"/>
          <w:szCs w:val="24"/>
          <w:highlight w:val="none"/>
          <w:lang w:val="en-US" w:eastAsia="zh-CN" w:bidi="ar-SA"/>
        </w:rPr>
        <w:t>24</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w:t>
      </w:r>
      <w:r>
        <w:rPr>
          <w:rFonts w:hint="eastAsia" w:ascii="宋体" w:hAnsi="宋体"/>
          <w:sz w:val="24"/>
          <w:highlight w:val="none"/>
        </w:rPr>
        <w:t>以密封的形式提供投标文件到：广州市番禺区大学城明志街1号信息枢纽楼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eastAsia="宋体" w:cs="宋体"/>
          <w:sz w:val="24"/>
          <w:szCs w:val="24"/>
        </w:rPr>
        <w:t>20240625维修部月度材料采购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eastAsiaTheme="minorEastAsia" w:cstheme="minorBidi"/>
          <w:kern w:val="2"/>
          <w:sz w:val="24"/>
          <w:szCs w:val="24"/>
          <w:highlight w:val="none"/>
          <w:lang w:val="en-US" w:eastAsia="zh-CN" w:bidi="ar-SA"/>
        </w:rPr>
        <w:t>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17</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spacing w:line="360" w:lineRule="auto"/>
        <w:ind w:firstLine="480" w:firstLine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2"/>
          <w:szCs w:val="22"/>
          <w:highlight w:val="none"/>
        </w:rPr>
      </w:pPr>
      <w:r>
        <w:rPr>
          <w:rFonts w:hint="eastAsia" w:ascii="宋体" w:hAnsi="宋体" w:eastAsia="宋体" w:cs="宋体"/>
          <w:sz w:val="24"/>
          <w:szCs w:val="24"/>
        </w:rPr>
        <w:t>20240625维修部月度材料采购</w:t>
      </w:r>
      <w:r>
        <w:rPr>
          <w:rFonts w:hint="eastAsia" w:ascii="宋体" w:hAnsi="宋体"/>
          <w:sz w:val="22"/>
          <w:szCs w:val="22"/>
          <w:highlight w:val="none"/>
        </w:rPr>
        <w:t>清单</w:t>
      </w:r>
    </w:p>
    <w:tbl>
      <w:tblPr>
        <w:tblStyle w:val="4"/>
        <w:tblW w:w="8316" w:type="dxa"/>
        <w:tblInd w:w="0" w:type="dxa"/>
        <w:tblLayout w:type="fixed"/>
        <w:tblCellMar>
          <w:top w:w="0" w:type="dxa"/>
          <w:left w:w="108" w:type="dxa"/>
          <w:bottom w:w="0" w:type="dxa"/>
          <w:right w:w="108" w:type="dxa"/>
        </w:tblCellMar>
      </w:tblPr>
      <w:tblGrid>
        <w:gridCol w:w="677"/>
        <w:gridCol w:w="1477"/>
        <w:gridCol w:w="3367"/>
        <w:gridCol w:w="690"/>
        <w:gridCol w:w="720"/>
        <w:gridCol w:w="1385"/>
      </w:tblGrid>
      <w:tr>
        <w:tblPrEx>
          <w:tblCellMar>
            <w:top w:w="0" w:type="dxa"/>
            <w:left w:w="108" w:type="dxa"/>
            <w:bottom w:w="0" w:type="dxa"/>
            <w:right w:w="108" w:type="dxa"/>
          </w:tblCellMar>
        </w:tblPrEx>
        <w:trPr>
          <w:trHeight w:val="49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47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36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69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2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385"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716"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防尘口罩</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品牌：CM朝美。</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型号规格：新2002滤菌款防尘口罩</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92455" cy="499110"/>
                  <wp:effectExtent l="0" t="0" r="17145" b="152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5"/>
                          <a:stretch>
                            <a:fillRect/>
                          </a:stretch>
                        </pic:blipFill>
                        <pic:spPr>
                          <a:xfrm>
                            <a:off x="0" y="0"/>
                            <a:ext cx="592455" cy="499110"/>
                          </a:xfrm>
                          <a:prstGeom prst="rect">
                            <a:avLst/>
                          </a:prstGeom>
                        </pic:spPr>
                      </pic:pic>
                    </a:graphicData>
                  </a:graphic>
                </wp:inline>
              </w:drawing>
            </w: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点塑手套</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品牌:鸣固。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型号规格：G750点珠点胶防滑</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耐磨劳保手套 </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14655" cy="428625"/>
                  <wp:effectExtent l="0" t="0" r="4445"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6"/>
                          <a:stretch>
                            <a:fillRect/>
                          </a:stretch>
                        </pic:blipFill>
                        <pic:spPr>
                          <a:xfrm>
                            <a:off x="0" y="0"/>
                            <a:ext cx="414655" cy="428625"/>
                          </a:xfrm>
                          <a:prstGeom prst="rect">
                            <a:avLst/>
                          </a:prstGeom>
                        </pic:spPr>
                      </pic:pic>
                    </a:graphicData>
                  </a:graphic>
                </wp:inline>
              </w:drawing>
            </w: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防护手套</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品牌:3M  </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型号规格：舒适型灰色XL</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77520" cy="520065"/>
                  <wp:effectExtent l="0" t="0" r="1778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7"/>
                          <a:stretch>
                            <a:fillRect/>
                          </a:stretch>
                        </pic:blipFill>
                        <pic:spPr>
                          <a:xfrm>
                            <a:off x="0" y="0"/>
                            <a:ext cx="477520" cy="520065"/>
                          </a:xfrm>
                          <a:prstGeom prst="rect">
                            <a:avLst/>
                          </a:prstGeom>
                        </pic:spPr>
                      </pic:pic>
                    </a:graphicData>
                  </a:graphic>
                </wp:inline>
              </w:drawing>
            </w: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保温棉胶水</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品牌：固强牌，型号规格：15L/桶</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福乐斯520胶水</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品牌：福乐斯。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型号规格： AS-AD5201G </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3.78升/罐</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液晶温控器</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品牌：三和易通/汉诺尔/粤桥。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型号规格：</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单冷式（不要暖气界面显示）；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不要时间设置；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达到设定温度时停二通阀不停风机；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面板和底座分体；液晶显示；</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18"/>
                <w:szCs w:val="18"/>
                <w:u w:val="none"/>
                <w:lang w:val="en-US" w:eastAsia="zh-CN" w:bidi="ar"/>
              </w:rPr>
              <w:t>按键式（不要触控式）。</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二通阀阀芯</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适用VA-7010-8003二通阀（DN20）</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254635" cy="676910"/>
                  <wp:effectExtent l="0" t="0" r="8890"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rot="5400000">
                            <a:off x="0" y="0"/>
                            <a:ext cx="254635" cy="67691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阀芯压帽</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适用VA-7010-8003二通阀（DN20）  </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19430" cy="494030"/>
                  <wp:effectExtent l="0" t="0" r="13970" b="127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519430" cy="494030"/>
                          </a:xfrm>
                          <a:prstGeom prst="rect">
                            <a:avLst/>
                          </a:prstGeom>
                        </pic:spPr>
                      </pic:pic>
                    </a:graphicData>
                  </a:graphic>
                </wp:inline>
              </w:drawing>
            </w: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1018电动二通阀执行器</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品牌型号：三和易通、粤桥、江森；型号规格：VA-7010-8503；</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DN20；下压式,传动齿轮材质要求铝合金或不锈钢；220V；7W</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气泵</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型号规格：C款11寸大号脚踩泵    </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78155" cy="485140"/>
                  <wp:effectExtent l="0" t="0" r="17145" b="1016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a:stretch>
                            <a:fillRect/>
                          </a:stretch>
                        </pic:blipFill>
                        <pic:spPr>
                          <a:xfrm>
                            <a:off x="0" y="0"/>
                            <a:ext cx="478155" cy="48514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水箱盖（订做）</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型号规格：方形,内边长625*525、边高30MM,厚度2mm、盖面中间带把手</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合页</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型号规格：3寸、304不锈钢</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油漆扫</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型号规格：1寸</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油漆扫</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型号规格：2寸</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十字批头</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型号规格：45MM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十字批头</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型号规格：150MM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固强保温胶水</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品牌：固强。 型号规格：15L/桶</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酚醛板</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品牌:东晋园。型号规格：  3100mm*1200mm*20mm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电容</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品牌：铜峰。型号规格：CBB60、2.0uf、500V.AC50/60HZ、备注：要保证是正品及生产日期是近2年的</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电容</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品牌：铜峰。型号规格：CBB60、3.0uf、500V.AC50/60HZ、备注：要保证是正品及生产日期是近2年的</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电容</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品牌：铜峰。型号规格：CBB60、2.5uf、500V.AC50/60HZ、备注：要保证是正品及生产日期是近2年的</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万用表笔</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品牌：牛享。</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型号规格：加强款 108CM长 </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04850" cy="765175"/>
                  <wp:effectExtent l="0" t="0" r="0" b="1587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1"/>
                          <a:stretch>
                            <a:fillRect/>
                          </a:stretch>
                        </pic:blipFill>
                        <pic:spPr>
                          <a:xfrm>
                            <a:off x="0" y="0"/>
                            <a:ext cx="704850" cy="76517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8"/>
                <w:szCs w:val="18"/>
                <w:u w:val="none"/>
                <w:lang w:val="en-US" w:eastAsia="zh-CN" w:bidi="ar"/>
              </w:rPr>
              <w:t>福乐斯520胶水</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品牌：福乐斯。  </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 AS-AD5201G 3.78升/罐</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角钢</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规格：50*50*4mm，材质：低碳钢</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角钢</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规格：40*40*4mm，材质：低碳钢</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镀锌彩钢瓦（蓝色）</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规格：0.4×900×1800mm，</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材质：镀锌</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木板</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规格：915*1830mm，材质：木头</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钢板</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厚度3mm，材质，材质：碳钢</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不锈钢方管</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规格：40*40*3mm，材质：不锈钢</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不锈钢方管</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规格：20*20*3mm，材质：不锈钢</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18"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保温棉胶水</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品牌：固强牌，型号规格：15L/桶</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33"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活动圆门铰</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品牌：CLCEY 规格：22*76mm，</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材质SUS304</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85775" cy="760095"/>
                  <wp:effectExtent l="0" t="0" r="9525" b="190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2"/>
                          <a:stretch>
                            <a:fillRect/>
                          </a:stretch>
                        </pic:blipFill>
                        <pic:spPr>
                          <a:xfrm>
                            <a:off x="0" y="0"/>
                            <a:ext cx="485775" cy="76009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633"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品牌：祥清 规格：重型，</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大小：3寸</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39140" cy="714375"/>
                  <wp:effectExtent l="0" t="0" r="3810" b="952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3"/>
                          <a:stretch>
                            <a:fillRect/>
                          </a:stretch>
                        </pic:blipFill>
                        <pic:spPr>
                          <a:xfrm>
                            <a:off x="0" y="0"/>
                            <a:ext cx="739140" cy="71437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633"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钻尾镀锌螺栓</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规格：5.5*25mm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60400" cy="832485"/>
                  <wp:effectExtent l="0" t="0" r="6350" b="571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4"/>
                          <a:stretch>
                            <a:fillRect/>
                          </a:stretch>
                        </pic:blipFill>
                        <pic:spPr>
                          <a:xfrm>
                            <a:off x="0" y="0"/>
                            <a:ext cx="660400" cy="832485"/>
                          </a:xfrm>
                          <a:prstGeom prst="rect">
                            <a:avLst/>
                          </a:prstGeom>
                        </pic:spPr>
                      </pic:pic>
                    </a:graphicData>
                  </a:graphic>
                </wp:inline>
              </w:drawing>
            </w:r>
          </w:p>
        </w:tc>
      </w:tr>
      <w:tr>
        <w:tblPrEx>
          <w:tblCellMar>
            <w:top w:w="0" w:type="dxa"/>
            <w:left w:w="108" w:type="dxa"/>
            <w:bottom w:w="0" w:type="dxa"/>
            <w:right w:w="108" w:type="dxa"/>
          </w:tblCellMar>
        </w:tblPrEx>
        <w:trPr>
          <w:trHeight w:val="633"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工业壁扇</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品牌：艾美特 规格：750，壁挂式</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33"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劳保鞋</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品牌：霍尼韦尔 </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bookmarkStart w:id="0" w:name="_GoBack"/>
            <w:bookmarkEnd w:id="0"/>
            <w:r>
              <w:rPr>
                <w:rFonts w:hint="eastAsia" w:ascii="宋体" w:hAnsi="宋体" w:eastAsia="宋体" w:cs="宋体"/>
                <w:i w:val="0"/>
                <w:iCs w:val="0"/>
                <w:color w:val="000000"/>
                <w:kern w:val="0"/>
                <w:sz w:val="20"/>
                <w:szCs w:val="20"/>
                <w:u w:val="none"/>
                <w:lang w:val="en-US" w:eastAsia="zh-CN" w:bidi="ar"/>
              </w:rPr>
              <w:t>型号：黑色SHBC00102</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对</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33"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安全宣传海报</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规格：宽60cm×高80cm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both"/>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33" w:hRule="atLeast"/>
        </w:trPr>
        <w:tc>
          <w:tcPr>
            <w:tcW w:w="6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47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PVC证件卡套套装</w:t>
            </w:r>
          </w:p>
        </w:tc>
        <w:tc>
          <w:tcPr>
            <w:tcW w:w="336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规格：303型号，</w:t>
            </w:r>
          </w:p>
          <w:p>
            <w:pPr>
              <w:keepNext w:val="0"/>
              <w:keepLines w:val="0"/>
              <w:widowControl/>
              <w:suppressLineNumbers w:val="0"/>
              <w:jc w:val="center"/>
              <w:textAlignment w:val="center"/>
              <w:rPr>
                <w:rFonts w:hint="eastAsia" w:ascii="宋体" w:hAnsi="宋体" w:eastAsia="宋体" w:cs="宋体"/>
                <w:i w:val="0"/>
                <w:iCs w:val="0"/>
                <w:color w:val="000000"/>
                <w:kern w:val="0"/>
                <w:sz w:val="4"/>
                <w:szCs w:val="4"/>
                <w:u w:val="none"/>
                <w:lang w:val="en-US" w:eastAsia="zh-CN" w:bidi="ar"/>
              </w:rPr>
            </w:pPr>
            <w:r>
              <w:rPr>
                <w:rFonts w:hint="eastAsia" w:ascii="宋体" w:hAnsi="宋体" w:eastAsia="宋体" w:cs="宋体"/>
                <w:i w:val="0"/>
                <w:iCs w:val="0"/>
                <w:color w:val="000000"/>
                <w:kern w:val="0"/>
                <w:sz w:val="20"/>
                <w:szCs w:val="20"/>
                <w:u w:val="none"/>
                <w:lang w:val="en-US" w:eastAsia="zh-CN" w:bidi="ar"/>
              </w:rPr>
              <w:t>尺寸：外径96*150mm,用纸88*125mm</w:t>
            </w:r>
          </w:p>
        </w:tc>
        <w:tc>
          <w:tcPr>
            <w:tcW w:w="69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2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38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46430" cy="574040"/>
                  <wp:effectExtent l="0" t="0" r="1270" b="16510"/>
                  <wp:docPr id="2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pic:cNvPicPr>
                            <a:picLocks noChangeAspect="1"/>
                          </pic:cNvPicPr>
                        </pic:nvPicPr>
                        <pic:blipFill>
                          <a:blip r:embed="rId15"/>
                          <a:stretch>
                            <a:fillRect/>
                          </a:stretch>
                        </pic:blipFill>
                        <pic:spPr>
                          <a:xfrm>
                            <a:off x="0" y="0"/>
                            <a:ext cx="646430" cy="574040"/>
                          </a:xfrm>
                          <a:prstGeom prst="rect">
                            <a:avLst/>
                          </a:prstGeom>
                          <a:noFill/>
                          <a:ln>
                            <a:noFill/>
                          </a:ln>
                        </pic:spPr>
                      </pic:pic>
                    </a:graphicData>
                  </a:graphic>
                </wp:inline>
              </w:drawing>
            </w: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numPr>
          <w:ilvl w:val="0"/>
          <w:numId w:val="0"/>
        </w:numPr>
        <w:spacing w:line="360" w:lineRule="auto"/>
        <w:ind w:left="0" w:leftChars="0" w:firstLine="420" w:firstLineChars="175"/>
        <w:rPr>
          <w:rFonts w:hint="default" w:ascii="宋体" w:hAnsi="宋体"/>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rPr>
          <w:rFonts w:hint="eastAsia"/>
          <w:sz w:val="24"/>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hint="eastAsia" w:ascii="宋体" w:hAnsi="宋体"/>
          <w:sz w:val="32"/>
          <w:highlight w:val="none"/>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宋体"/>
          <w:sz w:val="22"/>
          <w:szCs w:val="22"/>
          <w:highlight w:val="none"/>
          <w:lang w:val="en-US" w:eastAsia="zh-CN"/>
        </w:rPr>
      </w:pPr>
      <w:r>
        <w:rPr>
          <w:rFonts w:hint="eastAsia" w:ascii="宋体" w:hAnsi="宋体"/>
          <w:highlight w:val="none"/>
        </w:rPr>
        <w:t>项目名称：</w:t>
      </w:r>
      <w:r>
        <w:rPr>
          <w:rFonts w:hint="eastAsia" w:ascii="宋体" w:hAnsi="宋体" w:eastAsia="宋体" w:cs="宋体"/>
          <w:sz w:val="24"/>
          <w:szCs w:val="24"/>
        </w:rPr>
        <w:t>20240625维修部月度材料</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1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eastAsia="宋体" w:cs="宋体"/>
          <w:sz w:val="24"/>
          <w:szCs w:val="24"/>
        </w:rPr>
        <w:t>20240625维修部月度材料</w:t>
      </w:r>
    </w:p>
    <w:tbl>
      <w:tblPr>
        <w:tblStyle w:val="4"/>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color w:val="auto"/>
          <w:sz w:val="30"/>
          <w:highlight w:val="none"/>
        </w:rPr>
      </w:pPr>
      <w:r>
        <w:rPr>
          <w:rFonts w:hint="eastAsia" w:ascii="宋体" w:hAnsi="宋体"/>
          <w:b/>
          <w:color w:val="auto"/>
          <w:sz w:val="30"/>
          <w:highlight w:val="none"/>
        </w:rPr>
        <w:t>实质性要求响应表</w:t>
      </w:r>
    </w:p>
    <w:p>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eastAsia="宋体" w:cs="宋体"/>
          <w:sz w:val="24"/>
          <w:szCs w:val="24"/>
        </w:rPr>
        <w:t>20240625维修部月度材料</w:t>
      </w:r>
    </w:p>
    <w:tbl>
      <w:tblPr>
        <w:tblStyle w:val="4"/>
        <w:tblW w:w="97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14"/>
        <w:gridCol w:w="4670"/>
        <w:gridCol w:w="1830"/>
        <w:gridCol w:w="1406"/>
        <w:gridCol w:w="11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9" w:hRule="atLeast"/>
          <w:jc w:val="center"/>
        </w:trPr>
        <w:tc>
          <w:tcPr>
            <w:tcW w:w="71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6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83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投标响应详细内容</w:t>
            </w:r>
          </w:p>
        </w:tc>
        <w:tc>
          <w:tcPr>
            <w:tcW w:w="14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正/负/</w:t>
            </w:r>
            <w:r>
              <w:rPr>
                <w:rFonts w:hint="eastAsia" w:ascii="宋体" w:hAnsi="宋体" w:eastAsia="宋体" w:cs="宋体"/>
                <w:sz w:val="18"/>
                <w:szCs w:val="18"/>
                <w:highlight w:val="none"/>
              </w:rPr>
              <w:t>无偏离</w:t>
            </w:r>
          </w:p>
        </w:tc>
        <w:tc>
          <w:tcPr>
            <w:tcW w:w="1117"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19" w:hRule="atLeast"/>
          <w:jc w:val="center"/>
        </w:trPr>
        <w:tc>
          <w:tcPr>
            <w:tcW w:w="71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67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83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4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85" w:hRule="atLeast"/>
          <w:jc w:val="center"/>
        </w:trPr>
        <w:tc>
          <w:tcPr>
            <w:tcW w:w="71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67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83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52" w:hRule="atLeast"/>
          <w:jc w:val="center"/>
        </w:trPr>
        <w:tc>
          <w:tcPr>
            <w:tcW w:w="71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67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83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34" w:hRule="atLeast"/>
          <w:jc w:val="center"/>
        </w:trPr>
        <w:tc>
          <w:tcPr>
            <w:tcW w:w="71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670"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83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color w:val="auto"/>
          <w:highlight w:val="none"/>
        </w:rPr>
      </w:pPr>
      <w:r>
        <w:rPr>
          <w:rFonts w:hint="eastAsia" w:ascii="宋体" w:hAnsi="宋体"/>
          <w:b/>
          <w:color w:val="auto"/>
          <w:kern w:val="0"/>
          <w:sz w:val="36"/>
          <w:highlight w:val="none"/>
        </w:rPr>
        <w:t>资格性和有效性审查表</w:t>
      </w:r>
    </w:p>
    <w:p>
      <w:pPr>
        <w:spacing w:line="360" w:lineRule="auto"/>
        <w:rPr>
          <w:rFonts w:ascii="宋体" w:hAnsi="宋体"/>
          <w:highlight w:val="none"/>
        </w:rPr>
      </w:pPr>
      <w:r>
        <w:rPr>
          <w:rFonts w:hint="eastAsia" w:ascii="宋体" w:hAnsi="宋体"/>
          <w:highlight w:val="none"/>
        </w:rPr>
        <w:t>项目名称：</w:t>
      </w:r>
      <w:r>
        <w:rPr>
          <w:rFonts w:hint="eastAsia" w:ascii="宋体" w:hAnsi="宋体" w:eastAsia="宋体" w:cs="宋体"/>
          <w:sz w:val="24"/>
          <w:szCs w:val="24"/>
        </w:rPr>
        <w:t>20240625维修部月度材料</w:t>
      </w:r>
    </w:p>
    <w:tbl>
      <w:tblPr>
        <w:tblStyle w:val="4"/>
        <w:tblW w:w="86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7038"/>
        <w:gridCol w:w="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7038"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970"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sz w:val="18"/>
                <w:szCs w:val="18"/>
                <w:highlight w:val="none"/>
              </w:rPr>
              <w:t>投标文件未按竞选文件的规定密封、盖章和签署；</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sz w:val="18"/>
                <w:szCs w:val="18"/>
                <w:highlight w:val="none"/>
              </w:rPr>
              <w:t>投标文件未按竞选文件规定的格式填写，内容不全或关键字迹模糊、无法辩认；</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不具有独立法人资格，未持有工商行政管理部门核发的法人营业执照或事业单位登记机构核发的事业单位法人证书，</w:t>
            </w:r>
            <w:r>
              <w:rPr>
                <w:rFonts w:hint="eastAsia" w:ascii="宋体" w:hAnsi="宋体"/>
                <w:sz w:val="18"/>
                <w:szCs w:val="18"/>
                <w:highlight w:val="none"/>
                <w:lang w:val="en-US" w:eastAsia="zh-CN"/>
              </w:rPr>
              <w:t>未</w:t>
            </w:r>
            <w:r>
              <w:rPr>
                <w:rFonts w:hint="eastAsia" w:ascii="宋体" w:hAnsi="宋体"/>
                <w:sz w:val="18"/>
                <w:szCs w:val="18"/>
                <w:highlight w:val="none"/>
              </w:rPr>
              <w:t>按国家法律经营</w:t>
            </w:r>
            <w:r>
              <w:rPr>
                <w:rFonts w:hint="eastAsia" w:ascii="宋体" w:hAnsi="宋体"/>
                <w:sz w:val="18"/>
                <w:szCs w:val="18"/>
                <w:highlight w:val="none"/>
                <w:lang w:eastAsia="zh-CN"/>
              </w:rPr>
              <w:t>；</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办理合法税务登记，</w:t>
            </w:r>
            <w:r>
              <w:rPr>
                <w:rFonts w:hint="eastAsia" w:ascii="宋体" w:hAnsi="宋体" w:eastAsia="宋体" w:cs="宋体"/>
                <w:color w:val="000000"/>
                <w:kern w:val="0"/>
                <w:sz w:val="18"/>
                <w:szCs w:val="18"/>
                <w:lang w:val="en-US" w:eastAsia="zh-CN"/>
              </w:rPr>
              <w:t>不</w:t>
            </w:r>
            <w:r>
              <w:rPr>
                <w:rFonts w:hint="eastAsia" w:ascii="宋体" w:hAnsi="宋体" w:eastAsia="宋体" w:cs="宋体"/>
                <w:color w:val="000000"/>
                <w:kern w:val="0"/>
                <w:sz w:val="18"/>
                <w:szCs w:val="18"/>
              </w:rPr>
              <w:t>具有开具相应增值税专用发票资格</w:t>
            </w:r>
            <w:r>
              <w:rPr>
                <w:rFonts w:hint="eastAsia" w:ascii="宋体" w:hAnsi="宋体"/>
                <w:kern w:val="0"/>
                <w:sz w:val="18"/>
                <w:szCs w:val="18"/>
                <w:highlight w:val="none"/>
              </w:rPr>
              <w:t>；</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5</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6</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投标人处于被责令停业或破产状态，</w:t>
            </w:r>
            <w:r>
              <w:rPr>
                <w:rFonts w:hint="eastAsia" w:ascii="宋体" w:hAnsi="宋体" w:eastAsia="宋体" w:cs="宋体"/>
                <w:color w:val="000000"/>
                <w:kern w:val="0"/>
                <w:sz w:val="18"/>
                <w:szCs w:val="18"/>
                <w:lang w:val="en-US" w:eastAsia="zh-CN"/>
              </w:rPr>
              <w:t>或</w:t>
            </w:r>
            <w:r>
              <w:rPr>
                <w:rFonts w:hint="eastAsia" w:ascii="宋体" w:hAnsi="宋体" w:eastAsia="宋体" w:cs="宋体"/>
                <w:color w:val="000000"/>
                <w:kern w:val="0"/>
                <w:sz w:val="18"/>
                <w:szCs w:val="18"/>
              </w:rPr>
              <w:t>资产被重组、接管和冻结，</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声明在投标活动中3年内没有重大违法活动和涉嫌违规行为</w:t>
            </w:r>
            <w:r>
              <w:rPr>
                <w:rFonts w:hint="eastAsia" w:ascii="宋体" w:hAnsi="宋体" w:eastAsia="宋体" w:cs="宋体"/>
                <w:color w:val="000000"/>
                <w:kern w:val="0"/>
                <w:sz w:val="18"/>
                <w:szCs w:val="18"/>
                <w:lang w:eastAsia="zh-CN"/>
              </w:rPr>
              <w:t>；</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7</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投标总报价超过最高限价或报价畸低的；</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8</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18"/>
                <w:szCs w:val="18"/>
                <w:highlight w:val="none"/>
              </w:rPr>
            </w:pPr>
            <w:r>
              <w:rPr>
                <w:rFonts w:hint="eastAsia" w:ascii="宋体" w:hAnsi="宋体"/>
                <w:kern w:val="0"/>
                <w:sz w:val="18"/>
                <w:szCs w:val="18"/>
                <w:highlight w:val="none"/>
              </w:rPr>
              <w:t>投标文件附有招标人不能接受的条件（</w:t>
            </w:r>
            <w:r>
              <w:rPr>
                <w:rFonts w:hint="eastAsia" w:ascii="宋体" w:hAnsi="宋体"/>
                <w:sz w:val="18"/>
                <w:szCs w:val="18"/>
                <w:highlight w:val="none"/>
              </w:rPr>
              <w:t xml:space="preserve"> 不满足“★”的条款）</w:t>
            </w:r>
            <w:r>
              <w:rPr>
                <w:rFonts w:hint="eastAsia" w:ascii="宋体" w:hAnsi="宋体"/>
                <w:kern w:val="0"/>
                <w:sz w:val="18"/>
                <w:szCs w:val="18"/>
                <w:highlight w:val="none"/>
              </w:rPr>
              <w:t>；</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9</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18"/>
                <w:szCs w:val="18"/>
                <w:highlight w:val="none"/>
              </w:rPr>
            </w:pPr>
            <w:r>
              <w:rPr>
                <w:rFonts w:hint="eastAsia" w:ascii="宋体" w:hAnsi="宋体"/>
                <w:kern w:val="0"/>
                <w:sz w:val="18"/>
                <w:szCs w:val="18"/>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10</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响应产品经其品牌官方渠道核实所响应产品不满足采购清单需求或者无法核实，按照不完全响应或者完全不响应处理；</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11</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不符合竞选文件中规定的其他实质性要求；</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12</w:t>
            </w:r>
          </w:p>
        </w:tc>
        <w:tc>
          <w:tcPr>
            <w:tcW w:w="7038"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供应商提交书面材料表明无法履行竞选承诺或者放弃成交的，按报价无效处理；</w:t>
            </w:r>
          </w:p>
        </w:tc>
        <w:tc>
          <w:tcPr>
            <w:tcW w:w="970"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7038"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70"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4"/>
  </w:num>
  <w:num w:numId="4">
    <w:abstractNumId w:val="0"/>
  </w:num>
  <w:num w:numId="5">
    <w:abstractNumId w:val="16"/>
  </w:num>
  <w:num w:numId="6">
    <w:abstractNumId w:val="7"/>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9"/>
  </w:num>
  <w:num w:numId="17">
    <w:abstractNumId w:val="8"/>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C802C8"/>
    <w:rsid w:val="04105D4C"/>
    <w:rsid w:val="04DA3066"/>
    <w:rsid w:val="04FD4D5A"/>
    <w:rsid w:val="0510693F"/>
    <w:rsid w:val="069F4DEA"/>
    <w:rsid w:val="072E6FDD"/>
    <w:rsid w:val="077875C8"/>
    <w:rsid w:val="08534204"/>
    <w:rsid w:val="0A283ED3"/>
    <w:rsid w:val="0A797599"/>
    <w:rsid w:val="0BC84224"/>
    <w:rsid w:val="0C177C6F"/>
    <w:rsid w:val="0D3A78FE"/>
    <w:rsid w:val="0D6445C0"/>
    <w:rsid w:val="0F823BCB"/>
    <w:rsid w:val="12B31C83"/>
    <w:rsid w:val="13172625"/>
    <w:rsid w:val="13B3779E"/>
    <w:rsid w:val="149571E4"/>
    <w:rsid w:val="157A1727"/>
    <w:rsid w:val="160A4C2C"/>
    <w:rsid w:val="17B47679"/>
    <w:rsid w:val="188B412E"/>
    <w:rsid w:val="1B2C1F25"/>
    <w:rsid w:val="1B565D46"/>
    <w:rsid w:val="1C326EE2"/>
    <w:rsid w:val="1CC73D64"/>
    <w:rsid w:val="1D39659A"/>
    <w:rsid w:val="217759F3"/>
    <w:rsid w:val="218E4332"/>
    <w:rsid w:val="219C5AD0"/>
    <w:rsid w:val="21A308B5"/>
    <w:rsid w:val="22602A65"/>
    <w:rsid w:val="229D425D"/>
    <w:rsid w:val="23813585"/>
    <w:rsid w:val="24263C9F"/>
    <w:rsid w:val="257F603C"/>
    <w:rsid w:val="265A56CD"/>
    <w:rsid w:val="2749750B"/>
    <w:rsid w:val="2A0B0C48"/>
    <w:rsid w:val="2A1C4338"/>
    <w:rsid w:val="2A5E6918"/>
    <w:rsid w:val="2A6B332D"/>
    <w:rsid w:val="2BA913EE"/>
    <w:rsid w:val="2BAC0AA4"/>
    <w:rsid w:val="2D10562A"/>
    <w:rsid w:val="2FBB0A8B"/>
    <w:rsid w:val="2FC35424"/>
    <w:rsid w:val="3067018D"/>
    <w:rsid w:val="30857F08"/>
    <w:rsid w:val="323B70AC"/>
    <w:rsid w:val="33222871"/>
    <w:rsid w:val="33631CF3"/>
    <w:rsid w:val="33686F6B"/>
    <w:rsid w:val="33D61FD6"/>
    <w:rsid w:val="340764A6"/>
    <w:rsid w:val="34506B32"/>
    <w:rsid w:val="349657CB"/>
    <w:rsid w:val="36BA3DC9"/>
    <w:rsid w:val="37872A72"/>
    <w:rsid w:val="389E0643"/>
    <w:rsid w:val="38D53AA9"/>
    <w:rsid w:val="39265BBC"/>
    <w:rsid w:val="39983391"/>
    <w:rsid w:val="3A5C4D14"/>
    <w:rsid w:val="3A8F52C6"/>
    <w:rsid w:val="3B60507E"/>
    <w:rsid w:val="3D1A5C91"/>
    <w:rsid w:val="3D4C1B1F"/>
    <w:rsid w:val="41C53CBB"/>
    <w:rsid w:val="41F075D0"/>
    <w:rsid w:val="43C30E56"/>
    <w:rsid w:val="44753C92"/>
    <w:rsid w:val="450C2AA6"/>
    <w:rsid w:val="48393B40"/>
    <w:rsid w:val="48B30830"/>
    <w:rsid w:val="4CF00435"/>
    <w:rsid w:val="502D195C"/>
    <w:rsid w:val="5109171D"/>
    <w:rsid w:val="52305861"/>
    <w:rsid w:val="5419033D"/>
    <w:rsid w:val="55E65214"/>
    <w:rsid w:val="56020C49"/>
    <w:rsid w:val="56A9763A"/>
    <w:rsid w:val="58EF54CD"/>
    <w:rsid w:val="5999325B"/>
    <w:rsid w:val="59B54097"/>
    <w:rsid w:val="5A0B2922"/>
    <w:rsid w:val="5B3A30D6"/>
    <w:rsid w:val="602B4D39"/>
    <w:rsid w:val="605F149E"/>
    <w:rsid w:val="61345013"/>
    <w:rsid w:val="62A34C81"/>
    <w:rsid w:val="62C71697"/>
    <w:rsid w:val="64A218E9"/>
    <w:rsid w:val="653E0178"/>
    <w:rsid w:val="67253BA7"/>
    <w:rsid w:val="69A57710"/>
    <w:rsid w:val="6B375E4A"/>
    <w:rsid w:val="6C183363"/>
    <w:rsid w:val="6C2E4CD7"/>
    <w:rsid w:val="6EAB5F37"/>
    <w:rsid w:val="6EFA628A"/>
    <w:rsid w:val="6FF45841"/>
    <w:rsid w:val="708F2D52"/>
    <w:rsid w:val="71B50B5E"/>
    <w:rsid w:val="72592CCF"/>
    <w:rsid w:val="73141C34"/>
    <w:rsid w:val="75B52B22"/>
    <w:rsid w:val="76A625F4"/>
    <w:rsid w:val="77763A1C"/>
    <w:rsid w:val="78026DB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character" w:styleId="6">
    <w:name w:val="Strong"/>
    <w:basedOn w:val="5"/>
    <w:autoRedefine/>
    <w:qFormat/>
    <w:uiPriority w:val="0"/>
    <w:rPr>
      <w:b/>
    </w:rPr>
  </w:style>
  <w:style w:type="character" w:styleId="7">
    <w:name w:val="FollowedHyperlink"/>
    <w:basedOn w:val="5"/>
    <w:autoRedefine/>
    <w:qFormat/>
    <w:uiPriority w:val="0"/>
    <w:rPr>
      <w:color w:val="2490F8"/>
      <w:u w:val="none"/>
    </w:rPr>
  </w:style>
  <w:style w:type="character" w:styleId="8">
    <w:name w:val="Emphasis"/>
    <w:basedOn w:val="5"/>
    <w:autoRedefine/>
    <w:qFormat/>
    <w:uiPriority w:val="0"/>
  </w:style>
  <w:style w:type="character" w:styleId="9">
    <w:name w:val="HTML Definition"/>
    <w:basedOn w:val="5"/>
    <w:autoRedefine/>
    <w:qFormat/>
    <w:uiPriority w:val="0"/>
  </w:style>
  <w:style w:type="character" w:styleId="10">
    <w:name w:val="HTML Variable"/>
    <w:basedOn w:val="5"/>
    <w:autoRedefine/>
    <w:qFormat/>
    <w:uiPriority w:val="0"/>
  </w:style>
  <w:style w:type="character" w:styleId="11">
    <w:name w:val="Hyperlink"/>
    <w:basedOn w:val="5"/>
    <w:unhideWhenUsed/>
    <w:qFormat/>
    <w:uiPriority w:val="99"/>
    <w:rPr>
      <w:color w:val="0000FF"/>
      <w:u w:val="single"/>
    </w:rPr>
  </w:style>
  <w:style w:type="character" w:styleId="12">
    <w:name w:val="HTML Code"/>
    <w:basedOn w:val="5"/>
    <w:autoRedefine/>
    <w:qFormat/>
    <w:uiPriority w:val="0"/>
    <w:rPr>
      <w:rFonts w:ascii="微软雅黑" w:hAnsi="微软雅黑" w:eastAsia="微软雅黑" w:cs="微软雅黑"/>
      <w:sz w:val="20"/>
    </w:rPr>
  </w:style>
  <w:style w:type="character" w:styleId="13">
    <w:name w:val="HTML Cite"/>
    <w:basedOn w:val="5"/>
    <w:autoRedefine/>
    <w:qFormat/>
    <w:uiPriority w:val="0"/>
  </w:style>
  <w:style w:type="paragraph" w:customStyle="1" w:styleId="14">
    <w:name w:val="列出段落1"/>
    <w:basedOn w:val="1"/>
    <w:autoRedefine/>
    <w:unhideWhenUsed/>
    <w:qFormat/>
    <w:uiPriority w:val="0"/>
    <w:pPr>
      <w:ind w:firstLine="420" w:firstLineChars="200"/>
    </w:pPr>
  </w:style>
  <w:style w:type="paragraph" w:styleId="15">
    <w:name w:val="List Paragraph"/>
    <w:basedOn w:val="1"/>
    <w:autoRedefine/>
    <w:unhideWhenUsed/>
    <w:qFormat/>
    <w:uiPriority w:val="34"/>
    <w:pPr>
      <w:ind w:firstLine="420" w:firstLineChars="200"/>
    </w:pPr>
  </w:style>
  <w:style w:type="character" w:customStyle="1" w:styleId="16">
    <w:name w:val="font11"/>
    <w:basedOn w:val="5"/>
    <w:autoRedefine/>
    <w:qFormat/>
    <w:uiPriority w:val="0"/>
    <w:rPr>
      <w:rFonts w:hint="eastAsia" w:ascii="宋体" w:hAnsi="宋体" w:eastAsia="宋体" w:cs="宋体"/>
      <w:color w:val="000000"/>
      <w:sz w:val="22"/>
      <w:szCs w:val="22"/>
      <w:u w:val="none"/>
    </w:rPr>
  </w:style>
  <w:style w:type="character" w:customStyle="1" w:styleId="17">
    <w:name w:val="font01"/>
    <w:basedOn w:val="5"/>
    <w:autoRedefine/>
    <w:qFormat/>
    <w:uiPriority w:val="0"/>
    <w:rPr>
      <w:rFonts w:hint="eastAsia" w:ascii="宋体" w:hAnsi="宋体" w:eastAsia="宋体" w:cs="宋体"/>
      <w:color w:val="FF0000"/>
      <w:sz w:val="22"/>
      <w:szCs w:val="22"/>
      <w:u w:val="none"/>
    </w:rPr>
  </w:style>
  <w:style w:type="character" w:customStyle="1" w:styleId="18">
    <w:name w:val="font21"/>
    <w:basedOn w:val="5"/>
    <w:autoRedefine/>
    <w:qFormat/>
    <w:uiPriority w:val="0"/>
    <w:rPr>
      <w:rFonts w:hint="eastAsia" w:ascii="宋体" w:hAnsi="宋体" w:eastAsia="宋体" w:cs="宋体"/>
      <w:color w:val="FF0000"/>
      <w:sz w:val="22"/>
      <w:szCs w:val="22"/>
      <w:u w:val="none"/>
    </w:rPr>
  </w:style>
  <w:style w:type="character" w:customStyle="1" w:styleId="19">
    <w:name w:val="hilite"/>
    <w:basedOn w:val="5"/>
    <w:autoRedefine/>
    <w:qFormat/>
    <w:uiPriority w:val="0"/>
    <w:rPr>
      <w:color w:val="FFFFFF"/>
      <w:shd w:val="clear" w:fill="666666"/>
    </w:rPr>
  </w:style>
  <w:style w:type="character" w:customStyle="1" w:styleId="20">
    <w:name w:val="icontext1"/>
    <w:basedOn w:val="5"/>
    <w:autoRedefine/>
    <w:qFormat/>
    <w:uiPriority w:val="0"/>
  </w:style>
  <w:style w:type="character" w:customStyle="1" w:styleId="21">
    <w:name w:val="icontext11"/>
    <w:basedOn w:val="5"/>
    <w:autoRedefine/>
    <w:qFormat/>
    <w:uiPriority w:val="0"/>
  </w:style>
  <w:style w:type="character" w:customStyle="1" w:styleId="22">
    <w:name w:val="icontext12"/>
    <w:basedOn w:val="5"/>
    <w:qFormat/>
    <w:uiPriority w:val="0"/>
  </w:style>
  <w:style w:type="character" w:customStyle="1" w:styleId="23">
    <w:name w:val="cdropright"/>
    <w:basedOn w:val="5"/>
    <w:autoRedefine/>
    <w:qFormat/>
    <w:uiPriority w:val="0"/>
  </w:style>
  <w:style w:type="character" w:customStyle="1" w:styleId="24">
    <w:name w:val="choose-status"/>
    <w:basedOn w:val="5"/>
    <w:autoRedefine/>
    <w:qFormat/>
    <w:uiPriority w:val="0"/>
    <w:rPr>
      <w:color w:val="1F85EC"/>
      <w:shd w:val="clear" w:fill="FFFFFF"/>
    </w:rPr>
  </w:style>
  <w:style w:type="character" w:customStyle="1" w:styleId="25">
    <w:name w:val="cdropleft"/>
    <w:basedOn w:val="5"/>
    <w:autoRedefine/>
    <w:qFormat/>
    <w:uiPriority w:val="0"/>
  </w:style>
  <w:style w:type="character" w:customStyle="1" w:styleId="26">
    <w:name w:val="w32"/>
    <w:basedOn w:val="5"/>
    <w:autoRedefine/>
    <w:qFormat/>
    <w:uiPriority w:val="0"/>
  </w:style>
  <w:style w:type="character" w:customStyle="1" w:styleId="27">
    <w:name w:val="active"/>
    <w:basedOn w:val="5"/>
    <w:autoRedefine/>
    <w:qFormat/>
    <w:uiPriority w:val="0"/>
    <w:rPr>
      <w:color w:val="00FF00"/>
      <w:shd w:val="clear" w:fill="111111"/>
    </w:rPr>
  </w:style>
  <w:style w:type="character" w:customStyle="1" w:styleId="28">
    <w:name w:val="pagechatarealistclose_box"/>
    <w:basedOn w:val="5"/>
    <w:autoRedefine/>
    <w:qFormat/>
    <w:uiPriority w:val="0"/>
  </w:style>
  <w:style w:type="character" w:customStyle="1" w:styleId="29">
    <w:name w:val="pagechatarealistclose_box1"/>
    <w:basedOn w:val="5"/>
    <w:autoRedefine/>
    <w:qFormat/>
    <w:uiPriority w:val="0"/>
  </w:style>
  <w:style w:type="character" w:customStyle="1" w:styleId="30">
    <w:name w:val="layui-layer-tabnow"/>
    <w:basedOn w:val="5"/>
    <w:autoRedefine/>
    <w:qFormat/>
    <w:uiPriority w:val="0"/>
    <w:rPr>
      <w:bdr w:val="single" w:color="CCCCCC" w:sz="6" w:space="0"/>
      <w:shd w:val="clear" w:fill="FFFFFF"/>
    </w:rPr>
  </w:style>
  <w:style w:type="character" w:customStyle="1" w:styleId="31">
    <w:name w:val="first-child"/>
    <w:basedOn w:val="5"/>
    <w:autoRedefine/>
    <w:qFormat/>
    <w:uiPriority w:val="0"/>
  </w:style>
  <w:style w:type="character" w:customStyle="1" w:styleId="32">
    <w:name w:val="ico1654"/>
    <w:basedOn w:val="5"/>
    <w:autoRedefine/>
    <w:qFormat/>
    <w:uiPriority w:val="0"/>
  </w:style>
  <w:style w:type="character" w:customStyle="1" w:styleId="33">
    <w:name w:val="ico1655"/>
    <w:basedOn w:val="5"/>
    <w:autoRedefine/>
    <w:qFormat/>
    <w:uiPriority w:val="0"/>
  </w:style>
  <w:style w:type="character" w:customStyle="1" w:styleId="34">
    <w:name w:val="drapbtn"/>
    <w:basedOn w:val="5"/>
    <w:autoRedefine/>
    <w:qFormat/>
    <w:uiPriority w:val="0"/>
  </w:style>
  <w:style w:type="character" w:customStyle="1" w:styleId="35">
    <w:name w:val="associateddata"/>
    <w:basedOn w:val="5"/>
    <w:autoRedefine/>
    <w:qFormat/>
    <w:uiPriority w:val="0"/>
    <w:rPr>
      <w:shd w:val="clear" w:fill="50A6F9"/>
    </w:rPr>
  </w:style>
  <w:style w:type="character" w:customStyle="1" w:styleId="36">
    <w:name w:val="cy"/>
    <w:basedOn w:val="5"/>
    <w:autoRedefine/>
    <w:qFormat/>
    <w:uiPriority w:val="0"/>
  </w:style>
  <w:style w:type="character" w:customStyle="1" w:styleId="37">
    <w:name w:val="after"/>
    <w:basedOn w:val="5"/>
    <w:autoRedefine/>
    <w:qFormat/>
    <w:uiPriority w:val="0"/>
    <w:rPr>
      <w:sz w:val="0"/>
      <w:szCs w:val="0"/>
    </w:rPr>
  </w:style>
  <w:style w:type="character" w:customStyle="1" w:styleId="38">
    <w:name w:val="tmpztreemove_arrow"/>
    <w:basedOn w:val="5"/>
    <w:autoRedefine/>
    <w:qFormat/>
    <w:uiPriority w:val="0"/>
  </w:style>
  <w:style w:type="character" w:customStyle="1" w:styleId="39">
    <w:name w:val="icontext2"/>
    <w:basedOn w:val="5"/>
    <w:autoRedefine/>
    <w:qFormat/>
    <w:uiPriority w:val="0"/>
  </w:style>
  <w:style w:type="character" w:customStyle="1" w:styleId="40">
    <w:name w:val="icontext3"/>
    <w:basedOn w:val="5"/>
    <w:autoRedefine/>
    <w:qFormat/>
    <w:uiPriority w:val="0"/>
  </w:style>
  <w:style w:type="character" w:customStyle="1" w:styleId="41">
    <w:name w:val="iconline2"/>
    <w:basedOn w:val="5"/>
    <w:autoRedefine/>
    <w:qFormat/>
    <w:uiPriority w:val="0"/>
  </w:style>
  <w:style w:type="character" w:customStyle="1" w:styleId="42">
    <w:name w:val="iconline21"/>
    <w:basedOn w:val="5"/>
    <w:autoRedefine/>
    <w:qFormat/>
    <w:uiPriority w:val="0"/>
  </w:style>
  <w:style w:type="character" w:customStyle="1" w:styleId="43">
    <w:name w:val="button4"/>
    <w:basedOn w:val="5"/>
    <w:autoRedefine/>
    <w:qFormat/>
    <w:uiPriority w:val="0"/>
  </w:style>
  <w:style w:type="character" w:customStyle="1" w:styleId="44">
    <w:name w:val="button"/>
    <w:basedOn w:val="5"/>
    <w:autoRedefine/>
    <w:qFormat/>
    <w:uiPriority w:val="0"/>
  </w:style>
  <w:style w:type="character" w:customStyle="1" w:styleId="45">
    <w:name w:val="estimate_gray"/>
    <w:basedOn w:val="5"/>
    <w:autoRedefine/>
    <w:qFormat/>
    <w:uiPriority w:val="0"/>
  </w:style>
  <w:style w:type="character" w:customStyle="1" w:styleId="46">
    <w:name w:val="estimate_gray1"/>
    <w:basedOn w:val="5"/>
    <w:autoRedefine/>
    <w:qFormat/>
    <w:uiPriority w:val="0"/>
    <w:rPr>
      <w:color w:val="FFFFFF"/>
    </w:rPr>
  </w:style>
  <w:style w:type="character" w:customStyle="1" w:styleId="47">
    <w:name w:val="liked_gray"/>
    <w:basedOn w:val="5"/>
    <w:autoRedefine/>
    <w:qFormat/>
    <w:uiPriority w:val="0"/>
    <w:rPr>
      <w:color w:val="FFFFFF"/>
    </w:rPr>
  </w:style>
  <w:style w:type="character" w:customStyle="1" w:styleId="48">
    <w:name w:val="ico1656"/>
    <w:basedOn w:val="5"/>
    <w:autoRedefine/>
    <w:qFormat/>
    <w:uiPriority w:val="0"/>
  </w:style>
  <w:style w:type="character" w:customStyle="1" w:styleId="49">
    <w:name w:val="ico1657"/>
    <w:basedOn w:val="5"/>
    <w:autoRedefine/>
    <w:qFormat/>
    <w:uiPriority w:val="0"/>
  </w:style>
  <w:style w:type="character" w:customStyle="1" w:styleId="50">
    <w:name w:val="moreaction32"/>
    <w:basedOn w:val="5"/>
    <w:autoRedefine/>
    <w:qFormat/>
    <w:uiPriority w:val="0"/>
  </w:style>
  <w:style w:type="character" w:customStyle="1" w:styleId="51">
    <w:name w:val="copytolefthover"/>
    <w:basedOn w:val="5"/>
    <w:autoRedefine/>
    <w:qFormat/>
    <w:uiPriority w:val="0"/>
    <w:rPr>
      <w:vanish/>
    </w:rPr>
  </w:style>
  <w:style w:type="character" w:customStyle="1" w:styleId="52">
    <w:name w:val="active2"/>
    <w:basedOn w:val="5"/>
    <w:autoRedefine/>
    <w:qFormat/>
    <w:uiPriority w:val="0"/>
    <w:rPr>
      <w:color w:val="00FF00"/>
      <w:shd w:val="clear" w:fill="111111"/>
    </w:rPr>
  </w:style>
  <w:style w:type="character" w:customStyle="1" w:styleId="53">
    <w:name w:val="choosename"/>
    <w:basedOn w:val="5"/>
    <w:autoRedefine/>
    <w:qFormat/>
    <w:uiPriority w:val="0"/>
  </w:style>
  <w:style w:type="character" w:customStyle="1" w:styleId="54">
    <w:name w:val="hover43"/>
    <w:basedOn w:val="5"/>
    <w:autoRedefine/>
    <w:qFormat/>
    <w:uiPriority w:val="0"/>
    <w:rPr>
      <w:color w:val="FFFFFF"/>
    </w:rPr>
  </w:style>
  <w:style w:type="character" w:customStyle="1" w:styleId="55">
    <w:name w:val="hover44"/>
    <w:basedOn w:val="5"/>
    <w:autoRedefine/>
    <w:qFormat/>
    <w:uiPriority w:val="0"/>
    <w:rPr>
      <w:color w:val="2490F8"/>
    </w:rPr>
  </w:style>
  <w:style w:type="character" w:customStyle="1" w:styleId="56">
    <w:name w:val="viewscale"/>
    <w:basedOn w:val="5"/>
    <w:autoRedefine/>
    <w:qFormat/>
    <w:uiPriority w:val="0"/>
    <w:rPr>
      <w:color w:val="FFFFFF"/>
      <w:sz w:val="24"/>
      <w:szCs w:val="24"/>
    </w:rPr>
  </w:style>
  <w:style w:type="character" w:customStyle="1" w:styleId="57">
    <w:name w:val="active7"/>
    <w:basedOn w:val="5"/>
    <w:autoRedefine/>
    <w:qFormat/>
    <w:uiPriority w:val="0"/>
    <w:rPr>
      <w:color w:val="00FF00"/>
      <w:shd w:val="clear" w:fill="111111"/>
    </w:rPr>
  </w:style>
  <w:style w:type="character" w:customStyle="1" w:styleId="58">
    <w:name w:val="ico16"/>
    <w:basedOn w:val="5"/>
    <w:autoRedefine/>
    <w:qFormat/>
    <w:uiPriority w:val="0"/>
  </w:style>
  <w:style w:type="character" w:customStyle="1" w:styleId="59">
    <w:name w:val="ico161"/>
    <w:basedOn w:val="5"/>
    <w:autoRedefine/>
    <w:qFormat/>
    <w:uiPriority w:val="0"/>
  </w:style>
  <w:style w:type="character" w:customStyle="1" w:styleId="60">
    <w:name w:val="ico162"/>
    <w:basedOn w:val="5"/>
    <w:autoRedefine/>
    <w:qFormat/>
    <w:uiPriority w:val="0"/>
  </w:style>
  <w:style w:type="character" w:customStyle="1" w:styleId="61">
    <w:name w:val="ico163"/>
    <w:basedOn w:val="5"/>
    <w:autoRedefine/>
    <w:qFormat/>
    <w:uiPriority w:val="0"/>
  </w:style>
  <w:style w:type="character" w:customStyle="1" w:styleId="62">
    <w:name w:val="active5"/>
    <w:basedOn w:val="5"/>
    <w:autoRedefine/>
    <w:qFormat/>
    <w:uiPriority w:val="0"/>
    <w:rPr>
      <w:color w:val="00FF00"/>
      <w:shd w:val="clear" w:fill="111111"/>
    </w:rPr>
  </w:style>
  <w:style w:type="character" w:customStyle="1" w:styleId="63">
    <w:name w:val="ico1652"/>
    <w:basedOn w:val="5"/>
    <w:autoRedefine/>
    <w:qFormat/>
    <w:uiPriority w:val="0"/>
  </w:style>
  <w:style w:type="character" w:customStyle="1" w:styleId="64">
    <w:name w:val="ico1653"/>
    <w:basedOn w:val="5"/>
    <w:autoRedefine/>
    <w:qFormat/>
    <w:uiPriority w:val="0"/>
  </w:style>
  <w:style w:type="character" w:customStyle="1" w:styleId="65">
    <w:name w:val="hover41"/>
    <w:basedOn w:val="5"/>
    <w:autoRedefine/>
    <w:qFormat/>
    <w:uiPriority w:val="0"/>
    <w:rPr>
      <w:color w:val="FFFFFF"/>
    </w:rPr>
  </w:style>
  <w:style w:type="character" w:customStyle="1" w:styleId="66">
    <w:name w:val="hover42"/>
    <w:basedOn w:val="5"/>
    <w:autoRedefine/>
    <w:qFormat/>
    <w:uiPriority w:val="0"/>
    <w:rPr>
      <w:color w:val="2490F8"/>
    </w:rPr>
  </w:style>
  <w:style w:type="character" w:customStyle="1" w:styleId="67">
    <w:name w:val="hilite6"/>
    <w:basedOn w:val="5"/>
    <w:autoRedefine/>
    <w:qFormat/>
    <w:uiPriority w:val="0"/>
    <w:rPr>
      <w:color w:val="FFFFFF"/>
      <w:shd w:val="clear" w:fill="666666"/>
    </w:rPr>
  </w:style>
  <w:style w:type="character" w:customStyle="1" w:styleId="68">
    <w:name w:val="active3"/>
    <w:basedOn w:val="5"/>
    <w:autoRedefine/>
    <w:qFormat/>
    <w:uiPriority w:val="0"/>
    <w:rPr>
      <w:color w:val="00FF00"/>
      <w:shd w:val="clear" w:fill="111111"/>
    </w:rPr>
  </w:style>
  <w:style w:type="character" w:customStyle="1" w:styleId="69">
    <w:name w:val="active6"/>
    <w:basedOn w:val="5"/>
    <w:autoRedefine/>
    <w:qFormat/>
    <w:uiPriority w:val="0"/>
    <w:rPr>
      <w:color w:val="00FF00"/>
      <w:shd w:val="clear" w:fill="111111"/>
    </w:rPr>
  </w:style>
  <w:style w:type="character" w:customStyle="1" w:styleId="70">
    <w:name w:val="active4"/>
    <w:basedOn w:val="5"/>
    <w:qFormat/>
    <w:uiPriority w:val="0"/>
    <w:rPr>
      <w:color w:val="00FF00"/>
      <w:shd w:val="clear" w:fill="111111"/>
    </w:rPr>
  </w:style>
  <w:style w:type="character" w:customStyle="1" w:styleId="71">
    <w:name w:val="hilite5"/>
    <w:basedOn w:val="5"/>
    <w:qFormat/>
    <w:uiPriority w:val="0"/>
    <w:rPr>
      <w:color w:val="FFFFFF"/>
      <w:shd w:val="clear" w:fill="666666"/>
    </w:rPr>
  </w:style>
  <w:style w:type="character" w:customStyle="1" w:styleId="72">
    <w:name w:val="edit_class"/>
    <w:basedOn w:val="5"/>
    <w:uiPriority w:val="0"/>
  </w:style>
  <w:style w:type="character" w:customStyle="1" w:styleId="73">
    <w:name w:val="biggerthanmax"/>
    <w:basedOn w:val="5"/>
    <w:uiPriority w:val="0"/>
    <w:rPr>
      <w:shd w:val="clear" w:fill="FFFF00"/>
    </w:rPr>
  </w:style>
  <w:style w:type="character" w:customStyle="1" w:styleId="74">
    <w:name w:val="design_class"/>
    <w:basedOn w:val="5"/>
    <w:uiPriority w:val="0"/>
  </w:style>
  <w:style w:type="character" w:customStyle="1" w:styleId="75">
    <w:name w:val="xdrichtextbox2"/>
    <w:basedOn w:val="5"/>
    <w:uiPriority w:val="0"/>
  </w:style>
  <w:style w:type="character" w:customStyle="1" w:styleId="76">
    <w:name w:val="browse_class&gt;span"/>
    <w:basedOn w:val="5"/>
    <w:uiPriority w:val="0"/>
  </w:style>
  <w:style w:type="character" w:customStyle="1" w:styleId="77">
    <w:name w:val="xdrichtextbox"/>
    <w:basedOn w:val="5"/>
    <w:uiPriority w:val="0"/>
    <w:rPr>
      <w:color w:val="auto"/>
      <w:sz w:val="18"/>
      <w:szCs w:val="18"/>
      <w:u w:val="none"/>
      <w:bdr w:val="single" w:color="DCDCDC" w:sz="8" w:space="0"/>
      <w:shd w:val="clear" w:fill="auto"/>
    </w:rPr>
  </w:style>
  <w:style w:type="character" w:customStyle="1" w:styleId="78">
    <w:name w:val="active8"/>
    <w:basedOn w:val="5"/>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7125</Words>
  <Characters>7742</Characters>
  <Lines>0</Lines>
  <Paragraphs>0</Paragraphs>
  <TotalTime>11</TotalTime>
  <ScaleCrop>false</ScaleCrop>
  <LinksUpToDate>false</LinksUpToDate>
  <CharactersWithSpaces>8165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2024-07-17T01:07:45Z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C34A15E2AD9E45DAB881EB619547230A_12</vt:lpwstr>
  </property>
</Properties>
</file>