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C3AF8">
      <w:pPr>
        <w:tabs>
          <w:tab w:val="left" w:pos="720"/>
        </w:tabs>
        <w:spacing w:before="120" w:beforeLines="50" w:after="120" w:afterLines="50" w:line="360" w:lineRule="auto"/>
        <w:jc w:val="center"/>
        <w:rPr>
          <w:b/>
          <w:sz w:val="28"/>
          <w:szCs w:val="28"/>
        </w:rPr>
      </w:pPr>
      <w:r>
        <w:rPr>
          <w:rFonts w:hint="eastAsia"/>
          <w:b/>
          <w:sz w:val="28"/>
          <w:szCs w:val="28"/>
        </w:rPr>
        <w:t>广州城投综合能源投资经营管理有限公司</w:t>
      </w:r>
    </w:p>
    <w:p w14:paraId="1D26283B">
      <w:pPr>
        <w:tabs>
          <w:tab w:val="left" w:pos="720"/>
        </w:tabs>
        <w:spacing w:before="120" w:beforeLines="50" w:after="120" w:afterLines="50" w:line="360" w:lineRule="auto"/>
        <w:jc w:val="center"/>
        <w:rPr>
          <w:b/>
          <w:sz w:val="28"/>
          <w:szCs w:val="28"/>
        </w:rPr>
      </w:pPr>
      <w:r>
        <w:rPr>
          <w:rFonts w:hint="eastAsia"/>
          <w:b/>
          <w:sz w:val="28"/>
          <w:szCs w:val="28"/>
        </w:rPr>
        <w:t>研发管沟B分支、E分支、中环21-23水电仓（共11个仓段）远程监控</w:t>
      </w:r>
    </w:p>
    <w:p w14:paraId="4D1F7744">
      <w:pPr>
        <w:tabs>
          <w:tab w:val="left" w:pos="720"/>
        </w:tabs>
        <w:spacing w:before="120" w:beforeLines="50" w:after="120" w:afterLines="50" w:line="360" w:lineRule="auto"/>
        <w:jc w:val="center"/>
        <w:rPr>
          <w:b/>
          <w:sz w:val="28"/>
          <w:szCs w:val="28"/>
        </w:rPr>
      </w:pPr>
      <w:r>
        <w:rPr>
          <w:rFonts w:hint="eastAsia"/>
          <w:b/>
          <w:sz w:val="28"/>
          <w:szCs w:val="28"/>
        </w:rPr>
        <w:t>竞选文件（第二次）</w:t>
      </w:r>
    </w:p>
    <w:p w14:paraId="3EB0F770">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14:paraId="666E7EDC">
      <w:pPr>
        <w:pStyle w:val="37"/>
        <w:numPr>
          <w:ilvl w:val="1"/>
          <w:numId w:val="2"/>
        </w:numPr>
        <w:spacing w:before="120" w:beforeLines="50" w:after="120" w:afterLines="50" w:line="360" w:lineRule="auto"/>
        <w:ind w:firstLineChars="0"/>
        <w:rPr>
          <w:sz w:val="24"/>
        </w:rPr>
      </w:pPr>
      <w:r>
        <w:rPr>
          <w:rFonts w:hint="eastAsia"/>
          <w:sz w:val="24"/>
        </w:rPr>
        <w:t>项目名称：研发管沟</w:t>
      </w:r>
      <w:r>
        <w:rPr>
          <w:sz w:val="24"/>
        </w:rPr>
        <w:t>B</w:t>
      </w:r>
      <w:r>
        <w:rPr>
          <w:rFonts w:hint="eastAsia"/>
          <w:sz w:val="24"/>
        </w:rPr>
        <w:t>分支、</w:t>
      </w:r>
      <w:r>
        <w:rPr>
          <w:sz w:val="24"/>
        </w:rPr>
        <w:t>E</w:t>
      </w:r>
      <w:r>
        <w:rPr>
          <w:rFonts w:hint="eastAsia"/>
          <w:sz w:val="24"/>
        </w:rPr>
        <w:t>分支、中环</w:t>
      </w:r>
      <w:r>
        <w:rPr>
          <w:sz w:val="24"/>
        </w:rPr>
        <w:t>21-23</w:t>
      </w:r>
      <w:r>
        <w:rPr>
          <w:rFonts w:hint="eastAsia"/>
          <w:sz w:val="24"/>
        </w:rPr>
        <w:t>水电仓（共</w:t>
      </w:r>
      <w:r>
        <w:rPr>
          <w:sz w:val="24"/>
        </w:rPr>
        <w:t>11</w:t>
      </w:r>
      <w:r>
        <w:rPr>
          <w:rFonts w:hint="eastAsia"/>
          <w:sz w:val="24"/>
        </w:rPr>
        <w:t>个仓段）远程监控</w:t>
      </w:r>
      <w:r>
        <w:rPr>
          <w:rFonts w:hint="eastAsia"/>
          <w:sz w:val="24"/>
          <w:lang w:eastAsia="zh-CN"/>
        </w:rPr>
        <w:t>（</w:t>
      </w:r>
      <w:r>
        <w:rPr>
          <w:rFonts w:hint="eastAsia"/>
          <w:sz w:val="24"/>
          <w:lang w:val="en-US" w:eastAsia="zh-CN"/>
        </w:rPr>
        <w:t>第二次）</w:t>
      </w:r>
      <w:bookmarkStart w:id="24" w:name="_GoBack"/>
      <w:bookmarkEnd w:id="24"/>
    </w:p>
    <w:p w14:paraId="2FDBAA7F">
      <w:pPr>
        <w:numPr>
          <w:ilvl w:val="1"/>
          <w:numId w:val="2"/>
        </w:numPr>
        <w:spacing w:before="120" w:beforeLines="50" w:after="120" w:afterLines="50" w:line="360" w:lineRule="auto"/>
        <w:ind w:left="0" w:firstLine="480" w:firstLineChars="200"/>
        <w:rPr>
          <w:sz w:val="24"/>
        </w:rPr>
      </w:pPr>
      <w:r>
        <w:rPr>
          <w:rFonts w:hint="eastAsia"/>
          <w:sz w:val="24"/>
        </w:rPr>
        <w:t>项目地点：广州大学城</w:t>
      </w:r>
    </w:p>
    <w:p w14:paraId="5A7C6F28">
      <w:pPr>
        <w:numPr>
          <w:ilvl w:val="1"/>
          <w:numId w:val="2"/>
        </w:numPr>
        <w:spacing w:before="120" w:beforeLines="50" w:after="120" w:afterLines="50" w:line="360" w:lineRule="auto"/>
        <w:ind w:left="0" w:firstLine="480" w:firstLineChars="200"/>
        <w:rPr>
          <w:sz w:val="24"/>
        </w:rPr>
      </w:pPr>
      <w:r>
        <w:rPr>
          <w:rFonts w:hint="eastAsia"/>
          <w:sz w:val="24"/>
        </w:rPr>
        <w:t>采购限价：人民</w:t>
      </w:r>
      <w:r>
        <w:rPr>
          <w:rFonts w:hint="eastAsia" w:ascii="宋体" w:hAnsi="宋体"/>
          <w:sz w:val="24"/>
        </w:rPr>
        <w:t>币</w:t>
      </w:r>
      <w:r>
        <w:rPr>
          <w:rFonts w:ascii="宋体" w:hAnsi="宋体"/>
          <w:sz w:val="24"/>
        </w:rPr>
        <w:t>55</w:t>
      </w:r>
      <w:r>
        <w:rPr>
          <w:rFonts w:hint="eastAsia" w:ascii="宋体" w:hAnsi="宋体"/>
          <w:sz w:val="24"/>
        </w:rPr>
        <w:t>万</w:t>
      </w:r>
      <w:r>
        <w:rPr>
          <w:rFonts w:hint="eastAsia"/>
          <w:sz w:val="24"/>
        </w:rPr>
        <w:t>元（投标报价超过采购限价为无效投标）。</w:t>
      </w:r>
    </w:p>
    <w:p w14:paraId="47EE884C">
      <w:pPr>
        <w:numPr>
          <w:ilvl w:val="1"/>
          <w:numId w:val="2"/>
        </w:numPr>
        <w:spacing w:before="120" w:beforeLines="50" w:after="120" w:afterLines="50" w:line="360" w:lineRule="auto"/>
        <w:ind w:left="0" w:firstLine="480" w:firstLineChars="200"/>
        <w:rPr>
          <w:sz w:val="24"/>
        </w:rPr>
      </w:pPr>
      <w:r>
        <w:rPr>
          <w:rFonts w:hint="eastAsia"/>
          <w:sz w:val="24"/>
        </w:rPr>
        <w:t>项目概况</w:t>
      </w:r>
    </w:p>
    <w:p w14:paraId="770E04DF">
      <w:pPr>
        <w:pStyle w:val="16"/>
        <w:shd w:val="clear" w:color="auto" w:fill="FFFFFF"/>
        <w:wordWrap w:val="0"/>
        <w:spacing w:line="360" w:lineRule="auto"/>
        <w:ind w:firstLine="480" w:firstLineChars="200"/>
        <w:rPr>
          <w:rFonts w:ascii="Times New Roman" w:hAnsi="Times New Roman" w:cs="Times New Roman"/>
          <w:kern w:val="2"/>
        </w:rPr>
      </w:pPr>
      <w:r>
        <w:rPr>
          <w:rFonts w:hint="eastAsia" w:ascii="Times New Roman" w:hAnsi="Times New Roman" w:cs="Times New Roman"/>
          <w:kern w:val="2"/>
        </w:rPr>
        <w:t>管沟B分支、E分支、中环21-23水电仓（共11个仓段），未安装监控监测系统，可能导致漏水不能及时发生，发生财产损失；无气体浓度探测导致人员伤害事故；加之原自控系统自投运至今，因系统工艺变化，环境监测设备有增减，系统存在很多无用的功能块、变量、画面、关联的报警、历史数据等，导致运行的系统软件垃圾文件太多，影响系统的安全稳定运行，目前主要存在以下问题：</w:t>
      </w:r>
    </w:p>
    <w:p w14:paraId="5A2B356B">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由于无法提前通风，B分支、E分支、中环21-23水电仓段比其它仓段更潮湿，容易造成电气设备故障。</w:t>
      </w:r>
    </w:p>
    <w:p w14:paraId="3E4A2839">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水泵运行状态不能在线监控，遇故障不能及时发现处理，造成烧坏水泵。</w:t>
      </w:r>
    </w:p>
    <w:p w14:paraId="2546A33B">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值班人员无法及时知道B分支、E分支、中环21-23水电仓仓段水浸情况，不能及时采取有效应急措施。</w:t>
      </w:r>
    </w:p>
    <w:p w14:paraId="2E26F019">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环境监测设备停用、设备线路老化造成自控系统误报警增多，存在安全隐患。</w:t>
      </w:r>
    </w:p>
    <w:p w14:paraId="48885A75">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自控系统数据不能远传至枢纽楼。</w:t>
      </w:r>
    </w:p>
    <w:p w14:paraId="79CF206A">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自控系统上位机软件、</w:t>
      </w:r>
      <w:r>
        <w:rPr>
          <w:rFonts w:ascii="Times New Roman" w:hAnsi="Times New Roman" w:cs="Times New Roman"/>
          <w:kern w:val="2"/>
        </w:rPr>
        <w:t>PLC</w:t>
      </w:r>
      <w:r>
        <w:rPr>
          <w:rFonts w:hint="eastAsia" w:ascii="Times New Roman" w:hAnsi="Times New Roman" w:cs="Times New Roman"/>
          <w:kern w:val="2"/>
        </w:rPr>
        <w:t>、工控机陈旧版本低，旧系统兼容性问题，导致新的设备、新的仪表等数据采集不到；原有的设备、仪表增减，导致无用通讯连接较多，数据非常杂乱，有效数据难以区分；影响自控系统数据分析、自控系统信息化水平；原有自控系统没有用户管理权限分配、没有系统操作记录、没有操作规程，不能有效的加强自控工作管理。</w:t>
      </w:r>
    </w:p>
    <w:p w14:paraId="782B19EE">
      <w:pPr>
        <w:pStyle w:val="16"/>
        <w:shd w:val="clear" w:color="auto" w:fill="FFFFFF"/>
        <w:tabs>
          <w:tab w:val="left" w:pos="312"/>
        </w:tabs>
        <w:spacing w:line="360" w:lineRule="auto"/>
      </w:pPr>
      <w:r>
        <w:rPr>
          <w:rFonts w:hint="eastAsia" w:ascii="Times New Roman" w:hAnsi="Times New Roman" w:cs="Times New Roman"/>
          <w:kern w:val="2"/>
        </w:rPr>
        <w:t>为解决上述问题，提高生产效率，甲方提出研发管沟B分支、E分支、中环21-23水电仓（共11个仓段）的远程监控。</w:t>
      </w:r>
    </w:p>
    <w:p w14:paraId="0CDB7388">
      <w:pPr>
        <w:spacing w:line="360" w:lineRule="auto"/>
        <w:ind w:firstLine="480" w:firstLineChars="200"/>
        <w:rPr>
          <w:sz w:val="24"/>
        </w:rPr>
      </w:pPr>
      <w:r>
        <w:rPr>
          <w:sz w:val="24"/>
        </w:rPr>
        <w:t>注：</w:t>
      </w:r>
      <w:r>
        <w:rPr>
          <w:rFonts w:hint="eastAsia"/>
          <w:sz w:val="24"/>
        </w:rPr>
        <w:t>本文件中甲方特指采购人，乙方特指中标单位。</w:t>
      </w:r>
    </w:p>
    <w:p w14:paraId="642F357B">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14:paraId="4D03819A">
      <w:pPr>
        <w:pStyle w:val="37"/>
        <w:numPr>
          <w:ilvl w:val="1"/>
          <w:numId w:val="4"/>
        </w:numPr>
        <w:spacing w:before="120" w:beforeLines="50" w:after="120" w:afterLines="50" w:line="360" w:lineRule="auto"/>
        <w:ind w:firstLineChars="0"/>
        <w:rPr>
          <w:sz w:val="24"/>
        </w:rPr>
      </w:pPr>
      <w:r>
        <w:rPr>
          <w:rFonts w:hint="eastAsia" w:cs="Arial" w:asciiTheme="minorEastAsia" w:hAnsiTheme="minorEastAsia"/>
          <w:color w:val="000000"/>
          <w:sz w:val="24"/>
        </w:rPr>
        <w:t>必须是在中华人民共和国境内注册的法人或其他组织，具有独立法人资格，持有事业单位登记管理部门核发的事业单位法人证书或工商行政管理部门核发的企业法人营业执照，且在有效期内。</w:t>
      </w:r>
    </w:p>
    <w:p w14:paraId="4B92E112">
      <w:pPr>
        <w:numPr>
          <w:ilvl w:val="1"/>
          <w:numId w:val="4"/>
        </w:numPr>
        <w:spacing w:before="120" w:beforeLines="50" w:after="120" w:afterLines="50" w:line="360" w:lineRule="auto"/>
        <w:ind w:left="0" w:firstLine="480" w:firstLineChars="200"/>
        <w:rPr>
          <w:sz w:val="24"/>
        </w:rPr>
      </w:pPr>
      <w:r>
        <w:rPr>
          <w:rFonts w:hint="eastAsia" w:cs="Arial" w:asciiTheme="minorEastAsia" w:hAnsiTheme="minorEastAsia"/>
          <w:color w:val="000000"/>
          <w:sz w:val="24"/>
        </w:rPr>
        <w:t>投标人未被列入国家企业信用信息公示系统（www.gsxt.gov.cn)中严重违法失信企业名单，且未被列入“信用中国”网站（www.creditchina.gov.cn）失信被执行人名单（附查询结果截图并打印页面加盖公章）。</w:t>
      </w:r>
    </w:p>
    <w:p w14:paraId="7CA6340B">
      <w:pPr>
        <w:numPr>
          <w:ilvl w:val="1"/>
          <w:numId w:val="4"/>
        </w:numPr>
        <w:spacing w:before="120" w:beforeLines="50" w:after="120" w:afterLines="50" w:line="360" w:lineRule="auto"/>
        <w:ind w:left="0" w:firstLine="480" w:firstLineChars="200"/>
        <w:rPr>
          <w:sz w:val="24"/>
        </w:rPr>
      </w:pPr>
      <w:r>
        <w:rPr>
          <w:rFonts w:hint="eastAsia" w:cs="Arial" w:asciiTheme="minorEastAsia" w:hAnsiTheme="minorEastAsia"/>
          <w:color w:val="000000"/>
          <w:sz w:val="24"/>
        </w:rPr>
        <w:t>投标人没有处于被责令停业或破产状态，且资产未被重组、接管和冻结，声明在投标活动中</w:t>
      </w:r>
      <w:r>
        <w:rPr>
          <w:rFonts w:cs="Arial" w:asciiTheme="minorEastAsia" w:hAnsiTheme="minorEastAsia"/>
          <w:color w:val="000000"/>
          <w:sz w:val="24"/>
        </w:rPr>
        <w:t>3年内没有重大违法活动和涉嫌违规行为（</w:t>
      </w:r>
      <w:r>
        <w:rPr>
          <w:rFonts w:hint="eastAsia" w:cs="Arial" w:asciiTheme="minorEastAsia" w:hAnsiTheme="minorEastAsia"/>
          <w:color w:val="000000"/>
          <w:sz w:val="24"/>
        </w:rPr>
        <w:t>附投标声明函</w:t>
      </w:r>
      <w:r>
        <w:rPr>
          <w:rFonts w:cs="Arial" w:asciiTheme="minorEastAsia" w:hAnsiTheme="minorEastAsia"/>
          <w:color w:val="000000"/>
          <w:sz w:val="24"/>
        </w:rPr>
        <w:t>）</w:t>
      </w:r>
      <w:r>
        <w:rPr>
          <w:rFonts w:hint="eastAsia" w:cs="Arial" w:asciiTheme="minorEastAsia" w:hAnsiTheme="minorEastAsia"/>
          <w:color w:val="000000"/>
          <w:sz w:val="24"/>
        </w:rPr>
        <w:t>。</w:t>
      </w:r>
    </w:p>
    <w:p w14:paraId="2310F6F8">
      <w:pPr>
        <w:numPr>
          <w:ilvl w:val="1"/>
          <w:numId w:val="4"/>
        </w:numPr>
        <w:spacing w:before="120" w:beforeLines="50" w:after="120" w:afterLines="50" w:line="360" w:lineRule="auto"/>
        <w:ind w:left="0" w:firstLine="480" w:firstLineChars="200"/>
        <w:rPr>
          <w:sz w:val="24"/>
        </w:rPr>
      </w:pPr>
      <w:bookmarkStart w:id="0" w:name="_Hlk163577250"/>
      <w:bookmarkStart w:id="1" w:name="_Hlk50641340"/>
      <w:bookmarkStart w:id="2" w:name="_Hlk45716001"/>
      <w:r>
        <w:rPr>
          <w:rFonts w:hint="eastAsia"/>
          <w:sz w:val="24"/>
        </w:rPr>
        <w:t>投标人具备电子与智能化工程专业承包二级资质或以上资质</w:t>
      </w:r>
      <w:bookmarkEnd w:id="0"/>
      <w:r>
        <w:rPr>
          <w:rFonts w:hint="eastAsia"/>
          <w:sz w:val="24"/>
        </w:rPr>
        <w:t>。</w:t>
      </w:r>
      <w:bookmarkEnd w:id="1"/>
      <w:bookmarkEnd w:id="2"/>
    </w:p>
    <w:p w14:paraId="2A3C46B4">
      <w:pPr>
        <w:numPr>
          <w:ilvl w:val="1"/>
          <w:numId w:val="4"/>
        </w:numPr>
        <w:spacing w:before="120" w:beforeLines="50" w:after="120" w:afterLines="50" w:line="360" w:lineRule="auto"/>
        <w:ind w:left="0" w:firstLine="480" w:firstLineChars="200"/>
        <w:rPr>
          <w:sz w:val="24"/>
        </w:rPr>
      </w:pPr>
      <w:bookmarkStart w:id="3" w:name="_Hlk176364152"/>
      <w:r>
        <w:rPr>
          <w:rFonts w:hint="eastAsia"/>
          <w:sz w:val="24"/>
        </w:rPr>
        <w:t>投标人近</w:t>
      </w:r>
      <w:r>
        <w:rPr>
          <w:sz w:val="24"/>
        </w:rPr>
        <w:t>5</w:t>
      </w:r>
      <w:r>
        <w:rPr>
          <w:rFonts w:hint="eastAsia"/>
          <w:sz w:val="24"/>
        </w:rPr>
        <w:t>年内(20</w:t>
      </w:r>
      <w:r>
        <w:rPr>
          <w:sz w:val="24"/>
        </w:rPr>
        <w:t>19</w:t>
      </w:r>
      <w:r>
        <w:rPr>
          <w:rFonts w:hint="eastAsia"/>
          <w:sz w:val="24"/>
        </w:rPr>
        <w:t>年1月1日至今) 完成过类似的系统采集、数据监控、程序控制业绩（需提供合同和验收记录等相关证明材料复印件）。</w:t>
      </w:r>
      <w:bookmarkEnd w:id="3"/>
    </w:p>
    <w:p w14:paraId="7B7A5908">
      <w:pPr>
        <w:numPr>
          <w:ilvl w:val="1"/>
          <w:numId w:val="4"/>
        </w:numPr>
        <w:spacing w:before="120" w:beforeLines="50" w:after="120" w:afterLines="50" w:line="360" w:lineRule="auto"/>
        <w:ind w:left="0" w:firstLine="480" w:firstLineChars="200"/>
        <w:rPr>
          <w:sz w:val="24"/>
        </w:rPr>
      </w:pPr>
      <w:r>
        <w:rPr>
          <w:rFonts w:hint="eastAsia"/>
          <w:sz w:val="24"/>
        </w:rPr>
        <w:t>不接受联合体报价。</w:t>
      </w:r>
    </w:p>
    <w:p w14:paraId="6642BA41">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14:paraId="68A37A82">
      <w:pPr>
        <w:pStyle w:val="37"/>
        <w:spacing w:before="120" w:beforeLines="50" w:after="120" w:afterLines="50" w:line="360" w:lineRule="auto"/>
        <w:ind w:left="480" w:firstLine="0" w:firstLineChars="0"/>
        <w:rPr>
          <w:rFonts w:ascii="宋体" w:hAnsi="宋体"/>
          <w:sz w:val="24"/>
        </w:rPr>
      </w:pPr>
      <w:r>
        <w:rPr>
          <w:rFonts w:ascii="宋体" w:hAnsi="宋体"/>
          <w:sz w:val="24"/>
        </w:rPr>
        <w:t>1</w:t>
      </w:r>
      <w:r>
        <w:rPr>
          <w:rFonts w:hint="eastAsia" w:ascii="宋体" w:hAnsi="宋体"/>
          <w:sz w:val="24"/>
        </w:rPr>
        <w:t>、B分支、E分支、中环21-23水电仓的风机、排水泵、照明等设备接入PLC系统集中远程监控，PLC模块预留温度、湿度、氧气含量等通道，整合网络光纤将自控数据传送至枢纽楼；本项目新增8个挂壁式控制柜（I\O点：48DI\32DO\16AI）。具体如下图1、图2：</w:t>
      </w:r>
    </w:p>
    <w:p w14:paraId="5FE9558C">
      <w:pPr>
        <w:pStyle w:val="37"/>
        <w:ind w:left="600" w:firstLine="0" w:firstLineChars="0"/>
        <w:jc w:val="left"/>
        <w:rPr>
          <w:rFonts w:ascii="宋体" w:hAnsi="宋体"/>
          <w:sz w:val="24"/>
        </w:rPr>
      </w:pPr>
      <w:r>
        <w:rPr>
          <w:rFonts w:hint="eastAsia" w:ascii="宋体" w:hAnsi="宋体"/>
          <w:sz w:val="24"/>
        </w:rPr>
        <w:drawing>
          <wp:inline distT="0" distB="0" distL="0" distR="0">
            <wp:extent cx="4714875" cy="39897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16024" cy="3991137"/>
                    </a:xfrm>
                    <a:prstGeom prst="rect">
                      <a:avLst/>
                    </a:prstGeom>
                    <a:noFill/>
                    <a:ln>
                      <a:noFill/>
                    </a:ln>
                  </pic:spPr>
                </pic:pic>
              </a:graphicData>
            </a:graphic>
          </wp:inline>
        </w:drawing>
      </w:r>
    </w:p>
    <w:p w14:paraId="02C2BD92">
      <w:pPr>
        <w:pStyle w:val="37"/>
        <w:ind w:left="600" w:firstLine="0" w:firstLineChars="0"/>
        <w:rPr>
          <w:rFonts w:ascii="宋体" w:hAnsi="宋体"/>
          <w:sz w:val="24"/>
        </w:rPr>
      </w:pPr>
      <w:r>
        <w:rPr>
          <w:rFonts w:hint="eastAsia" w:ascii="宋体" w:hAnsi="宋体"/>
          <w:sz w:val="24"/>
        </w:rPr>
        <w:t>图1：</w:t>
      </w:r>
      <w:r>
        <w:rPr>
          <w:rFonts w:ascii="宋体" w:hAnsi="宋体"/>
          <w:sz w:val="24"/>
        </w:rPr>
        <w:t>B</w:t>
      </w:r>
      <w:r>
        <w:rPr>
          <w:rFonts w:hint="eastAsia" w:ascii="宋体" w:hAnsi="宋体"/>
          <w:sz w:val="24"/>
        </w:rPr>
        <w:t>分支壁挂式控制柜位置示意图</w:t>
      </w:r>
    </w:p>
    <w:p w14:paraId="6FC7E592">
      <w:pPr>
        <w:pStyle w:val="37"/>
        <w:ind w:left="600" w:firstLine="0" w:firstLineChars="0"/>
        <w:jc w:val="left"/>
        <w:rPr>
          <w:rFonts w:ascii="宋体" w:hAnsi="宋体"/>
          <w:sz w:val="24"/>
        </w:rPr>
      </w:pPr>
      <w:r>
        <w:rPr>
          <w:rFonts w:hint="eastAsia" w:ascii="宋体" w:hAnsi="宋体"/>
          <w:sz w:val="24"/>
        </w:rPr>
        <w:drawing>
          <wp:inline distT="0" distB="0" distL="0" distR="0">
            <wp:extent cx="4827905" cy="3876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36797" cy="3883432"/>
                    </a:xfrm>
                    <a:prstGeom prst="rect">
                      <a:avLst/>
                    </a:prstGeom>
                    <a:noFill/>
                    <a:ln>
                      <a:noFill/>
                    </a:ln>
                  </pic:spPr>
                </pic:pic>
              </a:graphicData>
            </a:graphic>
          </wp:inline>
        </w:drawing>
      </w:r>
    </w:p>
    <w:p w14:paraId="5B301E72">
      <w:pPr>
        <w:pStyle w:val="37"/>
        <w:ind w:left="600" w:firstLine="0" w:firstLineChars="0"/>
        <w:rPr>
          <w:rFonts w:ascii="宋体" w:hAnsi="宋体"/>
          <w:sz w:val="24"/>
        </w:rPr>
      </w:pPr>
      <w:r>
        <w:rPr>
          <w:rFonts w:hint="eastAsia" w:ascii="宋体" w:hAnsi="宋体"/>
          <w:sz w:val="24"/>
        </w:rPr>
        <w:t>图2：</w:t>
      </w:r>
      <w:r>
        <w:rPr>
          <w:rFonts w:ascii="宋体" w:hAnsi="宋体"/>
          <w:sz w:val="24"/>
        </w:rPr>
        <w:t>E</w:t>
      </w:r>
      <w:r>
        <w:rPr>
          <w:rFonts w:hint="eastAsia" w:ascii="宋体" w:hAnsi="宋体"/>
          <w:sz w:val="24"/>
        </w:rPr>
        <w:t>分支、中环2</w:t>
      </w:r>
      <w:r>
        <w:rPr>
          <w:rFonts w:ascii="宋体" w:hAnsi="宋体"/>
          <w:sz w:val="24"/>
        </w:rPr>
        <w:t>1-23</w:t>
      </w:r>
      <w:r>
        <w:rPr>
          <w:rFonts w:hint="eastAsia" w:ascii="宋体" w:hAnsi="宋体"/>
          <w:sz w:val="24"/>
        </w:rPr>
        <w:t>壁挂式控制柜位置示意图</w:t>
      </w:r>
    </w:p>
    <w:p w14:paraId="4D069DE0">
      <w:pPr>
        <w:pStyle w:val="37"/>
        <w:spacing w:before="120" w:beforeLines="50" w:after="120" w:afterLines="50" w:line="360" w:lineRule="auto"/>
        <w:ind w:left="480" w:firstLine="0" w:firstLineChars="0"/>
        <w:rPr>
          <w:rFonts w:ascii="宋体" w:hAnsi="宋体"/>
          <w:sz w:val="24"/>
        </w:rPr>
      </w:pPr>
    </w:p>
    <w:p w14:paraId="564169D0">
      <w:pPr>
        <w:pStyle w:val="37"/>
        <w:spacing w:before="120" w:beforeLines="50" w:after="120" w:afterLines="50" w:line="360" w:lineRule="auto"/>
        <w:ind w:left="480" w:firstLine="0" w:firstLineChars="0"/>
        <w:rPr>
          <w:rFonts w:ascii="宋体" w:hAnsi="宋体"/>
          <w:sz w:val="24"/>
        </w:rPr>
      </w:pPr>
      <w:r>
        <w:rPr>
          <w:rFonts w:hint="eastAsia" w:ascii="宋体" w:hAnsi="宋体"/>
          <w:sz w:val="24"/>
        </w:rPr>
        <w:t>2、原智能监控系统软件升级，更新系统和界面（点表名称中文化、上位机界面以电子地图展现每个仓点的状态、上位机界面展示每个仓点光纤的通讯），优化非必要的监控点位。</w:t>
      </w:r>
    </w:p>
    <w:p w14:paraId="22AA773F">
      <w:pPr>
        <w:pStyle w:val="37"/>
        <w:numPr>
          <w:ilvl w:val="0"/>
          <w:numId w:val="5"/>
        </w:numPr>
        <w:spacing w:before="120" w:beforeLines="50" w:after="120" w:afterLines="50" w:line="360" w:lineRule="auto"/>
        <w:ind w:firstLineChars="0"/>
        <w:rPr>
          <w:rFonts w:ascii="宋体" w:hAnsi="宋体"/>
          <w:sz w:val="24"/>
        </w:rPr>
      </w:pPr>
      <w:r>
        <w:rPr>
          <w:rFonts w:hint="eastAsia" w:ascii="宋体" w:hAnsi="宋体"/>
          <w:sz w:val="24"/>
        </w:rPr>
        <w:t>上位升级后，按技术部划分的IP段分配好63个仓和新增8个控制柜的IP地址到PLC。</w:t>
      </w:r>
    </w:p>
    <w:p w14:paraId="18A62153">
      <w:pPr>
        <w:pStyle w:val="37"/>
        <w:numPr>
          <w:ilvl w:val="0"/>
          <w:numId w:val="5"/>
        </w:numPr>
        <w:spacing w:before="120" w:beforeLines="50" w:after="120" w:afterLines="50" w:line="360" w:lineRule="auto"/>
        <w:ind w:firstLineChars="0"/>
        <w:rPr>
          <w:rFonts w:ascii="宋体" w:hAnsi="宋体"/>
          <w:sz w:val="24"/>
        </w:rPr>
      </w:pPr>
      <w:r>
        <w:rPr>
          <w:rFonts w:hint="eastAsia" w:ascii="宋体" w:hAnsi="宋体"/>
          <w:sz w:val="24"/>
        </w:rPr>
        <w:t>通过网关转发数据至枢纽楼并集成到枢纽楼上位机系统，枢纽楼上位机与管沟上位机同步。</w:t>
      </w:r>
    </w:p>
    <w:p w14:paraId="57A89623">
      <w:pPr>
        <w:pStyle w:val="37"/>
        <w:numPr>
          <w:ilvl w:val="1"/>
          <w:numId w:val="5"/>
        </w:numPr>
        <w:spacing w:before="120" w:beforeLines="50" w:after="120" w:afterLines="50" w:line="360" w:lineRule="auto"/>
        <w:ind w:firstLineChars="0"/>
        <w:rPr>
          <w:rFonts w:ascii="宋体" w:hAnsi="宋体"/>
          <w:b/>
          <w:sz w:val="24"/>
        </w:rPr>
      </w:pPr>
      <w:r>
        <w:rPr>
          <w:rFonts w:hint="eastAsia" w:ascii="宋体" w:hAnsi="宋体"/>
          <w:b/>
          <w:sz w:val="24"/>
        </w:rPr>
        <w:t>工程量及材料说明</w:t>
      </w:r>
    </w:p>
    <w:p w14:paraId="31646507">
      <w:pPr>
        <w:spacing w:before="120" w:beforeLines="50" w:after="120" w:afterLines="50" w:line="360" w:lineRule="auto"/>
        <w:ind w:firstLine="480" w:firstLineChars="200"/>
        <w:rPr>
          <w:rFonts w:ascii="宋体" w:hAnsi="宋体"/>
          <w:sz w:val="24"/>
        </w:rPr>
      </w:pPr>
      <w:r>
        <w:rPr>
          <w:rFonts w:hint="eastAsia" w:ascii="宋体" w:hAnsi="宋体"/>
          <w:sz w:val="24"/>
        </w:rPr>
        <w:t>投标人按以下工程量清单进行报价，本项目由投标人包工包料（注明甲供材料除外），投标人勘踏现场后，应根据下表及结合现场实际情况综合考虑再进行报价。</w:t>
      </w:r>
    </w:p>
    <w:p w14:paraId="4915E1A1">
      <w:pPr>
        <w:spacing w:before="120" w:beforeLines="50" w:after="120" w:afterLines="50" w:line="360" w:lineRule="auto"/>
        <w:jc w:val="center"/>
        <w:rPr>
          <w:rFonts w:ascii="宋体" w:hAnsi="宋体"/>
          <w:b/>
          <w:sz w:val="28"/>
          <w:szCs w:val="28"/>
        </w:rPr>
      </w:pPr>
      <w:r>
        <w:rPr>
          <w:rFonts w:hint="eastAsia" w:ascii="宋体" w:hAnsi="宋体"/>
          <w:b/>
          <w:sz w:val="28"/>
          <w:szCs w:val="28"/>
        </w:rPr>
        <w:t>主要工程量清单</w:t>
      </w:r>
    </w:p>
    <w:tbl>
      <w:tblPr>
        <w:tblStyle w:val="19"/>
        <w:tblW w:w="9080" w:type="dxa"/>
        <w:tblInd w:w="-25" w:type="dxa"/>
        <w:tblLayout w:type="autofit"/>
        <w:tblCellMar>
          <w:top w:w="0" w:type="dxa"/>
          <w:left w:w="108" w:type="dxa"/>
          <w:bottom w:w="0" w:type="dxa"/>
          <w:right w:w="108" w:type="dxa"/>
        </w:tblCellMar>
      </w:tblPr>
      <w:tblGrid>
        <w:gridCol w:w="427"/>
        <w:gridCol w:w="1198"/>
        <w:gridCol w:w="535"/>
        <w:gridCol w:w="3100"/>
        <w:gridCol w:w="580"/>
        <w:gridCol w:w="1080"/>
        <w:gridCol w:w="41"/>
        <w:gridCol w:w="851"/>
        <w:gridCol w:w="188"/>
        <w:gridCol w:w="1080"/>
      </w:tblGrid>
      <w:tr w14:paraId="5ED4AA02">
        <w:tblPrEx>
          <w:tblCellMar>
            <w:top w:w="0" w:type="dxa"/>
            <w:left w:w="108" w:type="dxa"/>
            <w:bottom w:w="0" w:type="dxa"/>
            <w:right w:w="108" w:type="dxa"/>
          </w:tblCellMar>
        </w:tblPrEx>
        <w:trPr>
          <w:trHeight w:val="285" w:hRule="atLeast"/>
        </w:trPr>
        <w:tc>
          <w:tcPr>
            <w:tcW w:w="1625" w:type="dxa"/>
            <w:gridSpan w:val="2"/>
            <w:tcBorders>
              <w:top w:val="single" w:color="000000" w:sz="8" w:space="0"/>
              <w:left w:val="single" w:color="000000" w:sz="8" w:space="0"/>
              <w:bottom w:val="single" w:color="000000" w:sz="8" w:space="0"/>
              <w:right w:val="nil"/>
            </w:tcBorders>
            <w:shd w:val="clear" w:color="000000" w:fill="FFFFFF"/>
            <w:noWrap/>
            <w:vAlign w:val="center"/>
          </w:tcPr>
          <w:p w14:paraId="3EE18D0C">
            <w:pPr>
              <w:widowControl/>
              <w:jc w:val="left"/>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一、控制柜</w:t>
            </w:r>
          </w:p>
        </w:tc>
        <w:tc>
          <w:tcPr>
            <w:tcW w:w="3635" w:type="dxa"/>
            <w:gridSpan w:val="2"/>
            <w:tcBorders>
              <w:top w:val="single" w:color="000000" w:sz="8" w:space="0"/>
              <w:left w:val="nil"/>
              <w:bottom w:val="single" w:color="000000" w:sz="8" w:space="0"/>
              <w:right w:val="nil"/>
            </w:tcBorders>
            <w:shd w:val="clear" w:color="000000" w:fill="FFFFFF"/>
            <w:noWrap/>
            <w:vAlign w:val="center"/>
          </w:tcPr>
          <w:p w14:paraId="7813AFE4">
            <w:pPr>
              <w:widowControl/>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规格需求</w:t>
            </w:r>
          </w:p>
        </w:tc>
        <w:tc>
          <w:tcPr>
            <w:tcW w:w="1701" w:type="dxa"/>
            <w:gridSpan w:val="3"/>
            <w:tcBorders>
              <w:top w:val="single" w:color="000000" w:sz="8" w:space="0"/>
              <w:left w:val="nil"/>
              <w:bottom w:val="single" w:color="000000" w:sz="8" w:space="0"/>
              <w:right w:val="nil"/>
            </w:tcBorders>
            <w:shd w:val="clear" w:color="000000" w:fill="FFFFFF"/>
            <w:noWrap/>
            <w:vAlign w:val="center"/>
          </w:tcPr>
          <w:p w14:paraId="4EFBCD86">
            <w:pPr>
              <w:widowControl/>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品牌</w:t>
            </w:r>
          </w:p>
        </w:tc>
        <w:tc>
          <w:tcPr>
            <w:tcW w:w="851" w:type="dxa"/>
            <w:tcBorders>
              <w:top w:val="single" w:color="000000" w:sz="8" w:space="0"/>
              <w:left w:val="nil"/>
              <w:bottom w:val="single" w:color="000000" w:sz="8" w:space="0"/>
              <w:right w:val="nil"/>
            </w:tcBorders>
            <w:shd w:val="clear" w:color="000000" w:fill="FFFFFF"/>
            <w:noWrap/>
            <w:vAlign w:val="center"/>
          </w:tcPr>
          <w:p w14:paraId="065DAAE4">
            <w:pPr>
              <w:widowControl/>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数量</w:t>
            </w:r>
          </w:p>
        </w:tc>
        <w:tc>
          <w:tcPr>
            <w:tcW w:w="1268" w:type="dxa"/>
            <w:gridSpan w:val="2"/>
            <w:tcBorders>
              <w:top w:val="single" w:color="000000" w:sz="8" w:space="0"/>
              <w:left w:val="nil"/>
              <w:bottom w:val="single" w:color="000000" w:sz="8" w:space="0"/>
              <w:right w:val="single" w:color="auto" w:sz="4" w:space="0"/>
            </w:tcBorders>
            <w:shd w:val="clear" w:color="000000" w:fill="FFFFFF"/>
            <w:noWrap/>
            <w:vAlign w:val="center"/>
          </w:tcPr>
          <w:p w14:paraId="2BD832D1">
            <w:pPr>
              <w:widowControl/>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单位</w:t>
            </w:r>
          </w:p>
        </w:tc>
      </w:tr>
      <w:tr w14:paraId="6A53194F">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3287BBAF">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733" w:type="dxa"/>
            <w:gridSpan w:val="2"/>
            <w:tcBorders>
              <w:top w:val="nil"/>
              <w:left w:val="nil"/>
              <w:bottom w:val="single" w:color="auto" w:sz="4" w:space="0"/>
              <w:right w:val="single" w:color="auto" w:sz="4" w:space="0"/>
            </w:tcBorders>
            <w:shd w:val="clear" w:color="000000" w:fill="FFFFFF"/>
            <w:vAlign w:val="center"/>
          </w:tcPr>
          <w:p w14:paraId="3D277644">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PLC-B-1</w:t>
            </w:r>
          </w:p>
        </w:tc>
        <w:tc>
          <w:tcPr>
            <w:tcW w:w="3680" w:type="dxa"/>
            <w:gridSpan w:val="2"/>
            <w:tcBorders>
              <w:top w:val="nil"/>
              <w:left w:val="nil"/>
              <w:bottom w:val="single" w:color="auto" w:sz="4" w:space="0"/>
              <w:right w:val="single" w:color="auto" w:sz="4" w:space="0"/>
            </w:tcBorders>
            <w:shd w:val="clear" w:color="auto" w:fill="auto"/>
          </w:tcPr>
          <w:p w14:paraId="02D80842">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64533B8E">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03E8008D">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2EDA11EF">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7E03DD2E">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0111BB58">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2</w:t>
            </w:r>
          </w:p>
        </w:tc>
        <w:tc>
          <w:tcPr>
            <w:tcW w:w="1733" w:type="dxa"/>
            <w:gridSpan w:val="2"/>
            <w:tcBorders>
              <w:top w:val="nil"/>
              <w:left w:val="nil"/>
              <w:bottom w:val="single" w:color="auto" w:sz="4" w:space="0"/>
              <w:right w:val="single" w:color="auto" w:sz="4" w:space="0"/>
            </w:tcBorders>
            <w:shd w:val="clear" w:color="000000" w:fill="FFFFFF"/>
            <w:vAlign w:val="center"/>
          </w:tcPr>
          <w:p w14:paraId="7945E19C">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PLC-B-2</w:t>
            </w:r>
          </w:p>
        </w:tc>
        <w:tc>
          <w:tcPr>
            <w:tcW w:w="3680" w:type="dxa"/>
            <w:gridSpan w:val="2"/>
            <w:tcBorders>
              <w:top w:val="nil"/>
              <w:left w:val="nil"/>
              <w:bottom w:val="single" w:color="auto" w:sz="4" w:space="0"/>
              <w:right w:val="single" w:color="auto" w:sz="4" w:space="0"/>
            </w:tcBorders>
            <w:shd w:val="clear" w:color="auto" w:fill="auto"/>
          </w:tcPr>
          <w:p w14:paraId="287DE8AD">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6502CA15">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4F1AC9FD">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127B8D7F">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4355668E">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05DE1E16">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3</w:t>
            </w:r>
          </w:p>
        </w:tc>
        <w:tc>
          <w:tcPr>
            <w:tcW w:w="1733" w:type="dxa"/>
            <w:gridSpan w:val="2"/>
            <w:tcBorders>
              <w:top w:val="nil"/>
              <w:left w:val="nil"/>
              <w:bottom w:val="single" w:color="auto" w:sz="4" w:space="0"/>
              <w:right w:val="single" w:color="auto" w:sz="4" w:space="0"/>
            </w:tcBorders>
            <w:shd w:val="clear" w:color="000000" w:fill="FFFFFF"/>
            <w:vAlign w:val="center"/>
          </w:tcPr>
          <w:p w14:paraId="52FBE193">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PLC-B-3</w:t>
            </w:r>
          </w:p>
        </w:tc>
        <w:tc>
          <w:tcPr>
            <w:tcW w:w="3680" w:type="dxa"/>
            <w:gridSpan w:val="2"/>
            <w:tcBorders>
              <w:top w:val="nil"/>
              <w:left w:val="nil"/>
              <w:bottom w:val="single" w:color="auto" w:sz="4" w:space="0"/>
              <w:right w:val="single" w:color="auto" w:sz="4" w:space="0"/>
            </w:tcBorders>
            <w:shd w:val="clear" w:color="auto" w:fill="auto"/>
          </w:tcPr>
          <w:p w14:paraId="630A91C3">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7567C8A1">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41A9374F">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56CADFD9">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41A0CE55">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66215FAB">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4</w:t>
            </w:r>
          </w:p>
        </w:tc>
        <w:tc>
          <w:tcPr>
            <w:tcW w:w="1733" w:type="dxa"/>
            <w:gridSpan w:val="2"/>
            <w:tcBorders>
              <w:top w:val="nil"/>
              <w:left w:val="nil"/>
              <w:bottom w:val="single" w:color="auto" w:sz="4" w:space="0"/>
              <w:right w:val="single" w:color="auto" w:sz="4" w:space="0"/>
            </w:tcBorders>
            <w:shd w:val="clear" w:color="000000" w:fill="FFFFFF"/>
            <w:vAlign w:val="center"/>
          </w:tcPr>
          <w:p w14:paraId="00128D46">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PLC-E-1</w:t>
            </w:r>
          </w:p>
        </w:tc>
        <w:tc>
          <w:tcPr>
            <w:tcW w:w="3680" w:type="dxa"/>
            <w:gridSpan w:val="2"/>
            <w:tcBorders>
              <w:top w:val="nil"/>
              <w:left w:val="nil"/>
              <w:bottom w:val="single" w:color="auto" w:sz="4" w:space="0"/>
              <w:right w:val="single" w:color="auto" w:sz="4" w:space="0"/>
            </w:tcBorders>
            <w:shd w:val="clear" w:color="auto" w:fill="auto"/>
          </w:tcPr>
          <w:p w14:paraId="7D789B76">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3C4808E8">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545E815E">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4263D88A">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3AA1BBE4">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3EFB1034">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5</w:t>
            </w:r>
          </w:p>
        </w:tc>
        <w:tc>
          <w:tcPr>
            <w:tcW w:w="1733" w:type="dxa"/>
            <w:gridSpan w:val="2"/>
            <w:tcBorders>
              <w:top w:val="nil"/>
              <w:left w:val="nil"/>
              <w:bottom w:val="single" w:color="auto" w:sz="4" w:space="0"/>
              <w:right w:val="single" w:color="auto" w:sz="4" w:space="0"/>
            </w:tcBorders>
            <w:shd w:val="clear" w:color="000000" w:fill="FFFFFF"/>
            <w:vAlign w:val="center"/>
          </w:tcPr>
          <w:p w14:paraId="6BE10052">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PLC-E-2</w:t>
            </w:r>
          </w:p>
        </w:tc>
        <w:tc>
          <w:tcPr>
            <w:tcW w:w="3680" w:type="dxa"/>
            <w:gridSpan w:val="2"/>
            <w:tcBorders>
              <w:top w:val="nil"/>
              <w:left w:val="nil"/>
              <w:bottom w:val="single" w:color="auto" w:sz="4" w:space="0"/>
              <w:right w:val="single" w:color="auto" w:sz="4" w:space="0"/>
            </w:tcBorders>
            <w:shd w:val="clear" w:color="auto" w:fill="auto"/>
          </w:tcPr>
          <w:p w14:paraId="60F3C963">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4B26FD03">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01D026D1">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4907EB0C">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3FC98C2E">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4632BB6E">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6</w:t>
            </w:r>
          </w:p>
        </w:tc>
        <w:tc>
          <w:tcPr>
            <w:tcW w:w="1733" w:type="dxa"/>
            <w:gridSpan w:val="2"/>
            <w:tcBorders>
              <w:top w:val="nil"/>
              <w:left w:val="nil"/>
              <w:bottom w:val="single" w:color="auto" w:sz="4" w:space="0"/>
              <w:right w:val="single" w:color="auto" w:sz="4" w:space="0"/>
            </w:tcBorders>
            <w:shd w:val="clear" w:color="000000" w:fill="FFFFFF"/>
            <w:vAlign w:val="center"/>
          </w:tcPr>
          <w:p w14:paraId="15F85AC1">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PLC-A-21</w:t>
            </w:r>
          </w:p>
        </w:tc>
        <w:tc>
          <w:tcPr>
            <w:tcW w:w="3680" w:type="dxa"/>
            <w:gridSpan w:val="2"/>
            <w:tcBorders>
              <w:top w:val="nil"/>
              <w:left w:val="nil"/>
              <w:bottom w:val="single" w:color="auto" w:sz="4" w:space="0"/>
              <w:right w:val="single" w:color="auto" w:sz="4" w:space="0"/>
            </w:tcBorders>
            <w:shd w:val="clear" w:color="auto" w:fill="auto"/>
          </w:tcPr>
          <w:p w14:paraId="78216E24">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75F86589">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4FFFC752">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703108E4">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1F7004CA">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496DCEA6">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7</w:t>
            </w:r>
          </w:p>
        </w:tc>
        <w:tc>
          <w:tcPr>
            <w:tcW w:w="1733" w:type="dxa"/>
            <w:gridSpan w:val="2"/>
            <w:tcBorders>
              <w:top w:val="nil"/>
              <w:left w:val="nil"/>
              <w:bottom w:val="single" w:color="auto" w:sz="4" w:space="0"/>
              <w:right w:val="single" w:color="auto" w:sz="4" w:space="0"/>
            </w:tcBorders>
            <w:shd w:val="clear" w:color="000000" w:fill="FFFFFF"/>
            <w:vAlign w:val="center"/>
          </w:tcPr>
          <w:p w14:paraId="72EF2EE2">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PLC-A-22</w:t>
            </w:r>
          </w:p>
        </w:tc>
        <w:tc>
          <w:tcPr>
            <w:tcW w:w="3680" w:type="dxa"/>
            <w:gridSpan w:val="2"/>
            <w:tcBorders>
              <w:top w:val="nil"/>
              <w:left w:val="nil"/>
              <w:bottom w:val="single" w:color="auto" w:sz="4" w:space="0"/>
              <w:right w:val="single" w:color="auto" w:sz="4" w:space="0"/>
            </w:tcBorders>
            <w:shd w:val="clear" w:color="auto" w:fill="auto"/>
          </w:tcPr>
          <w:p w14:paraId="43633138">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7E89041F">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06A04771">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1131E0A5">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290E434F">
        <w:tblPrEx>
          <w:tblCellMar>
            <w:top w:w="0" w:type="dxa"/>
            <w:left w:w="108" w:type="dxa"/>
            <w:bottom w:w="0" w:type="dxa"/>
            <w:right w:w="108" w:type="dxa"/>
          </w:tblCellMar>
        </w:tblPrEx>
        <w:trPr>
          <w:trHeight w:val="144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63EA958C">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8</w:t>
            </w:r>
          </w:p>
        </w:tc>
        <w:tc>
          <w:tcPr>
            <w:tcW w:w="1733" w:type="dxa"/>
            <w:gridSpan w:val="2"/>
            <w:tcBorders>
              <w:top w:val="nil"/>
              <w:left w:val="nil"/>
              <w:bottom w:val="single" w:color="auto" w:sz="4" w:space="0"/>
              <w:right w:val="single" w:color="auto" w:sz="4" w:space="0"/>
            </w:tcBorders>
            <w:shd w:val="clear" w:color="000000" w:fill="FFFFFF"/>
            <w:vAlign w:val="center"/>
          </w:tcPr>
          <w:p w14:paraId="1A722A04">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PLC-A-23</w:t>
            </w:r>
          </w:p>
        </w:tc>
        <w:tc>
          <w:tcPr>
            <w:tcW w:w="3680" w:type="dxa"/>
            <w:gridSpan w:val="2"/>
            <w:tcBorders>
              <w:top w:val="nil"/>
              <w:left w:val="nil"/>
              <w:bottom w:val="single" w:color="auto" w:sz="4" w:space="0"/>
              <w:right w:val="single" w:color="auto" w:sz="4" w:space="0"/>
            </w:tcBorders>
            <w:shd w:val="clear" w:color="auto" w:fill="auto"/>
          </w:tcPr>
          <w:p w14:paraId="63213C85">
            <w:pPr>
              <w:widowControl/>
              <w:jc w:val="left"/>
              <w:rPr>
                <w:rFonts w:ascii="等线" w:hAnsi="等线" w:eastAsia="等线" w:cs="Tahoma"/>
                <w:color w:val="000000"/>
                <w:kern w:val="0"/>
                <w:sz w:val="18"/>
                <w:szCs w:val="18"/>
              </w:rPr>
            </w:pPr>
            <w:r>
              <w:rPr>
                <w:rFonts w:hint="eastAsia" w:ascii="等线" w:hAnsi="等线" w:eastAsia="等线" w:cs="Tahoma"/>
                <w:color w:val="000000"/>
                <w:kern w:val="0"/>
                <w:sz w:val="18"/>
                <w:szCs w:val="18"/>
              </w:rPr>
              <w:t>PLC一体化控制柜（1200*1000*200），I\O：48DI\32DO\16AI，配套元器件，电源，中继，隔离栅，断路器、光纤交换机2光8口、光模块、箱体，光纤盒、快融保险丝、接线排子、及内部接线等控制附件。,环境温度60℃，防潮</w:t>
            </w:r>
          </w:p>
        </w:tc>
        <w:tc>
          <w:tcPr>
            <w:tcW w:w="1080" w:type="dxa"/>
            <w:tcBorders>
              <w:top w:val="nil"/>
              <w:left w:val="nil"/>
              <w:bottom w:val="single" w:color="auto" w:sz="4" w:space="0"/>
              <w:right w:val="single" w:color="auto" w:sz="4" w:space="0"/>
            </w:tcBorders>
            <w:shd w:val="clear" w:color="000000" w:fill="FFFFFF"/>
            <w:vAlign w:val="bottom"/>
          </w:tcPr>
          <w:p w14:paraId="6A3B5A64">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04532F20">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33C611A4">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2D9E04EF">
        <w:tblPrEx>
          <w:tblCellMar>
            <w:top w:w="0" w:type="dxa"/>
            <w:left w:w="108" w:type="dxa"/>
            <w:bottom w:w="0" w:type="dxa"/>
            <w:right w:w="108" w:type="dxa"/>
          </w:tblCellMar>
        </w:tblPrEx>
        <w:trPr>
          <w:trHeight w:val="285" w:hRule="atLeast"/>
        </w:trPr>
        <w:tc>
          <w:tcPr>
            <w:tcW w:w="5840" w:type="dxa"/>
            <w:gridSpan w:val="5"/>
            <w:tcBorders>
              <w:top w:val="single" w:color="auto" w:sz="4" w:space="0"/>
              <w:left w:val="single" w:color="auto" w:sz="4" w:space="0"/>
              <w:bottom w:val="single" w:color="auto" w:sz="4" w:space="0"/>
              <w:right w:val="single" w:color="auto" w:sz="4" w:space="0"/>
            </w:tcBorders>
            <w:shd w:val="clear" w:color="000000" w:fill="FFFFFF"/>
            <w:noWrap/>
            <w:vAlign w:val="bottom"/>
          </w:tcPr>
          <w:p w14:paraId="2070C143">
            <w:pPr>
              <w:widowControl/>
              <w:jc w:val="left"/>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二、网络通信柜</w:t>
            </w:r>
          </w:p>
        </w:tc>
        <w:tc>
          <w:tcPr>
            <w:tcW w:w="1080" w:type="dxa"/>
            <w:tcBorders>
              <w:top w:val="nil"/>
              <w:left w:val="nil"/>
              <w:bottom w:val="single" w:color="auto" w:sz="4" w:space="0"/>
              <w:right w:val="single" w:color="auto" w:sz="4" w:space="0"/>
            </w:tcBorders>
            <w:shd w:val="clear" w:color="000000" w:fill="FFFFFF"/>
            <w:noWrap/>
            <w:vAlign w:val="bottom"/>
          </w:tcPr>
          <w:p w14:paraId="33554E8C">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bottom"/>
          </w:tcPr>
          <w:p w14:paraId="2F2A4D81">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tcPr>
          <w:p w14:paraId="4E25A4BD">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r>
      <w:tr w14:paraId="7A1CDE7A">
        <w:tblPrEx>
          <w:tblCellMar>
            <w:top w:w="0" w:type="dxa"/>
            <w:left w:w="108" w:type="dxa"/>
            <w:bottom w:w="0" w:type="dxa"/>
            <w:right w:w="108" w:type="dxa"/>
          </w:tblCellMar>
        </w:tblPrEx>
        <w:trPr>
          <w:trHeight w:val="76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4823F727">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733" w:type="dxa"/>
            <w:gridSpan w:val="2"/>
            <w:tcBorders>
              <w:top w:val="nil"/>
              <w:left w:val="nil"/>
              <w:bottom w:val="single" w:color="auto" w:sz="4" w:space="0"/>
              <w:right w:val="single" w:color="auto" w:sz="4" w:space="0"/>
            </w:tcBorders>
            <w:shd w:val="clear" w:color="000000" w:fill="FFFFFF"/>
            <w:vAlign w:val="center"/>
          </w:tcPr>
          <w:p w14:paraId="119CCC23">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控制柜</w:t>
            </w:r>
          </w:p>
        </w:tc>
        <w:tc>
          <w:tcPr>
            <w:tcW w:w="3680" w:type="dxa"/>
            <w:gridSpan w:val="2"/>
            <w:tcBorders>
              <w:top w:val="nil"/>
              <w:left w:val="nil"/>
              <w:bottom w:val="single" w:color="auto" w:sz="4" w:space="0"/>
              <w:right w:val="single" w:color="auto" w:sz="4" w:space="0"/>
            </w:tcBorders>
            <w:shd w:val="clear" w:color="000000" w:fill="FFFFFF"/>
            <w:vAlign w:val="bottom"/>
          </w:tcPr>
          <w:p w14:paraId="2C8C307E">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含箱体，光纤盒、光纤交换机2光8口、光模块、断路器、电源、快融保险丝、接线排子、及内部接线等控制附件。</w:t>
            </w:r>
          </w:p>
        </w:tc>
        <w:tc>
          <w:tcPr>
            <w:tcW w:w="1080" w:type="dxa"/>
            <w:tcBorders>
              <w:top w:val="nil"/>
              <w:left w:val="nil"/>
              <w:bottom w:val="single" w:color="auto" w:sz="4" w:space="0"/>
              <w:right w:val="single" w:color="auto" w:sz="4" w:space="0"/>
            </w:tcBorders>
            <w:shd w:val="clear" w:color="000000" w:fill="FFFFFF"/>
            <w:noWrap/>
            <w:vAlign w:val="center"/>
          </w:tcPr>
          <w:p w14:paraId="0B9A01FF">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293D6322">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3</w:t>
            </w:r>
          </w:p>
        </w:tc>
        <w:tc>
          <w:tcPr>
            <w:tcW w:w="1080" w:type="dxa"/>
            <w:tcBorders>
              <w:top w:val="nil"/>
              <w:left w:val="nil"/>
              <w:bottom w:val="single" w:color="auto" w:sz="4" w:space="0"/>
              <w:right w:val="single" w:color="auto" w:sz="4" w:space="0"/>
            </w:tcBorders>
            <w:shd w:val="clear" w:color="000000" w:fill="FFFFFF"/>
            <w:noWrap/>
            <w:vAlign w:val="center"/>
          </w:tcPr>
          <w:p w14:paraId="491A0F61">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0876C3AB">
        <w:tblPrEx>
          <w:tblCellMar>
            <w:top w:w="0" w:type="dxa"/>
            <w:left w:w="108" w:type="dxa"/>
            <w:bottom w:w="0" w:type="dxa"/>
            <w:right w:w="108" w:type="dxa"/>
          </w:tblCellMar>
        </w:tblPrEx>
        <w:trPr>
          <w:trHeight w:val="285" w:hRule="atLeast"/>
        </w:trPr>
        <w:tc>
          <w:tcPr>
            <w:tcW w:w="5840" w:type="dxa"/>
            <w:gridSpan w:val="5"/>
            <w:tcBorders>
              <w:top w:val="single" w:color="auto" w:sz="4" w:space="0"/>
              <w:left w:val="single" w:color="auto" w:sz="4" w:space="0"/>
              <w:bottom w:val="single" w:color="auto" w:sz="4" w:space="0"/>
              <w:right w:val="single" w:color="auto" w:sz="4" w:space="0"/>
            </w:tcBorders>
            <w:shd w:val="clear" w:color="000000" w:fill="FFFFFF"/>
            <w:noWrap/>
            <w:vAlign w:val="bottom"/>
          </w:tcPr>
          <w:p w14:paraId="78F89B32">
            <w:pPr>
              <w:widowControl/>
              <w:jc w:val="left"/>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三、通讯网关接口</w:t>
            </w:r>
          </w:p>
        </w:tc>
        <w:tc>
          <w:tcPr>
            <w:tcW w:w="1080" w:type="dxa"/>
            <w:tcBorders>
              <w:top w:val="nil"/>
              <w:left w:val="nil"/>
              <w:bottom w:val="single" w:color="auto" w:sz="4" w:space="0"/>
              <w:right w:val="single" w:color="auto" w:sz="4" w:space="0"/>
            </w:tcBorders>
            <w:shd w:val="clear" w:color="000000" w:fill="FFFFFF"/>
            <w:noWrap/>
            <w:vAlign w:val="bottom"/>
          </w:tcPr>
          <w:p w14:paraId="21B9AFB6">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bottom"/>
          </w:tcPr>
          <w:p w14:paraId="2FF61D05">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tcPr>
          <w:p w14:paraId="2802C503">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r>
      <w:tr w14:paraId="741491D2">
        <w:tblPrEx>
          <w:tblCellMar>
            <w:top w:w="0" w:type="dxa"/>
            <w:left w:w="108" w:type="dxa"/>
            <w:bottom w:w="0" w:type="dxa"/>
            <w:right w:w="108" w:type="dxa"/>
          </w:tblCellMar>
        </w:tblPrEx>
        <w:trPr>
          <w:trHeight w:val="1275"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1D13408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733" w:type="dxa"/>
            <w:gridSpan w:val="2"/>
            <w:tcBorders>
              <w:top w:val="nil"/>
              <w:left w:val="nil"/>
              <w:bottom w:val="single" w:color="auto" w:sz="4" w:space="0"/>
              <w:right w:val="single" w:color="auto" w:sz="4" w:space="0"/>
            </w:tcBorders>
            <w:shd w:val="clear" w:color="auto" w:fill="auto"/>
            <w:vAlign w:val="center"/>
          </w:tcPr>
          <w:p w14:paraId="3F9D462E">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智能网关</w:t>
            </w:r>
          </w:p>
        </w:tc>
        <w:tc>
          <w:tcPr>
            <w:tcW w:w="3680" w:type="dxa"/>
            <w:gridSpan w:val="2"/>
            <w:tcBorders>
              <w:top w:val="nil"/>
              <w:left w:val="nil"/>
              <w:bottom w:val="single" w:color="auto" w:sz="4" w:space="0"/>
              <w:right w:val="single" w:color="auto" w:sz="4" w:space="0"/>
            </w:tcBorders>
            <w:shd w:val="clear" w:color="auto" w:fill="auto"/>
            <w:vAlign w:val="bottom"/>
          </w:tcPr>
          <w:p w14:paraId="761832FA">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4网口（不同网段）以上，10串口（485或232）以上，采集点数5000点以上，不限采集驱动，不限转发驱动，不限转发点数，配套软件编辑平台，网关管理平台，与枢纽楼大屏网关平台兼容</w:t>
            </w:r>
          </w:p>
        </w:tc>
        <w:tc>
          <w:tcPr>
            <w:tcW w:w="1080" w:type="dxa"/>
            <w:tcBorders>
              <w:top w:val="nil"/>
              <w:left w:val="nil"/>
              <w:bottom w:val="single" w:color="auto" w:sz="4" w:space="0"/>
              <w:right w:val="single" w:color="auto" w:sz="4" w:space="0"/>
            </w:tcBorders>
            <w:shd w:val="clear" w:color="auto" w:fill="auto"/>
            <w:noWrap/>
            <w:vAlign w:val="bottom"/>
          </w:tcPr>
          <w:p w14:paraId="1F2687A6">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auto" w:fill="auto"/>
            <w:noWrap/>
            <w:vAlign w:val="center"/>
          </w:tcPr>
          <w:p w14:paraId="5F3CB6BD">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14:paraId="61969DF5">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个</w:t>
            </w:r>
          </w:p>
        </w:tc>
      </w:tr>
      <w:tr w14:paraId="0FDB87F5">
        <w:tblPrEx>
          <w:tblCellMar>
            <w:top w:w="0" w:type="dxa"/>
            <w:left w:w="108" w:type="dxa"/>
            <w:bottom w:w="0" w:type="dxa"/>
            <w:right w:w="108" w:type="dxa"/>
          </w:tblCellMar>
        </w:tblPrEx>
        <w:trPr>
          <w:trHeight w:val="285" w:hRule="atLeast"/>
        </w:trPr>
        <w:tc>
          <w:tcPr>
            <w:tcW w:w="216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50220098">
            <w:pPr>
              <w:widowControl/>
              <w:jc w:val="left"/>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四、施工</w:t>
            </w:r>
          </w:p>
        </w:tc>
        <w:tc>
          <w:tcPr>
            <w:tcW w:w="3680" w:type="dxa"/>
            <w:gridSpan w:val="2"/>
            <w:tcBorders>
              <w:top w:val="nil"/>
              <w:left w:val="nil"/>
              <w:bottom w:val="single" w:color="auto" w:sz="4" w:space="0"/>
              <w:right w:val="single" w:color="auto" w:sz="4" w:space="0"/>
            </w:tcBorders>
            <w:shd w:val="clear" w:color="000000" w:fill="FFFFFF"/>
            <w:noWrap/>
            <w:vAlign w:val="bottom"/>
          </w:tcPr>
          <w:p w14:paraId="3884BFB8">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tcPr>
          <w:p w14:paraId="272AFE31">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bottom"/>
          </w:tcPr>
          <w:p w14:paraId="126D62C9">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tcPr>
          <w:p w14:paraId="4A4066AD">
            <w:pPr>
              <w:widowControl/>
              <w:rPr>
                <w:rFonts w:ascii="等线" w:hAnsi="等线" w:eastAsia="等线" w:cs="Tahoma"/>
                <w:b/>
                <w:bCs/>
                <w:color w:val="000000"/>
                <w:kern w:val="0"/>
                <w:sz w:val="20"/>
                <w:szCs w:val="20"/>
              </w:rPr>
            </w:pPr>
            <w:r>
              <w:rPr>
                <w:rFonts w:hint="eastAsia" w:ascii="等线" w:hAnsi="等线" w:eastAsia="等线" w:cs="Tahoma"/>
                <w:b/>
                <w:bCs/>
                <w:color w:val="000000"/>
                <w:kern w:val="0"/>
                <w:sz w:val="20"/>
                <w:szCs w:val="20"/>
              </w:rPr>
              <w:t>　</w:t>
            </w:r>
          </w:p>
        </w:tc>
      </w:tr>
      <w:tr w14:paraId="5545F9BD">
        <w:tblPrEx>
          <w:tblCellMar>
            <w:top w:w="0" w:type="dxa"/>
            <w:left w:w="108" w:type="dxa"/>
            <w:bottom w:w="0" w:type="dxa"/>
            <w:right w:w="108" w:type="dxa"/>
          </w:tblCellMar>
        </w:tblPrEx>
        <w:trPr>
          <w:trHeight w:val="51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30BCAE65">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733" w:type="dxa"/>
            <w:gridSpan w:val="2"/>
            <w:tcBorders>
              <w:top w:val="nil"/>
              <w:left w:val="nil"/>
              <w:bottom w:val="single" w:color="auto" w:sz="4" w:space="0"/>
              <w:right w:val="single" w:color="auto" w:sz="4" w:space="0"/>
            </w:tcBorders>
            <w:shd w:val="clear" w:color="000000" w:fill="FFFFFF"/>
          </w:tcPr>
          <w:p w14:paraId="282B7B1B">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工控机</w:t>
            </w:r>
          </w:p>
        </w:tc>
        <w:tc>
          <w:tcPr>
            <w:tcW w:w="3680" w:type="dxa"/>
            <w:gridSpan w:val="2"/>
            <w:tcBorders>
              <w:top w:val="nil"/>
              <w:left w:val="nil"/>
              <w:bottom w:val="single" w:color="auto" w:sz="4" w:space="0"/>
              <w:right w:val="single" w:color="auto" w:sz="4" w:space="0"/>
            </w:tcBorders>
            <w:shd w:val="clear" w:color="000000" w:fill="FFFFFF"/>
          </w:tcPr>
          <w:p w14:paraId="624B3C0A">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主机+23.8英寸显示器，13代i5-1340016G256GSSD+1TB</w:t>
            </w:r>
          </w:p>
        </w:tc>
        <w:tc>
          <w:tcPr>
            <w:tcW w:w="1080" w:type="dxa"/>
            <w:tcBorders>
              <w:top w:val="nil"/>
              <w:left w:val="nil"/>
              <w:bottom w:val="single" w:color="auto" w:sz="4" w:space="0"/>
              <w:right w:val="single" w:color="auto" w:sz="4" w:space="0"/>
            </w:tcBorders>
            <w:shd w:val="clear" w:color="000000" w:fill="FFFFFF"/>
            <w:noWrap/>
            <w:vAlign w:val="bottom"/>
          </w:tcPr>
          <w:p w14:paraId="403A5B1C">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072726A0">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6762783A">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台</w:t>
            </w:r>
          </w:p>
        </w:tc>
      </w:tr>
      <w:tr w14:paraId="42930CA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1104EC72">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2</w:t>
            </w:r>
          </w:p>
        </w:tc>
        <w:tc>
          <w:tcPr>
            <w:tcW w:w="1733" w:type="dxa"/>
            <w:gridSpan w:val="2"/>
            <w:tcBorders>
              <w:top w:val="nil"/>
              <w:left w:val="nil"/>
              <w:bottom w:val="single" w:color="auto" w:sz="4" w:space="0"/>
              <w:right w:val="single" w:color="auto" w:sz="4" w:space="0"/>
            </w:tcBorders>
            <w:shd w:val="clear" w:color="000000" w:fill="FFFFFF"/>
            <w:vAlign w:val="bottom"/>
          </w:tcPr>
          <w:p w14:paraId="37873ADF">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控制线</w:t>
            </w:r>
          </w:p>
        </w:tc>
        <w:tc>
          <w:tcPr>
            <w:tcW w:w="3680" w:type="dxa"/>
            <w:gridSpan w:val="2"/>
            <w:tcBorders>
              <w:top w:val="nil"/>
              <w:left w:val="nil"/>
              <w:bottom w:val="single" w:color="auto" w:sz="4" w:space="0"/>
              <w:right w:val="single" w:color="auto" w:sz="4" w:space="0"/>
            </w:tcBorders>
            <w:shd w:val="clear" w:color="000000" w:fill="FFFFFF"/>
            <w:noWrap/>
          </w:tcPr>
          <w:p w14:paraId="00F510AE">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RVV8*1.0</w:t>
            </w:r>
          </w:p>
        </w:tc>
        <w:tc>
          <w:tcPr>
            <w:tcW w:w="1080" w:type="dxa"/>
            <w:tcBorders>
              <w:top w:val="nil"/>
              <w:left w:val="nil"/>
              <w:bottom w:val="single" w:color="auto" w:sz="4" w:space="0"/>
              <w:right w:val="single" w:color="auto" w:sz="4" w:space="0"/>
            </w:tcBorders>
            <w:shd w:val="clear" w:color="000000" w:fill="FFFFFF"/>
            <w:noWrap/>
            <w:vAlign w:val="center"/>
          </w:tcPr>
          <w:p w14:paraId="226A6234">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68C18F0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3000</w:t>
            </w:r>
          </w:p>
        </w:tc>
        <w:tc>
          <w:tcPr>
            <w:tcW w:w="1080" w:type="dxa"/>
            <w:tcBorders>
              <w:top w:val="nil"/>
              <w:left w:val="nil"/>
              <w:bottom w:val="single" w:color="auto" w:sz="4" w:space="0"/>
              <w:right w:val="single" w:color="auto" w:sz="4" w:space="0"/>
            </w:tcBorders>
            <w:shd w:val="clear" w:color="000000" w:fill="FFFFFF"/>
            <w:noWrap/>
            <w:vAlign w:val="center"/>
          </w:tcPr>
          <w:p w14:paraId="1EB3B34B">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米</w:t>
            </w:r>
          </w:p>
        </w:tc>
      </w:tr>
      <w:tr w14:paraId="6821D0F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3980E171">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3</w:t>
            </w:r>
          </w:p>
        </w:tc>
        <w:tc>
          <w:tcPr>
            <w:tcW w:w="1733" w:type="dxa"/>
            <w:gridSpan w:val="2"/>
            <w:tcBorders>
              <w:top w:val="nil"/>
              <w:left w:val="nil"/>
              <w:bottom w:val="single" w:color="auto" w:sz="4" w:space="0"/>
              <w:right w:val="single" w:color="auto" w:sz="4" w:space="0"/>
            </w:tcBorders>
            <w:shd w:val="clear" w:color="000000" w:fill="FFFFFF"/>
            <w:vAlign w:val="bottom"/>
          </w:tcPr>
          <w:p w14:paraId="2FD469F9">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控制线</w:t>
            </w:r>
          </w:p>
        </w:tc>
        <w:tc>
          <w:tcPr>
            <w:tcW w:w="3680" w:type="dxa"/>
            <w:gridSpan w:val="2"/>
            <w:tcBorders>
              <w:top w:val="nil"/>
              <w:left w:val="nil"/>
              <w:bottom w:val="single" w:color="auto" w:sz="4" w:space="0"/>
              <w:right w:val="single" w:color="auto" w:sz="4" w:space="0"/>
            </w:tcBorders>
            <w:shd w:val="clear" w:color="000000" w:fill="FFFFFF"/>
            <w:noWrap/>
          </w:tcPr>
          <w:p w14:paraId="7CA4A8B5">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RVV6*1.0</w:t>
            </w:r>
          </w:p>
        </w:tc>
        <w:tc>
          <w:tcPr>
            <w:tcW w:w="1080" w:type="dxa"/>
            <w:tcBorders>
              <w:top w:val="nil"/>
              <w:left w:val="nil"/>
              <w:bottom w:val="single" w:color="auto" w:sz="4" w:space="0"/>
              <w:right w:val="single" w:color="auto" w:sz="4" w:space="0"/>
            </w:tcBorders>
            <w:shd w:val="clear" w:color="000000" w:fill="FFFFFF"/>
            <w:noWrap/>
            <w:vAlign w:val="center"/>
          </w:tcPr>
          <w:p w14:paraId="7B676437">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1035DA4C">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4000</w:t>
            </w:r>
          </w:p>
        </w:tc>
        <w:tc>
          <w:tcPr>
            <w:tcW w:w="1080" w:type="dxa"/>
            <w:tcBorders>
              <w:top w:val="nil"/>
              <w:left w:val="nil"/>
              <w:bottom w:val="single" w:color="auto" w:sz="4" w:space="0"/>
              <w:right w:val="single" w:color="auto" w:sz="4" w:space="0"/>
            </w:tcBorders>
            <w:shd w:val="clear" w:color="000000" w:fill="FFFFFF"/>
            <w:noWrap/>
            <w:vAlign w:val="center"/>
          </w:tcPr>
          <w:p w14:paraId="49AB58A6">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米</w:t>
            </w:r>
          </w:p>
        </w:tc>
      </w:tr>
      <w:tr w14:paraId="1B46527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123D6DCE">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4</w:t>
            </w:r>
          </w:p>
        </w:tc>
        <w:tc>
          <w:tcPr>
            <w:tcW w:w="1733" w:type="dxa"/>
            <w:gridSpan w:val="2"/>
            <w:tcBorders>
              <w:top w:val="nil"/>
              <w:left w:val="nil"/>
              <w:bottom w:val="single" w:color="auto" w:sz="4" w:space="0"/>
              <w:right w:val="single" w:color="auto" w:sz="4" w:space="0"/>
            </w:tcBorders>
            <w:shd w:val="clear" w:color="000000" w:fill="FFFFFF"/>
            <w:vAlign w:val="bottom"/>
          </w:tcPr>
          <w:p w14:paraId="21BBAE53">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控制线</w:t>
            </w:r>
          </w:p>
        </w:tc>
        <w:tc>
          <w:tcPr>
            <w:tcW w:w="3680" w:type="dxa"/>
            <w:gridSpan w:val="2"/>
            <w:tcBorders>
              <w:top w:val="nil"/>
              <w:left w:val="nil"/>
              <w:bottom w:val="single" w:color="auto" w:sz="4" w:space="0"/>
              <w:right w:val="single" w:color="auto" w:sz="4" w:space="0"/>
            </w:tcBorders>
            <w:shd w:val="clear" w:color="000000" w:fill="FFFFFF"/>
            <w:noWrap/>
          </w:tcPr>
          <w:p w14:paraId="79400D2E">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RVV4*1.0</w:t>
            </w:r>
          </w:p>
        </w:tc>
        <w:tc>
          <w:tcPr>
            <w:tcW w:w="1080" w:type="dxa"/>
            <w:tcBorders>
              <w:top w:val="nil"/>
              <w:left w:val="nil"/>
              <w:bottom w:val="single" w:color="auto" w:sz="4" w:space="0"/>
              <w:right w:val="single" w:color="auto" w:sz="4" w:space="0"/>
            </w:tcBorders>
            <w:shd w:val="clear" w:color="000000" w:fill="FFFFFF"/>
            <w:noWrap/>
            <w:vAlign w:val="center"/>
          </w:tcPr>
          <w:p w14:paraId="0DA160E8">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538D2B7B">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2500</w:t>
            </w:r>
          </w:p>
        </w:tc>
        <w:tc>
          <w:tcPr>
            <w:tcW w:w="1080" w:type="dxa"/>
            <w:tcBorders>
              <w:top w:val="nil"/>
              <w:left w:val="nil"/>
              <w:bottom w:val="single" w:color="auto" w:sz="4" w:space="0"/>
              <w:right w:val="single" w:color="auto" w:sz="4" w:space="0"/>
            </w:tcBorders>
            <w:shd w:val="clear" w:color="000000" w:fill="FFFFFF"/>
            <w:noWrap/>
            <w:vAlign w:val="center"/>
          </w:tcPr>
          <w:p w14:paraId="1C9F59A4">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米</w:t>
            </w:r>
          </w:p>
        </w:tc>
      </w:tr>
      <w:tr w14:paraId="01EC8BE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193C18D6">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5</w:t>
            </w:r>
          </w:p>
        </w:tc>
        <w:tc>
          <w:tcPr>
            <w:tcW w:w="1733" w:type="dxa"/>
            <w:gridSpan w:val="2"/>
            <w:tcBorders>
              <w:top w:val="nil"/>
              <w:left w:val="nil"/>
              <w:bottom w:val="single" w:color="auto" w:sz="4" w:space="0"/>
              <w:right w:val="single" w:color="auto" w:sz="4" w:space="0"/>
            </w:tcBorders>
            <w:shd w:val="clear" w:color="000000" w:fill="FFFFFF"/>
            <w:vAlign w:val="bottom"/>
          </w:tcPr>
          <w:p w14:paraId="61CC6430">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控制线</w:t>
            </w:r>
          </w:p>
        </w:tc>
        <w:tc>
          <w:tcPr>
            <w:tcW w:w="3680" w:type="dxa"/>
            <w:gridSpan w:val="2"/>
            <w:tcBorders>
              <w:top w:val="nil"/>
              <w:left w:val="nil"/>
              <w:bottom w:val="single" w:color="auto" w:sz="4" w:space="0"/>
              <w:right w:val="single" w:color="auto" w:sz="4" w:space="0"/>
            </w:tcBorders>
            <w:shd w:val="clear" w:color="000000" w:fill="FFFFFF"/>
            <w:noWrap/>
          </w:tcPr>
          <w:p w14:paraId="063327B8">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RVV2*1.0</w:t>
            </w:r>
          </w:p>
        </w:tc>
        <w:tc>
          <w:tcPr>
            <w:tcW w:w="1080" w:type="dxa"/>
            <w:tcBorders>
              <w:top w:val="nil"/>
              <w:left w:val="nil"/>
              <w:bottom w:val="single" w:color="auto" w:sz="4" w:space="0"/>
              <w:right w:val="single" w:color="auto" w:sz="4" w:space="0"/>
            </w:tcBorders>
            <w:shd w:val="clear" w:color="000000" w:fill="FFFFFF"/>
            <w:noWrap/>
            <w:vAlign w:val="center"/>
          </w:tcPr>
          <w:p w14:paraId="6312BCF5">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3A56F61B">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1000</w:t>
            </w:r>
          </w:p>
        </w:tc>
        <w:tc>
          <w:tcPr>
            <w:tcW w:w="1080" w:type="dxa"/>
            <w:tcBorders>
              <w:top w:val="nil"/>
              <w:left w:val="nil"/>
              <w:bottom w:val="single" w:color="auto" w:sz="4" w:space="0"/>
              <w:right w:val="single" w:color="auto" w:sz="4" w:space="0"/>
            </w:tcBorders>
            <w:shd w:val="clear" w:color="000000" w:fill="FFFFFF"/>
            <w:noWrap/>
            <w:vAlign w:val="center"/>
          </w:tcPr>
          <w:p w14:paraId="68A62C7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米</w:t>
            </w:r>
          </w:p>
        </w:tc>
      </w:tr>
      <w:tr w14:paraId="66ED6708">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3A382195">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6</w:t>
            </w:r>
          </w:p>
        </w:tc>
        <w:tc>
          <w:tcPr>
            <w:tcW w:w="1733" w:type="dxa"/>
            <w:gridSpan w:val="2"/>
            <w:tcBorders>
              <w:top w:val="nil"/>
              <w:left w:val="nil"/>
              <w:bottom w:val="single" w:color="auto" w:sz="4" w:space="0"/>
              <w:right w:val="single" w:color="auto" w:sz="4" w:space="0"/>
            </w:tcBorders>
            <w:shd w:val="clear" w:color="000000" w:fill="FFFFFF"/>
            <w:vAlign w:val="bottom"/>
          </w:tcPr>
          <w:p w14:paraId="6B7054EC">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通讯线</w:t>
            </w:r>
          </w:p>
        </w:tc>
        <w:tc>
          <w:tcPr>
            <w:tcW w:w="3680" w:type="dxa"/>
            <w:gridSpan w:val="2"/>
            <w:tcBorders>
              <w:top w:val="nil"/>
              <w:left w:val="nil"/>
              <w:bottom w:val="single" w:color="auto" w:sz="4" w:space="0"/>
              <w:right w:val="single" w:color="auto" w:sz="4" w:space="0"/>
            </w:tcBorders>
            <w:shd w:val="clear" w:color="000000" w:fill="FFFFFF"/>
            <w:noWrap/>
          </w:tcPr>
          <w:p w14:paraId="3C2C8F3B">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8芯光纤</w:t>
            </w:r>
          </w:p>
        </w:tc>
        <w:tc>
          <w:tcPr>
            <w:tcW w:w="1080" w:type="dxa"/>
            <w:tcBorders>
              <w:top w:val="nil"/>
              <w:left w:val="nil"/>
              <w:bottom w:val="single" w:color="auto" w:sz="4" w:space="0"/>
              <w:right w:val="single" w:color="auto" w:sz="4" w:space="0"/>
            </w:tcBorders>
            <w:shd w:val="clear" w:color="000000" w:fill="FFFFFF"/>
            <w:noWrap/>
            <w:vAlign w:val="center"/>
          </w:tcPr>
          <w:p w14:paraId="6E2A6F2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7F0612F8">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8000</w:t>
            </w:r>
          </w:p>
        </w:tc>
        <w:tc>
          <w:tcPr>
            <w:tcW w:w="1080" w:type="dxa"/>
            <w:tcBorders>
              <w:top w:val="nil"/>
              <w:left w:val="nil"/>
              <w:bottom w:val="single" w:color="auto" w:sz="4" w:space="0"/>
              <w:right w:val="single" w:color="auto" w:sz="4" w:space="0"/>
            </w:tcBorders>
            <w:shd w:val="clear" w:color="000000" w:fill="FFFFFF"/>
            <w:noWrap/>
            <w:vAlign w:val="center"/>
          </w:tcPr>
          <w:p w14:paraId="289646CA">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米</w:t>
            </w:r>
          </w:p>
        </w:tc>
      </w:tr>
      <w:tr w14:paraId="3E04C8D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27BC73D5">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7</w:t>
            </w:r>
          </w:p>
        </w:tc>
        <w:tc>
          <w:tcPr>
            <w:tcW w:w="1733" w:type="dxa"/>
            <w:gridSpan w:val="2"/>
            <w:tcBorders>
              <w:top w:val="nil"/>
              <w:left w:val="nil"/>
              <w:bottom w:val="single" w:color="auto" w:sz="4" w:space="0"/>
              <w:right w:val="single" w:color="auto" w:sz="4" w:space="0"/>
            </w:tcBorders>
            <w:shd w:val="clear" w:color="000000" w:fill="FFFFFF"/>
            <w:vAlign w:val="bottom"/>
          </w:tcPr>
          <w:p w14:paraId="139EDF44">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通讯网线</w:t>
            </w:r>
          </w:p>
        </w:tc>
        <w:tc>
          <w:tcPr>
            <w:tcW w:w="3680" w:type="dxa"/>
            <w:gridSpan w:val="2"/>
            <w:tcBorders>
              <w:top w:val="nil"/>
              <w:left w:val="nil"/>
              <w:bottom w:val="single" w:color="auto" w:sz="4" w:space="0"/>
              <w:right w:val="single" w:color="auto" w:sz="4" w:space="0"/>
            </w:tcBorders>
            <w:shd w:val="clear" w:color="000000" w:fill="FFFFFF"/>
            <w:noWrap/>
          </w:tcPr>
          <w:p w14:paraId="2915A9C5">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六类网线</w:t>
            </w:r>
          </w:p>
        </w:tc>
        <w:tc>
          <w:tcPr>
            <w:tcW w:w="1080" w:type="dxa"/>
            <w:tcBorders>
              <w:top w:val="nil"/>
              <w:left w:val="nil"/>
              <w:bottom w:val="single" w:color="auto" w:sz="4" w:space="0"/>
              <w:right w:val="single" w:color="auto" w:sz="4" w:space="0"/>
            </w:tcBorders>
            <w:shd w:val="clear" w:color="000000" w:fill="FFFFFF"/>
            <w:noWrap/>
            <w:vAlign w:val="center"/>
          </w:tcPr>
          <w:p w14:paraId="240D4610">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71167664">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500</w:t>
            </w:r>
          </w:p>
        </w:tc>
        <w:tc>
          <w:tcPr>
            <w:tcW w:w="1080" w:type="dxa"/>
            <w:tcBorders>
              <w:top w:val="nil"/>
              <w:left w:val="nil"/>
              <w:bottom w:val="single" w:color="auto" w:sz="4" w:space="0"/>
              <w:right w:val="single" w:color="auto" w:sz="4" w:space="0"/>
            </w:tcBorders>
            <w:shd w:val="clear" w:color="000000" w:fill="FFFFFF"/>
            <w:noWrap/>
            <w:vAlign w:val="center"/>
          </w:tcPr>
          <w:p w14:paraId="4ECF8A48">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米</w:t>
            </w:r>
          </w:p>
        </w:tc>
      </w:tr>
      <w:tr w14:paraId="258A5017">
        <w:tblPrEx>
          <w:tblCellMar>
            <w:top w:w="0" w:type="dxa"/>
            <w:left w:w="108" w:type="dxa"/>
            <w:bottom w:w="0" w:type="dxa"/>
            <w:right w:w="108" w:type="dxa"/>
          </w:tblCellMar>
        </w:tblPrEx>
        <w:trPr>
          <w:trHeight w:val="51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35097AAA">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8</w:t>
            </w:r>
          </w:p>
        </w:tc>
        <w:tc>
          <w:tcPr>
            <w:tcW w:w="1733" w:type="dxa"/>
            <w:gridSpan w:val="2"/>
            <w:tcBorders>
              <w:top w:val="nil"/>
              <w:left w:val="nil"/>
              <w:bottom w:val="single" w:color="auto" w:sz="4" w:space="0"/>
              <w:right w:val="single" w:color="auto" w:sz="4" w:space="0"/>
            </w:tcBorders>
            <w:shd w:val="clear" w:color="000000" w:fill="FFFFFF"/>
          </w:tcPr>
          <w:p w14:paraId="354FDA31">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线管支架及其他辅材</w:t>
            </w:r>
          </w:p>
        </w:tc>
        <w:tc>
          <w:tcPr>
            <w:tcW w:w="3680" w:type="dxa"/>
            <w:gridSpan w:val="2"/>
            <w:tcBorders>
              <w:top w:val="nil"/>
              <w:left w:val="nil"/>
              <w:bottom w:val="single" w:color="auto" w:sz="4" w:space="0"/>
              <w:right w:val="single" w:color="auto" w:sz="4" w:space="0"/>
            </w:tcBorders>
            <w:shd w:val="clear" w:color="000000" w:fill="FFFFFF"/>
            <w:noWrap/>
          </w:tcPr>
          <w:p w14:paraId="1E1F3991">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DN20、DN25、辅材等</w:t>
            </w:r>
          </w:p>
        </w:tc>
        <w:tc>
          <w:tcPr>
            <w:tcW w:w="1080" w:type="dxa"/>
            <w:tcBorders>
              <w:top w:val="nil"/>
              <w:left w:val="nil"/>
              <w:bottom w:val="single" w:color="auto" w:sz="4" w:space="0"/>
              <w:right w:val="single" w:color="auto" w:sz="4" w:space="0"/>
            </w:tcBorders>
            <w:shd w:val="clear" w:color="000000" w:fill="FFFFFF"/>
            <w:noWrap/>
            <w:vAlign w:val="center"/>
          </w:tcPr>
          <w:p w14:paraId="36C1A90B">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19D55E6C">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09A740AC">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项</w:t>
            </w:r>
          </w:p>
        </w:tc>
      </w:tr>
      <w:tr w14:paraId="68F6E107">
        <w:tblPrEx>
          <w:tblCellMar>
            <w:top w:w="0" w:type="dxa"/>
            <w:left w:w="108" w:type="dxa"/>
            <w:bottom w:w="0" w:type="dxa"/>
            <w:right w:w="108" w:type="dxa"/>
          </w:tblCellMar>
        </w:tblPrEx>
        <w:trPr>
          <w:trHeight w:val="76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66F67329">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9</w:t>
            </w:r>
          </w:p>
        </w:tc>
        <w:tc>
          <w:tcPr>
            <w:tcW w:w="1733" w:type="dxa"/>
            <w:gridSpan w:val="2"/>
            <w:tcBorders>
              <w:top w:val="nil"/>
              <w:left w:val="nil"/>
              <w:bottom w:val="single" w:color="auto" w:sz="4" w:space="0"/>
              <w:right w:val="single" w:color="auto" w:sz="4" w:space="0"/>
            </w:tcBorders>
            <w:shd w:val="clear" w:color="000000" w:fill="FFFFFF"/>
          </w:tcPr>
          <w:p w14:paraId="50B9C66A">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机电设备柜内改造</w:t>
            </w:r>
          </w:p>
        </w:tc>
        <w:tc>
          <w:tcPr>
            <w:tcW w:w="3680" w:type="dxa"/>
            <w:gridSpan w:val="2"/>
            <w:tcBorders>
              <w:top w:val="nil"/>
              <w:left w:val="nil"/>
              <w:bottom w:val="single" w:color="auto" w:sz="4" w:space="0"/>
              <w:right w:val="single" w:color="auto" w:sz="4" w:space="0"/>
            </w:tcBorders>
            <w:shd w:val="clear" w:color="000000" w:fill="FFFFFF"/>
          </w:tcPr>
          <w:p w14:paraId="721D0B59">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新增分支段关联的风机、水泵、照明等控制柜电路，增加二次回路端子给PLC控制柜监控，出CAD原理图</w:t>
            </w:r>
          </w:p>
        </w:tc>
        <w:tc>
          <w:tcPr>
            <w:tcW w:w="1080" w:type="dxa"/>
            <w:tcBorders>
              <w:top w:val="nil"/>
              <w:left w:val="nil"/>
              <w:bottom w:val="single" w:color="auto" w:sz="4" w:space="0"/>
              <w:right w:val="single" w:color="auto" w:sz="4" w:space="0"/>
            </w:tcBorders>
            <w:shd w:val="clear" w:color="000000" w:fill="FFFFFF"/>
            <w:noWrap/>
            <w:vAlign w:val="center"/>
          </w:tcPr>
          <w:p w14:paraId="3EA439C1">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73EAA12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7B18A5E6">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项</w:t>
            </w:r>
          </w:p>
        </w:tc>
      </w:tr>
      <w:tr w14:paraId="4C52DB5C">
        <w:tblPrEx>
          <w:tblCellMar>
            <w:top w:w="0" w:type="dxa"/>
            <w:left w:w="108" w:type="dxa"/>
            <w:bottom w:w="0" w:type="dxa"/>
            <w:right w:w="108" w:type="dxa"/>
          </w:tblCellMar>
        </w:tblPrEx>
        <w:trPr>
          <w:trHeight w:val="76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41254FA2">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10</w:t>
            </w:r>
          </w:p>
        </w:tc>
        <w:tc>
          <w:tcPr>
            <w:tcW w:w="1733" w:type="dxa"/>
            <w:gridSpan w:val="2"/>
            <w:tcBorders>
              <w:top w:val="nil"/>
              <w:left w:val="nil"/>
              <w:bottom w:val="single" w:color="auto" w:sz="4" w:space="0"/>
              <w:right w:val="single" w:color="auto" w:sz="4" w:space="0"/>
            </w:tcBorders>
            <w:shd w:val="clear" w:color="000000" w:fill="FFFFFF"/>
          </w:tcPr>
          <w:p w14:paraId="438BA9F5">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系统调试</w:t>
            </w:r>
          </w:p>
        </w:tc>
        <w:tc>
          <w:tcPr>
            <w:tcW w:w="3680" w:type="dxa"/>
            <w:gridSpan w:val="2"/>
            <w:tcBorders>
              <w:top w:val="nil"/>
              <w:left w:val="nil"/>
              <w:bottom w:val="single" w:color="auto" w:sz="4" w:space="0"/>
              <w:right w:val="single" w:color="auto" w:sz="4" w:space="0"/>
            </w:tcBorders>
            <w:shd w:val="clear" w:color="000000" w:fill="FFFFFF"/>
          </w:tcPr>
          <w:p w14:paraId="05F20830">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新增的PLC控制柜，原系统故障点排查，原系统PLC物理地址分配IP地址，网络故障排查等，绘制CAD网络图，系统稳定运行</w:t>
            </w:r>
          </w:p>
        </w:tc>
        <w:tc>
          <w:tcPr>
            <w:tcW w:w="1080" w:type="dxa"/>
            <w:tcBorders>
              <w:top w:val="nil"/>
              <w:left w:val="nil"/>
              <w:bottom w:val="single" w:color="auto" w:sz="4" w:space="0"/>
              <w:right w:val="single" w:color="auto" w:sz="4" w:space="0"/>
            </w:tcBorders>
            <w:shd w:val="clear" w:color="000000" w:fill="FFFFFF"/>
            <w:noWrap/>
            <w:vAlign w:val="center"/>
          </w:tcPr>
          <w:p w14:paraId="3DD0FA9B">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　</w:t>
            </w:r>
          </w:p>
        </w:tc>
        <w:tc>
          <w:tcPr>
            <w:tcW w:w="1080" w:type="dxa"/>
            <w:gridSpan w:val="3"/>
            <w:tcBorders>
              <w:top w:val="nil"/>
              <w:left w:val="nil"/>
              <w:bottom w:val="single" w:color="auto" w:sz="4" w:space="0"/>
              <w:right w:val="single" w:color="auto" w:sz="4" w:space="0"/>
            </w:tcBorders>
            <w:shd w:val="clear" w:color="000000" w:fill="FFFFFF"/>
            <w:noWrap/>
            <w:vAlign w:val="center"/>
          </w:tcPr>
          <w:p w14:paraId="331DE95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4EAD4AF4">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项</w:t>
            </w:r>
          </w:p>
        </w:tc>
      </w:tr>
      <w:tr w14:paraId="2B8F70AB">
        <w:tblPrEx>
          <w:tblCellMar>
            <w:top w:w="0" w:type="dxa"/>
            <w:left w:w="108" w:type="dxa"/>
            <w:bottom w:w="0" w:type="dxa"/>
            <w:right w:w="108" w:type="dxa"/>
          </w:tblCellMar>
        </w:tblPrEx>
        <w:trPr>
          <w:trHeight w:val="1530"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1F8ECB4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11</w:t>
            </w:r>
          </w:p>
        </w:tc>
        <w:tc>
          <w:tcPr>
            <w:tcW w:w="1733" w:type="dxa"/>
            <w:gridSpan w:val="2"/>
            <w:tcBorders>
              <w:top w:val="nil"/>
              <w:left w:val="nil"/>
              <w:bottom w:val="single" w:color="auto" w:sz="4" w:space="0"/>
              <w:right w:val="single" w:color="auto" w:sz="4" w:space="0"/>
            </w:tcBorders>
            <w:shd w:val="clear" w:color="000000" w:fill="FFFFFF"/>
          </w:tcPr>
          <w:p w14:paraId="5A5B6067">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上位机软件升级改造</w:t>
            </w:r>
          </w:p>
        </w:tc>
        <w:tc>
          <w:tcPr>
            <w:tcW w:w="3680" w:type="dxa"/>
            <w:gridSpan w:val="2"/>
            <w:tcBorders>
              <w:top w:val="nil"/>
              <w:left w:val="nil"/>
              <w:bottom w:val="single" w:color="auto" w:sz="4" w:space="0"/>
              <w:right w:val="single" w:color="auto" w:sz="4" w:space="0"/>
            </w:tcBorders>
            <w:shd w:val="clear" w:color="000000" w:fill="FFFFFF"/>
          </w:tcPr>
          <w:p w14:paraId="07F9D0C7">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Wincc6.3升级到与冷站自控系统同版本Wincc7.5，原程序优化，与冷站风格一致、WINCC变量名称中文化，与冷站自控系统格式一致、界面美工，参照制备站自控系统风格，约有5000个点位，Wincc与PLC直连不经任何中转</w:t>
            </w:r>
          </w:p>
        </w:tc>
        <w:tc>
          <w:tcPr>
            <w:tcW w:w="1080" w:type="dxa"/>
            <w:tcBorders>
              <w:top w:val="nil"/>
              <w:left w:val="nil"/>
              <w:bottom w:val="single" w:color="auto" w:sz="4" w:space="0"/>
              <w:right w:val="single" w:color="auto" w:sz="4" w:space="0"/>
            </w:tcBorders>
            <w:shd w:val="clear" w:color="000000" w:fill="FFFFFF"/>
            <w:noWrap/>
            <w:vAlign w:val="center"/>
          </w:tcPr>
          <w:p w14:paraId="6E99DD7D">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10F2C3D3">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55FBDEEB">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项</w:t>
            </w:r>
          </w:p>
        </w:tc>
      </w:tr>
      <w:tr w14:paraId="4D994111">
        <w:tblPrEx>
          <w:tblCellMar>
            <w:top w:w="0" w:type="dxa"/>
            <w:left w:w="108" w:type="dxa"/>
            <w:bottom w:w="0" w:type="dxa"/>
            <w:right w:w="108" w:type="dxa"/>
          </w:tblCellMar>
        </w:tblPrEx>
        <w:trPr>
          <w:trHeight w:val="76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134FD298">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12</w:t>
            </w:r>
          </w:p>
        </w:tc>
        <w:tc>
          <w:tcPr>
            <w:tcW w:w="1733" w:type="dxa"/>
            <w:gridSpan w:val="2"/>
            <w:tcBorders>
              <w:top w:val="nil"/>
              <w:left w:val="nil"/>
              <w:bottom w:val="single" w:color="auto" w:sz="4" w:space="0"/>
              <w:right w:val="single" w:color="auto" w:sz="4" w:space="0"/>
            </w:tcBorders>
            <w:shd w:val="clear" w:color="000000" w:fill="FFFFFF"/>
          </w:tcPr>
          <w:p w14:paraId="1884CA18">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数据传送至枢纽楼</w:t>
            </w:r>
          </w:p>
        </w:tc>
        <w:tc>
          <w:tcPr>
            <w:tcW w:w="3680" w:type="dxa"/>
            <w:gridSpan w:val="2"/>
            <w:tcBorders>
              <w:top w:val="nil"/>
              <w:left w:val="nil"/>
              <w:bottom w:val="single" w:color="auto" w:sz="4" w:space="0"/>
              <w:right w:val="single" w:color="auto" w:sz="4" w:space="0"/>
            </w:tcBorders>
            <w:shd w:val="clear" w:color="000000" w:fill="FFFFFF"/>
          </w:tcPr>
          <w:p w14:paraId="53846906">
            <w:pPr>
              <w:widowControl/>
              <w:jc w:val="left"/>
              <w:rPr>
                <w:rFonts w:ascii="等线" w:hAnsi="等线" w:eastAsia="等线" w:cs="Tahoma"/>
                <w:color w:val="000000"/>
                <w:kern w:val="0"/>
                <w:sz w:val="20"/>
                <w:szCs w:val="20"/>
              </w:rPr>
            </w:pPr>
            <w:r>
              <w:rPr>
                <w:rFonts w:hint="eastAsia" w:ascii="等线" w:hAnsi="等线" w:eastAsia="等线" w:cs="Tahoma"/>
                <w:color w:val="000000"/>
                <w:kern w:val="0"/>
                <w:sz w:val="20"/>
                <w:szCs w:val="20"/>
              </w:rPr>
              <w:t>通过网关转发数据至枢纽楼并集成到枢纽楼上位机系统，枢纽楼上位机与管沟上位机同步</w:t>
            </w:r>
          </w:p>
        </w:tc>
        <w:tc>
          <w:tcPr>
            <w:tcW w:w="1080" w:type="dxa"/>
            <w:tcBorders>
              <w:top w:val="nil"/>
              <w:left w:val="nil"/>
              <w:bottom w:val="single" w:color="auto" w:sz="4" w:space="0"/>
              <w:right w:val="single" w:color="auto" w:sz="4" w:space="0"/>
            </w:tcBorders>
            <w:shd w:val="clear" w:color="000000" w:fill="FFFFFF"/>
            <w:noWrap/>
            <w:vAlign w:val="center"/>
          </w:tcPr>
          <w:p w14:paraId="32A5A669">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国优</w:t>
            </w:r>
          </w:p>
        </w:tc>
        <w:tc>
          <w:tcPr>
            <w:tcW w:w="1080" w:type="dxa"/>
            <w:gridSpan w:val="3"/>
            <w:tcBorders>
              <w:top w:val="nil"/>
              <w:left w:val="nil"/>
              <w:bottom w:val="single" w:color="auto" w:sz="4" w:space="0"/>
              <w:right w:val="single" w:color="auto" w:sz="4" w:space="0"/>
            </w:tcBorders>
            <w:shd w:val="clear" w:color="000000" w:fill="FFFFFF"/>
            <w:noWrap/>
            <w:vAlign w:val="center"/>
          </w:tcPr>
          <w:p w14:paraId="471FF0F0">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1</w:t>
            </w:r>
          </w:p>
        </w:tc>
        <w:tc>
          <w:tcPr>
            <w:tcW w:w="1080" w:type="dxa"/>
            <w:tcBorders>
              <w:top w:val="nil"/>
              <w:left w:val="nil"/>
              <w:bottom w:val="single" w:color="auto" w:sz="4" w:space="0"/>
              <w:right w:val="single" w:color="auto" w:sz="4" w:space="0"/>
            </w:tcBorders>
            <w:shd w:val="clear" w:color="000000" w:fill="FFFFFF"/>
            <w:noWrap/>
            <w:vAlign w:val="center"/>
          </w:tcPr>
          <w:p w14:paraId="0829D785">
            <w:pPr>
              <w:widowControl/>
              <w:jc w:val="center"/>
              <w:rPr>
                <w:rFonts w:ascii="等线" w:hAnsi="等线" w:eastAsia="等线" w:cs="Tahoma"/>
                <w:color w:val="000000"/>
                <w:kern w:val="0"/>
                <w:sz w:val="20"/>
                <w:szCs w:val="20"/>
              </w:rPr>
            </w:pPr>
            <w:r>
              <w:rPr>
                <w:rFonts w:hint="eastAsia" w:ascii="等线" w:hAnsi="等线" w:eastAsia="等线" w:cs="Tahoma"/>
                <w:color w:val="000000"/>
                <w:kern w:val="0"/>
                <w:sz w:val="20"/>
                <w:szCs w:val="20"/>
              </w:rPr>
              <w:t>项</w:t>
            </w:r>
          </w:p>
        </w:tc>
      </w:tr>
    </w:tbl>
    <w:p w14:paraId="30AD6C29">
      <w:pPr>
        <w:spacing w:before="120" w:beforeLines="50" w:after="120" w:afterLines="50" w:line="360" w:lineRule="auto"/>
        <w:jc w:val="center"/>
        <w:rPr>
          <w:rFonts w:ascii="宋体" w:hAnsi="宋体"/>
          <w:b/>
          <w:sz w:val="28"/>
          <w:szCs w:val="28"/>
        </w:rPr>
      </w:pPr>
    </w:p>
    <w:p w14:paraId="45159D7A">
      <w:pPr>
        <w:spacing w:before="120" w:beforeLines="50" w:after="120" w:afterLines="50" w:line="360" w:lineRule="auto"/>
        <w:rPr>
          <w:rFonts w:ascii="宋体" w:hAnsi="宋体" w:cs="宋体"/>
          <w:b/>
          <w:bCs/>
          <w:kern w:val="0"/>
          <w:sz w:val="24"/>
        </w:rPr>
      </w:pPr>
      <w:r>
        <w:rPr>
          <w:rFonts w:hint="eastAsia" w:ascii="宋体" w:hAnsi="宋体"/>
          <w:b/>
          <w:sz w:val="24"/>
        </w:rPr>
        <w:t>备注：</w:t>
      </w:r>
      <w:r>
        <w:rPr>
          <w:rFonts w:ascii="宋体" w:hAnsi="宋体"/>
          <w:b/>
          <w:sz w:val="24"/>
        </w:rPr>
        <w:t xml:space="preserve">1、 </w:t>
      </w:r>
      <w:r>
        <w:rPr>
          <w:rFonts w:hint="eastAsia" w:ascii="宋体" w:hAnsi="宋体" w:cs="宋体"/>
          <w:b/>
          <w:bCs/>
          <w:kern w:val="0"/>
          <w:sz w:val="24"/>
        </w:rPr>
        <w:t>工程量清单报价时建议按上述表格人工、材料分开单列报价。</w:t>
      </w:r>
    </w:p>
    <w:p w14:paraId="7F0F5ECB">
      <w:pPr>
        <w:spacing w:line="360" w:lineRule="auto"/>
        <w:ind w:firstLine="480" w:firstLineChars="200"/>
        <w:rPr>
          <w:rFonts w:ascii="宋体" w:hAnsi="宋体" w:cs="宋体"/>
          <w:bCs/>
          <w:kern w:val="0"/>
          <w:sz w:val="24"/>
        </w:rPr>
      </w:pPr>
    </w:p>
    <w:p w14:paraId="5E78869B">
      <w:pPr>
        <w:pStyle w:val="37"/>
        <w:numPr>
          <w:ilvl w:val="1"/>
          <w:numId w:val="5"/>
        </w:numPr>
        <w:spacing w:line="360" w:lineRule="auto"/>
        <w:ind w:left="0" w:firstLine="482"/>
        <w:rPr>
          <w:rFonts w:ascii="宋体" w:hAnsi="宋体"/>
          <w:b/>
          <w:sz w:val="24"/>
        </w:rPr>
      </w:pPr>
      <w:r>
        <w:rPr>
          <w:rFonts w:hint="eastAsia" w:ascii="宋体" w:hAnsi="宋体"/>
          <w:b/>
          <w:sz w:val="24"/>
        </w:rPr>
        <w:t>项目技术要求</w:t>
      </w:r>
    </w:p>
    <w:p w14:paraId="05DB7C9C">
      <w:pPr>
        <w:pStyle w:val="16"/>
        <w:shd w:val="clear" w:color="auto" w:fill="FFFFFF"/>
        <w:spacing w:line="360" w:lineRule="auto"/>
        <w:ind w:firstLine="480" w:firstLineChars="200"/>
        <w:rPr>
          <w:kern w:val="2"/>
        </w:rPr>
      </w:pPr>
      <w:r>
        <w:rPr>
          <w:kern w:val="2"/>
        </w:rPr>
        <w:t>1、</w:t>
      </w:r>
      <w:r>
        <w:rPr>
          <w:rFonts w:hint="eastAsia"/>
          <w:kern w:val="2"/>
        </w:rPr>
        <w:t>接线端子排及附件要按图纸安装完整，编号无缺失、所有紧固螺丝要拧紧，力矩合适，无松动或滑丝，线缆两端要按图纸套号码管，号码管长度，方向要一致，使用合适的字号，所有线缆接线端要压线卡，线卡无松动，变形，控制柜内无杂物，器件上无铁屑，控制柜的附件齐全，人机界面的工艺流程画面要与实际一致，</w:t>
      </w:r>
      <w:r>
        <w:rPr>
          <w:kern w:val="2"/>
        </w:rPr>
        <w:t>人机界面的布局设计根据人体工程学的要求应该实现简洁、平衡和风格一致</w:t>
      </w:r>
      <w:r>
        <w:rPr>
          <w:rFonts w:hint="eastAsia"/>
          <w:kern w:val="2"/>
        </w:rPr>
        <w:t>，</w:t>
      </w:r>
      <w:r>
        <w:rPr>
          <w:kern w:val="2"/>
        </w:rPr>
        <w:t>综合管沟的人机界面画面要同步集成到枢纽楼10楼自控系统电脑。</w:t>
      </w:r>
    </w:p>
    <w:p w14:paraId="3274C73C">
      <w:pPr>
        <w:pStyle w:val="16"/>
        <w:numPr>
          <w:ilvl w:val="0"/>
          <w:numId w:val="6"/>
        </w:numPr>
        <w:shd w:val="clear" w:color="auto" w:fill="FFFFFF"/>
        <w:spacing w:line="360" w:lineRule="auto"/>
        <w:ind w:left="0" w:firstLine="480" w:firstLineChars="200"/>
        <w:rPr>
          <w:kern w:val="2"/>
        </w:rPr>
      </w:pPr>
      <w:r>
        <w:rPr>
          <w:rFonts w:hint="eastAsia"/>
          <w:kern w:val="2"/>
        </w:rPr>
        <w:t>光缆部分</w:t>
      </w:r>
    </w:p>
    <w:p w14:paraId="33C189C2">
      <w:pPr>
        <w:pStyle w:val="16"/>
        <w:numPr>
          <w:ilvl w:val="2"/>
          <w:numId w:val="7"/>
        </w:numPr>
        <w:shd w:val="clear" w:color="auto" w:fill="FFFFFF"/>
        <w:spacing w:line="360" w:lineRule="auto"/>
        <w:ind w:left="0" w:firstLine="480" w:firstLineChars="200"/>
        <w:rPr>
          <w:kern w:val="2"/>
        </w:rPr>
      </w:pPr>
      <w:r>
        <w:rPr>
          <w:rFonts w:hint="eastAsia"/>
          <w:kern w:val="2"/>
        </w:rPr>
        <w:t>新光缆安装按施工深化图纸路由敷设，不可擅自改变，如有特殊情况确需改变，需向业主呈报方案，并经业主同意后方可实施。</w:t>
      </w:r>
    </w:p>
    <w:p w14:paraId="130438A4">
      <w:pPr>
        <w:pStyle w:val="16"/>
        <w:numPr>
          <w:ilvl w:val="2"/>
          <w:numId w:val="7"/>
        </w:numPr>
        <w:shd w:val="clear" w:color="auto" w:fill="FFFFFF"/>
        <w:spacing w:line="360" w:lineRule="auto"/>
        <w:ind w:left="0" w:firstLine="480" w:firstLineChars="200"/>
        <w:rPr>
          <w:kern w:val="2"/>
        </w:rPr>
      </w:pPr>
      <w:r>
        <w:rPr>
          <w:rFonts w:hint="eastAsia"/>
          <w:kern w:val="2"/>
        </w:rPr>
        <w:t>光纤弯曲时，弯曲半径应大于</w:t>
      </w:r>
      <w:r>
        <w:rPr>
          <w:kern w:val="2"/>
        </w:rPr>
        <w:t>50mm。</w:t>
      </w:r>
    </w:p>
    <w:p w14:paraId="4B0E7269">
      <w:pPr>
        <w:pStyle w:val="16"/>
        <w:numPr>
          <w:ilvl w:val="2"/>
          <w:numId w:val="7"/>
        </w:numPr>
        <w:shd w:val="clear" w:color="auto" w:fill="FFFFFF"/>
        <w:spacing w:line="360" w:lineRule="auto"/>
        <w:ind w:left="0" w:firstLine="480" w:firstLineChars="200"/>
        <w:rPr>
          <w:kern w:val="2"/>
        </w:rPr>
      </w:pPr>
      <w:r>
        <w:rPr>
          <w:rFonts w:hint="eastAsia"/>
          <w:kern w:val="2"/>
        </w:rPr>
        <w:t>余量段必须用尼龙扎带将其绑扎成环状，牢靠固定，弯曲半径应大于</w:t>
      </w:r>
      <w:r>
        <w:rPr>
          <w:kern w:val="2"/>
        </w:rPr>
        <w:t>50mm。</w:t>
      </w:r>
    </w:p>
    <w:p w14:paraId="7FAE7252">
      <w:pPr>
        <w:pStyle w:val="16"/>
        <w:numPr>
          <w:ilvl w:val="2"/>
          <w:numId w:val="7"/>
        </w:numPr>
        <w:shd w:val="clear" w:color="auto" w:fill="FFFFFF"/>
        <w:spacing w:line="360" w:lineRule="auto"/>
        <w:ind w:left="0" w:firstLine="480" w:firstLineChars="200"/>
        <w:rPr>
          <w:kern w:val="2"/>
        </w:rPr>
      </w:pPr>
      <w:r>
        <w:rPr>
          <w:rFonts w:hint="eastAsia"/>
          <w:kern w:val="2"/>
        </w:rPr>
        <w:t>同一光通道所有折断处、有明显损伤处必须熔接。</w:t>
      </w:r>
    </w:p>
    <w:p w14:paraId="5516634A">
      <w:pPr>
        <w:pStyle w:val="16"/>
        <w:numPr>
          <w:ilvl w:val="2"/>
          <w:numId w:val="7"/>
        </w:numPr>
        <w:shd w:val="clear" w:color="auto" w:fill="FFFFFF"/>
        <w:spacing w:line="360" w:lineRule="auto"/>
        <w:ind w:left="0" w:firstLine="480" w:firstLineChars="200"/>
        <w:rPr>
          <w:kern w:val="2"/>
        </w:rPr>
      </w:pPr>
      <w:r>
        <w:rPr>
          <w:rFonts w:hint="eastAsia"/>
          <w:kern w:val="2"/>
        </w:rPr>
        <w:t>光纤接头处应使用光缆接续盒保护，光缆接续盒、终端保护盒防护等级应达到或高于</w:t>
      </w:r>
      <w:r>
        <w:rPr>
          <w:kern w:val="2"/>
        </w:rPr>
        <w:t>IP65。光缆接续盒应固定在墙壁或支架上。</w:t>
      </w:r>
    </w:p>
    <w:p w14:paraId="6828A0D5">
      <w:pPr>
        <w:pStyle w:val="16"/>
        <w:numPr>
          <w:ilvl w:val="2"/>
          <w:numId w:val="7"/>
        </w:numPr>
        <w:shd w:val="clear" w:color="auto" w:fill="FFFFFF"/>
        <w:spacing w:line="360" w:lineRule="auto"/>
        <w:ind w:left="0" w:firstLine="480" w:firstLineChars="200"/>
        <w:rPr>
          <w:kern w:val="2"/>
        </w:rPr>
      </w:pPr>
      <w:r>
        <w:rPr>
          <w:rFonts w:hint="eastAsia"/>
          <w:kern w:val="2"/>
        </w:rPr>
        <w:t>光纤连接应采用专用设备，连接后必须对光纤进行测试，单个接头熔接损耗不得大于</w:t>
      </w:r>
      <w:r>
        <w:rPr>
          <w:kern w:val="2"/>
        </w:rPr>
        <w:t>0.2dB。</w:t>
      </w:r>
    </w:p>
    <w:p w14:paraId="4675F1DD">
      <w:pPr>
        <w:pStyle w:val="16"/>
        <w:numPr>
          <w:ilvl w:val="2"/>
          <w:numId w:val="7"/>
        </w:numPr>
        <w:shd w:val="clear" w:color="auto" w:fill="FFFFFF"/>
        <w:spacing w:line="360" w:lineRule="auto"/>
        <w:ind w:left="0" w:firstLine="480" w:firstLineChars="200"/>
        <w:rPr>
          <w:kern w:val="2"/>
        </w:rPr>
      </w:pPr>
      <w:r>
        <w:rPr>
          <w:rFonts w:hint="eastAsia"/>
          <w:kern w:val="2"/>
        </w:rPr>
        <w:t>每段光缆应编号并记录、贴好现场标识</w:t>
      </w:r>
    </w:p>
    <w:p w14:paraId="02B4A999">
      <w:pPr>
        <w:pStyle w:val="16"/>
        <w:numPr>
          <w:ilvl w:val="2"/>
          <w:numId w:val="7"/>
        </w:numPr>
        <w:shd w:val="clear" w:color="auto" w:fill="FFFFFF"/>
        <w:spacing w:line="360" w:lineRule="auto"/>
        <w:ind w:left="0" w:firstLine="480" w:firstLineChars="200"/>
        <w:rPr>
          <w:kern w:val="2"/>
        </w:rPr>
      </w:pPr>
      <w:r>
        <w:rPr>
          <w:rFonts w:hint="eastAsia"/>
          <w:kern w:val="2"/>
        </w:rPr>
        <w:t>每段光缆的安装位置（起点和终点）应作记录。</w:t>
      </w:r>
    </w:p>
    <w:p w14:paraId="009E3DAC">
      <w:pPr>
        <w:pStyle w:val="16"/>
        <w:numPr>
          <w:ilvl w:val="2"/>
          <w:numId w:val="7"/>
        </w:numPr>
        <w:shd w:val="clear" w:color="auto" w:fill="FFFFFF"/>
        <w:spacing w:line="360" w:lineRule="auto"/>
        <w:ind w:left="0" w:firstLine="480" w:firstLineChars="200"/>
        <w:rPr>
          <w:kern w:val="2"/>
        </w:rPr>
      </w:pPr>
      <w:r>
        <w:rPr>
          <w:rFonts w:hint="eastAsia"/>
          <w:kern w:val="2"/>
        </w:rPr>
        <w:t>光缆安装完成后，需对每段连续的光缆进行测光，形成测试记录。</w:t>
      </w:r>
    </w:p>
    <w:p w14:paraId="1CF31EC9">
      <w:pPr>
        <w:pStyle w:val="16"/>
        <w:numPr>
          <w:ilvl w:val="0"/>
          <w:numId w:val="7"/>
        </w:numPr>
        <w:shd w:val="clear" w:color="auto" w:fill="FFFFFF"/>
        <w:spacing w:line="360" w:lineRule="auto"/>
        <w:ind w:left="0" w:firstLine="480" w:firstLineChars="200"/>
        <w:rPr>
          <w:kern w:val="2"/>
        </w:rPr>
      </w:pPr>
      <w:r>
        <w:rPr>
          <w:rFonts w:hint="eastAsia"/>
          <w:kern w:val="2"/>
        </w:rPr>
        <w:t>监控设备及数据采样、传输方式</w:t>
      </w:r>
    </w:p>
    <w:p w14:paraId="446377C6">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6DDB09AE">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4DD96ABA">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436B9B8D">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0DCCB1F7">
      <w:pPr>
        <w:pStyle w:val="56"/>
        <w:widowControl w:val="0"/>
        <w:numPr>
          <w:ilvl w:val="1"/>
          <w:numId w:val="8"/>
        </w:numPr>
        <w:spacing w:line="360" w:lineRule="auto"/>
        <w:ind w:left="0" w:firstLine="480"/>
        <w:jc w:val="both"/>
        <w:rPr>
          <w:rFonts w:ascii="宋体" w:hAnsi="宋体" w:eastAsia="宋体"/>
          <w:vanish/>
          <w:kern w:val="2"/>
          <w:sz w:val="24"/>
          <w:lang w:eastAsia="zh-CN"/>
        </w:rPr>
      </w:pPr>
    </w:p>
    <w:p w14:paraId="76694F97">
      <w:pPr>
        <w:pStyle w:val="56"/>
        <w:widowControl w:val="0"/>
        <w:numPr>
          <w:ilvl w:val="1"/>
          <w:numId w:val="8"/>
        </w:numPr>
        <w:spacing w:line="360" w:lineRule="auto"/>
        <w:ind w:left="0" w:firstLine="480"/>
        <w:jc w:val="both"/>
        <w:rPr>
          <w:rFonts w:ascii="宋体" w:hAnsi="宋体" w:eastAsia="宋体"/>
          <w:vanish/>
          <w:kern w:val="2"/>
          <w:sz w:val="24"/>
          <w:lang w:eastAsia="zh-CN"/>
        </w:rPr>
      </w:pPr>
    </w:p>
    <w:p w14:paraId="71FC29DE">
      <w:pPr>
        <w:pStyle w:val="56"/>
        <w:widowControl w:val="0"/>
        <w:numPr>
          <w:ilvl w:val="1"/>
          <w:numId w:val="8"/>
        </w:numPr>
        <w:spacing w:line="360" w:lineRule="auto"/>
        <w:ind w:left="0" w:firstLine="480"/>
        <w:jc w:val="both"/>
        <w:rPr>
          <w:rFonts w:ascii="宋体" w:hAnsi="宋体" w:eastAsia="宋体"/>
          <w:vanish/>
          <w:kern w:val="2"/>
          <w:sz w:val="24"/>
          <w:lang w:eastAsia="zh-CN"/>
        </w:rPr>
      </w:pPr>
    </w:p>
    <w:p w14:paraId="29049FA2">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kern w:val="2"/>
          <w:sz w:val="24"/>
          <w:lang w:eastAsia="zh-CN"/>
        </w:rPr>
        <w:t>控制柜、箱及附件、电器元件防护等级为</w:t>
      </w:r>
      <w:r>
        <w:rPr>
          <w:rFonts w:ascii="宋体" w:hAnsi="宋体" w:eastAsia="宋体"/>
          <w:kern w:val="2"/>
          <w:sz w:val="24"/>
          <w:lang w:eastAsia="zh-CN"/>
        </w:rPr>
        <w:t>IP55、环境温度60</w:t>
      </w:r>
      <w:r>
        <w:rPr>
          <w:rFonts w:hint="eastAsia" w:ascii="宋体" w:hAnsi="宋体" w:eastAsia="宋体"/>
          <w:kern w:val="2"/>
          <w:sz w:val="24"/>
          <w:lang w:eastAsia="zh-CN"/>
        </w:rPr>
        <w:t>℃以上。风机、温度、水位、压力、环境监测、水泵等监控采用硬接线方式接入控制柜，方便设备维护。</w:t>
      </w:r>
    </w:p>
    <w:p w14:paraId="42878EB7">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kern w:val="2"/>
          <w:sz w:val="24"/>
          <w:lang w:eastAsia="zh-CN"/>
        </w:rPr>
        <w:t>通过</w:t>
      </w:r>
      <w:r>
        <w:rPr>
          <w:rFonts w:ascii="宋体" w:hAnsi="宋体" w:eastAsia="宋体"/>
          <w:kern w:val="2"/>
          <w:sz w:val="24"/>
          <w:lang w:eastAsia="zh-CN"/>
        </w:rPr>
        <w:t>PLC控制柜将设备运行数据传送至控制室。</w:t>
      </w:r>
    </w:p>
    <w:p w14:paraId="3B837565">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sz w:val="24"/>
          <w:lang w:eastAsia="zh-CN"/>
        </w:rPr>
        <w:t>辅助设备系统的数据，采用</w:t>
      </w:r>
      <w:r>
        <w:rPr>
          <w:rFonts w:ascii="宋体" w:hAnsi="宋体" w:eastAsia="宋体"/>
          <w:sz w:val="24"/>
          <w:lang w:eastAsia="zh-CN"/>
        </w:rPr>
        <w:t>MODBUSRTU总线通讯方式集成入网关内，同时为今后的通讯设备扩充提供接口，传送枢纽楼采用MODBUSTCP总线通讯方式。</w:t>
      </w:r>
    </w:p>
    <w:p w14:paraId="387F7366">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sz w:val="24"/>
          <w:lang w:eastAsia="zh-CN"/>
        </w:rPr>
        <w:t>所有数据、工艺集成到上位机及触摸屏。</w:t>
      </w:r>
    </w:p>
    <w:p w14:paraId="1AB46DD0">
      <w:pPr>
        <w:pStyle w:val="16"/>
        <w:shd w:val="clear" w:color="auto" w:fill="FFFFFF"/>
        <w:spacing w:line="360" w:lineRule="auto"/>
        <w:ind w:firstLine="480" w:firstLineChars="200"/>
        <w:rPr>
          <w:kern w:val="2"/>
        </w:rPr>
      </w:pPr>
      <w:r>
        <w:rPr>
          <w:kern w:val="2"/>
        </w:rPr>
        <w:t>4、</w:t>
      </w:r>
      <w:r>
        <w:rPr>
          <w:rFonts w:hint="eastAsia"/>
          <w:b/>
          <w:kern w:val="2"/>
        </w:rPr>
        <w:t>控制柜配置规格要求</w:t>
      </w:r>
    </w:p>
    <w:p w14:paraId="2AC59286">
      <w:pPr>
        <w:pStyle w:val="16"/>
        <w:shd w:val="clear" w:color="auto" w:fill="FFFFFF"/>
        <w:spacing w:line="360" w:lineRule="auto"/>
        <w:ind w:firstLine="482" w:firstLineChars="200"/>
        <w:rPr>
          <w:kern w:val="2"/>
        </w:rPr>
      </w:pPr>
      <w:r>
        <w:rPr>
          <w:rFonts w:hint="eastAsia"/>
          <w:b/>
          <w:kern w:val="2"/>
        </w:rPr>
        <w:t>投标书技术文件必须包含控制柜的设计图纸，包括柜内配置图，接线图和点表清单。中标单位签订合同后</w:t>
      </w:r>
      <w:r>
        <w:rPr>
          <w:b/>
          <w:kern w:val="2"/>
        </w:rPr>
        <w:t>7</w:t>
      </w:r>
      <w:r>
        <w:rPr>
          <w:rFonts w:hint="eastAsia"/>
          <w:b/>
          <w:kern w:val="2"/>
        </w:rPr>
        <w:t>日内完成控制柜的最终优化设计</w:t>
      </w:r>
      <w:r>
        <w:rPr>
          <w:rFonts w:hint="eastAsia"/>
          <w:kern w:val="2"/>
        </w:rPr>
        <w:t>，优化设计通过甲方审核后进行组装、测试。实现</w:t>
      </w:r>
      <w:r>
        <w:rPr>
          <w:kern w:val="2"/>
        </w:rPr>
        <w:t>CPU/</w:t>
      </w:r>
      <w:r>
        <w:rPr>
          <w:rFonts w:hint="eastAsia"/>
          <w:kern w:val="2"/>
        </w:rPr>
        <w:t>网关控制柜与</w:t>
      </w:r>
      <w:r>
        <w:rPr>
          <w:kern w:val="2"/>
        </w:rPr>
        <w:t>IO</w:t>
      </w:r>
      <w:r>
        <w:rPr>
          <w:rFonts w:hint="eastAsia"/>
          <w:kern w:val="2"/>
        </w:rPr>
        <w:t>控制柜的通讯，编写测试软件，利用信号发生器完成模拟测试，能模拟电动阀门的开关动作和状态反馈，模拟温度、水位、压力、环境监测信号，模拟水泵的状态及控制信号。测试通过后提交</w:t>
      </w:r>
      <w:r>
        <w:rPr>
          <w:kern w:val="2"/>
        </w:rPr>
        <w:t>IO</w:t>
      </w:r>
      <w:r>
        <w:rPr>
          <w:rFonts w:hint="eastAsia"/>
          <w:kern w:val="2"/>
        </w:rPr>
        <w:t>点的测试报告，甲方审核后再送至甲方指定地点，由乙方完成机柜安装和现场设备的接线、调试工作。控制柜内电线颜色必须满足，</w:t>
      </w:r>
      <w:r>
        <w:rPr>
          <w:kern w:val="2"/>
        </w:rPr>
        <w:t>24V-</w:t>
      </w:r>
      <w:r>
        <w:rPr>
          <w:rFonts w:hint="eastAsia"/>
          <w:kern w:val="2"/>
        </w:rPr>
        <w:t>红色，</w:t>
      </w:r>
      <w:r>
        <w:rPr>
          <w:kern w:val="2"/>
        </w:rPr>
        <w:t>0V-</w:t>
      </w:r>
      <w:r>
        <w:rPr>
          <w:rFonts w:hint="eastAsia"/>
          <w:kern w:val="2"/>
        </w:rPr>
        <w:t>黑色，</w:t>
      </w:r>
      <w:r>
        <w:rPr>
          <w:kern w:val="2"/>
        </w:rPr>
        <w:t>DI-</w:t>
      </w:r>
      <w:r>
        <w:rPr>
          <w:rFonts w:hint="eastAsia"/>
          <w:kern w:val="2"/>
        </w:rPr>
        <w:t>橙色，</w:t>
      </w:r>
      <w:r>
        <w:rPr>
          <w:kern w:val="2"/>
        </w:rPr>
        <w:t>DO-</w:t>
      </w:r>
      <w:r>
        <w:rPr>
          <w:rFonts w:hint="eastAsia"/>
          <w:kern w:val="2"/>
        </w:rPr>
        <w:t>黄色，</w:t>
      </w:r>
      <w:r>
        <w:rPr>
          <w:kern w:val="2"/>
        </w:rPr>
        <w:t>AI-</w:t>
      </w:r>
      <w:r>
        <w:rPr>
          <w:rFonts w:hint="eastAsia"/>
          <w:kern w:val="2"/>
        </w:rPr>
        <w:t>粉色，</w:t>
      </w:r>
      <w:r>
        <w:rPr>
          <w:kern w:val="2"/>
        </w:rPr>
        <w:t>AO-</w:t>
      </w:r>
      <w:r>
        <w:rPr>
          <w:rFonts w:hint="eastAsia"/>
          <w:kern w:val="2"/>
        </w:rPr>
        <w:t>紫色，</w:t>
      </w:r>
      <w:r>
        <w:rPr>
          <w:kern w:val="2"/>
        </w:rPr>
        <w:t>485</w:t>
      </w:r>
      <w:r>
        <w:rPr>
          <w:rFonts w:hint="eastAsia"/>
          <w:kern w:val="2"/>
        </w:rPr>
        <w:t>通讯线</w:t>
      </w:r>
      <w:r>
        <w:rPr>
          <w:kern w:val="2"/>
        </w:rPr>
        <w:t>-</w:t>
      </w:r>
      <w:r>
        <w:rPr>
          <w:rFonts w:hint="eastAsia"/>
          <w:kern w:val="2"/>
        </w:rPr>
        <w:t>白色。</w:t>
      </w:r>
    </w:p>
    <w:p w14:paraId="1DD2E6B0">
      <w:pPr>
        <w:pStyle w:val="16"/>
        <w:numPr>
          <w:ilvl w:val="0"/>
          <w:numId w:val="5"/>
        </w:numPr>
        <w:shd w:val="clear" w:color="auto" w:fill="FFFFFF"/>
        <w:spacing w:line="360" w:lineRule="auto"/>
        <w:ind w:left="0" w:firstLine="480" w:firstLineChars="200"/>
        <w:rPr>
          <w:kern w:val="2"/>
        </w:rPr>
      </w:pPr>
      <w:r>
        <w:rPr>
          <w:rFonts w:hint="eastAsia"/>
          <w:kern w:val="2"/>
        </w:rPr>
        <w:t>控制柜安装位置和高度</w:t>
      </w:r>
    </w:p>
    <w:p w14:paraId="05A7ED7B">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08971F71">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301E9357">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0C1CDEF9">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1C0F9C1B">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680BBD69">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22D6F3AB">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673A11D8">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532453AC">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4220FCBB">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控制</w:t>
      </w:r>
      <w:r>
        <w:rPr>
          <w:rFonts w:hint="eastAsia" w:ascii="宋体" w:hAnsi="宋体" w:eastAsia="宋体"/>
          <w:kern w:val="2"/>
          <w:sz w:val="24"/>
          <w:lang w:eastAsia="zh-CN"/>
        </w:rPr>
        <w:t>柜</w:t>
      </w:r>
      <w:r>
        <w:rPr>
          <w:rFonts w:hint="eastAsia" w:ascii="宋体" w:hAnsi="宋体" w:eastAsia="宋体" w:cs="仿宋"/>
          <w:kern w:val="2"/>
          <w:sz w:val="24"/>
          <w:lang w:eastAsia="zh-CN"/>
        </w:rPr>
        <w:t>应安装在便于操作和维护的位置，</w:t>
      </w:r>
      <w:r>
        <w:rPr>
          <w:rFonts w:ascii="MS Mincho" w:hAnsi="MS Mincho" w:eastAsia="MS Mincho" w:cs="MS Mincho"/>
          <w:kern w:val="2"/>
          <w:sz w:val="24"/>
          <w:lang w:eastAsia="zh-CN"/>
        </w:rPr>
        <w:t>‌</w:t>
      </w:r>
      <w:r>
        <w:rPr>
          <w:rFonts w:hint="eastAsia" w:ascii="宋体" w:hAnsi="宋体" w:eastAsia="宋体" w:cs="仿宋"/>
          <w:kern w:val="2"/>
          <w:sz w:val="24"/>
          <w:lang w:eastAsia="zh-CN"/>
        </w:rPr>
        <w:t>同时考虑到安全和方便维修的原则。</w:t>
      </w:r>
      <w:r>
        <w:rPr>
          <w:rFonts w:ascii="MS Mincho" w:hAnsi="MS Mincho" w:eastAsia="MS Mincho" w:cs="MS Mincho"/>
          <w:kern w:val="2"/>
          <w:sz w:val="24"/>
          <w:lang w:eastAsia="zh-CN"/>
        </w:rPr>
        <w:t>‌</w:t>
      </w:r>
      <w:r>
        <w:rPr>
          <w:rFonts w:hint="eastAsia" w:ascii="宋体" w:hAnsi="宋体" w:eastAsia="宋体" w:cs="仿宋"/>
          <w:b/>
          <w:kern w:val="2"/>
          <w:sz w:val="24"/>
          <w:lang w:eastAsia="zh-CN"/>
        </w:rPr>
        <w:t>壁挂式控制</w:t>
      </w:r>
      <w:r>
        <w:rPr>
          <w:rFonts w:hint="eastAsia" w:ascii="宋体" w:hAnsi="宋体" w:eastAsia="宋体"/>
          <w:b/>
          <w:kern w:val="2"/>
          <w:sz w:val="24"/>
          <w:lang w:eastAsia="zh-CN"/>
        </w:rPr>
        <w:t>柜</w:t>
      </w:r>
      <w:r>
        <w:rPr>
          <w:rFonts w:hint="eastAsia" w:ascii="宋体" w:hAnsi="宋体" w:eastAsia="宋体" w:cs="仿宋"/>
          <w:b/>
          <w:kern w:val="2"/>
          <w:sz w:val="24"/>
          <w:lang w:eastAsia="zh-CN"/>
        </w:rPr>
        <w:t>的安装高度宜为</w:t>
      </w:r>
      <w:r>
        <w:rPr>
          <w:rFonts w:ascii="宋体" w:hAnsi="宋体" w:eastAsia="宋体"/>
          <w:b/>
          <w:kern w:val="2"/>
          <w:sz w:val="24"/>
          <w:lang w:eastAsia="zh-CN"/>
        </w:rPr>
        <w:t>1.3~1.5</w:t>
      </w:r>
      <w:r>
        <w:rPr>
          <w:rFonts w:hint="eastAsia" w:ascii="宋体" w:hAnsi="宋体" w:eastAsia="宋体"/>
          <w:b/>
          <w:kern w:val="2"/>
          <w:sz w:val="24"/>
          <w:lang w:eastAsia="zh-CN"/>
        </w:rPr>
        <w:t>米，</w:t>
      </w:r>
      <w:r>
        <w:rPr>
          <w:rFonts w:ascii="MS Mincho" w:hAnsi="MS Mincho" w:eastAsia="MS Mincho" w:cs="MS Mincho"/>
          <w:b/>
          <w:kern w:val="2"/>
          <w:sz w:val="24"/>
          <w:lang w:eastAsia="zh-CN"/>
        </w:rPr>
        <w:t>‌</w:t>
      </w:r>
      <w:r>
        <w:rPr>
          <w:rFonts w:hint="eastAsia" w:ascii="宋体" w:hAnsi="宋体" w:eastAsia="宋体" w:cs="仿宋"/>
          <w:kern w:val="2"/>
          <w:sz w:val="24"/>
          <w:lang w:eastAsia="zh-CN"/>
        </w:rPr>
        <w:t>这样既可以保证操作人员可以方便地查看和控制，</w:t>
      </w:r>
      <w:r>
        <w:rPr>
          <w:rFonts w:ascii="MS Mincho" w:hAnsi="MS Mincho" w:eastAsia="MS Mincho" w:cs="MS Mincho"/>
          <w:kern w:val="2"/>
          <w:sz w:val="24"/>
          <w:lang w:eastAsia="zh-CN"/>
        </w:rPr>
        <w:t>‌</w:t>
      </w:r>
      <w:r>
        <w:rPr>
          <w:rFonts w:hint="eastAsia" w:ascii="宋体" w:hAnsi="宋体" w:eastAsia="宋体" w:cs="仿宋"/>
          <w:kern w:val="2"/>
          <w:sz w:val="24"/>
          <w:lang w:eastAsia="zh-CN"/>
        </w:rPr>
        <w:t>又能确保安全操作距离</w:t>
      </w:r>
      <w:r>
        <w:rPr>
          <w:rFonts w:hint="eastAsia" w:ascii="宋体" w:hAnsi="宋体" w:eastAsia="宋体"/>
          <w:kern w:val="2"/>
          <w:sz w:val="24"/>
          <w:lang w:eastAsia="zh-CN"/>
        </w:rPr>
        <w:t>。</w:t>
      </w:r>
    </w:p>
    <w:p w14:paraId="00FB4241">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固定和稳定性：</w:t>
      </w:r>
      <w:r>
        <w:rPr>
          <w:rFonts w:ascii="MS Mincho" w:hAnsi="MS Mincho" w:eastAsia="MS Mincho" w:cs="MS Mincho"/>
          <w:kern w:val="2"/>
          <w:sz w:val="24"/>
          <w:lang w:eastAsia="zh-CN"/>
        </w:rPr>
        <w:t>‌</w:t>
      </w:r>
      <w:r>
        <w:rPr>
          <w:rFonts w:hint="eastAsia" w:ascii="宋体" w:hAnsi="宋体" w:eastAsia="宋体" w:cs="仿宋"/>
          <w:kern w:val="2"/>
          <w:sz w:val="24"/>
          <w:lang w:eastAsia="zh-CN"/>
        </w:rPr>
        <w:t>控制柜应牢固地安装在墙上，</w:t>
      </w:r>
      <w:r>
        <w:rPr>
          <w:rFonts w:ascii="MS Mincho" w:hAnsi="MS Mincho" w:eastAsia="MS Mincho" w:cs="MS Mincho"/>
          <w:kern w:val="2"/>
          <w:sz w:val="24"/>
          <w:lang w:eastAsia="zh-CN"/>
        </w:rPr>
        <w:t>‌</w:t>
      </w:r>
      <w:r>
        <w:rPr>
          <w:rFonts w:hint="eastAsia" w:ascii="宋体" w:hAnsi="宋体" w:eastAsia="宋体" w:cs="仿宋"/>
          <w:kern w:val="2"/>
          <w:sz w:val="24"/>
          <w:lang w:eastAsia="zh-CN"/>
        </w:rPr>
        <w:t>确保不会因外部力量而移动或摇晃。</w:t>
      </w:r>
      <w:r>
        <w:rPr>
          <w:rFonts w:ascii="MS Mincho" w:hAnsi="MS Mincho" w:eastAsia="MS Mincho" w:cs="MS Mincho"/>
          <w:kern w:val="2"/>
          <w:sz w:val="24"/>
          <w:lang w:eastAsia="zh-CN"/>
        </w:rPr>
        <w:t>‌</w:t>
      </w:r>
      <w:r>
        <w:rPr>
          <w:rFonts w:hint="eastAsia" w:ascii="宋体" w:hAnsi="宋体" w:eastAsia="宋体" w:cs="仿宋"/>
          <w:kern w:val="2"/>
          <w:sz w:val="24"/>
          <w:lang w:eastAsia="zh-CN"/>
        </w:rPr>
        <w:t>安装时应遵循横平竖直的原则，</w:t>
      </w:r>
      <w:r>
        <w:rPr>
          <w:rFonts w:ascii="MS Mincho" w:hAnsi="MS Mincho" w:eastAsia="MS Mincho" w:cs="MS Mincho"/>
          <w:kern w:val="2"/>
          <w:sz w:val="24"/>
          <w:lang w:eastAsia="zh-CN"/>
        </w:rPr>
        <w:t>‌</w:t>
      </w:r>
      <w:r>
        <w:rPr>
          <w:rFonts w:hint="eastAsia" w:ascii="宋体" w:hAnsi="宋体" w:eastAsia="宋体" w:cs="仿宋"/>
          <w:kern w:val="2"/>
          <w:sz w:val="24"/>
          <w:lang w:eastAsia="zh-CN"/>
        </w:rPr>
        <w:t>以保持控制柜的稳定性和美观性，固定方式根据现场情况编写到实施方案中。</w:t>
      </w:r>
      <w:r>
        <w:rPr>
          <w:rFonts w:ascii="MS Mincho" w:hAnsi="MS Mincho" w:eastAsia="MS Mincho" w:cs="MS Mincho"/>
          <w:kern w:val="2"/>
          <w:sz w:val="24"/>
          <w:lang w:eastAsia="zh-CN"/>
        </w:rPr>
        <w:t>‌</w:t>
      </w:r>
    </w:p>
    <w:p w14:paraId="6CA3DAA7">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电源线和电缆管理：</w:t>
      </w:r>
      <w:r>
        <w:rPr>
          <w:rFonts w:ascii="MS Mincho" w:hAnsi="MS Mincho" w:eastAsia="MS Mincho" w:cs="MS Mincho"/>
          <w:kern w:val="2"/>
          <w:sz w:val="24"/>
          <w:lang w:eastAsia="zh-CN"/>
        </w:rPr>
        <w:t>‌</w:t>
      </w:r>
      <w:r>
        <w:rPr>
          <w:rFonts w:hint="eastAsia" w:ascii="宋体" w:hAnsi="宋体" w:eastAsia="宋体" w:cs="仿宋"/>
          <w:kern w:val="2"/>
          <w:sz w:val="24"/>
          <w:lang w:eastAsia="zh-CN"/>
        </w:rPr>
        <w:t>电源线和电缆的进出应通过线槽或线管进行保护，</w:t>
      </w:r>
      <w:r>
        <w:rPr>
          <w:rFonts w:ascii="MS Mincho" w:hAnsi="MS Mincho" w:eastAsia="MS Mincho" w:cs="MS Mincho"/>
          <w:kern w:val="2"/>
          <w:sz w:val="24"/>
          <w:lang w:eastAsia="zh-CN"/>
        </w:rPr>
        <w:t>‌</w:t>
      </w:r>
      <w:r>
        <w:rPr>
          <w:rFonts w:hint="eastAsia" w:ascii="宋体" w:hAnsi="宋体" w:eastAsia="宋体" w:cs="仿宋"/>
          <w:kern w:val="2"/>
          <w:sz w:val="24"/>
          <w:lang w:eastAsia="zh-CN"/>
        </w:rPr>
        <w:t>避免直接暴露在外，</w:t>
      </w:r>
      <w:r>
        <w:rPr>
          <w:rFonts w:ascii="MS Mincho" w:hAnsi="MS Mincho" w:eastAsia="MS Mincho" w:cs="MS Mincho"/>
          <w:kern w:val="2"/>
          <w:sz w:val="24"/>
          <w:lang w:eastAsia="zh-CN"/>
        </w:rPr>
        <w:t>‌</w:t>
      </w:r>
      <w:r>
        <w:rPr>
          <w:rFonts w:hint="eastAsia" w:ascii="宋体" w:hAnsi="宋体" w:eastAsia="宋体" w:cs="仿宋"/>
          <w:kern w:val="2"/>
          <w:sz w:val="24"/>
          <w:lang w:eastAsia="zh-CN"/>
        </w:rPr>
        <w:t>以增加安全性和延长电缆使用寿命。</w:t>
      </w:r>
      <w:r>
        <w:rPr>
          <w:rFonts w:ascii="MS Mincho" w:hAnsi="MS Mincho" w:eastAsia="MS Mincho" w:cs="MS Mincho"/>
          <w:kern w:val="2"/>
          <w:sz w:val="24"/>
          <w:lang w:eastAsia="zh-CN"/>
        </w:rPr>
        <w:t>‌‌</w:t>
      </w:r>
      <w:r>
        <w:rPr>
          <w:rFonts w:hint="eastAsia" w:ascii="宋体" w:hAnsi="宋体" w:eastAsia="宋体" w:cs="仿宋"/>
          <w:kern w:val="2"/>
          <w:sz w:val="24"/>
          <w:lang w:eastAsia="zh-CN"/>
        </w:rPr>
        <w:t>插板应安装在配电箱侧面或下面，</w:t>
      </w:r>
      <w:r>
        <w:rPr>
          <w:rFonts w:ascii="MS Mincho" w:hAnsi="MS Mincho" w:eastAsia="MS Mincho" w:cs="MS Mincho"/>
          <w:kern w:val="2"/>
          <w:sz w:val="24"/>
          <w:lang w:eastAsia="zh-CN"/>
        </w:rPr>
        <w:t>‌</w:t>
      </w:r>
      <w:r>
        <w:rPr>
          <w:rFonts w:hint="eastAsia" w:ascii="宋体" w:hAnsi="宋体" w:eastAsia="宋体" w:cs="仿宋"/>
          <w:kern w:val="2"/>
          <w:sz w:val="24"/>
          <w:lang w:eastAsia="zh-CN"/>
        </w:rPr>
        <w:t>电线必须穿管防护，</w:t>
      </w:r>
      <w:r>
        <w:rPr>
          <w:rFonts w:ascii="MS Mincho" w:hAnsi="MS Mincho" w:eastAsia="MS Mincho" w:cs="MS Mincho"/>
          <w:kern w:val="2"/>
          <w:sz w:val="24"/>
          <w:lang w:eastAsia="zh-CN"/>
        </w:rPr>
        <w:t>‌</w:t>
      </w:r>
      <w:r>
        <w:rPr>
          <w:rFonts w:hint="eastAsia" w:ascii="宋体" w:hAnsi="宋体" w:eastAsia="宋体" w:cs="仿宋"/>
          <w:kern w:val="2"/>
          <w:sz w:val="24"/>
          <w:lang w:eastAsia="zh-CN"/>
        </w:rPr>
        <w:t>确保安装牢固。</w:t>
      </w:r>
    </w:p>
    <w:p w14:paraId="522E305F">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安全标识：</w:t>
      </w:r>
      <w:r>
        <w:rPr>
          <w:rFonts w:ascii="MS Mincho" w:hAnsi="MS Mincho" w:eastAsia="MS Mincho" w:cs="MS Mincho"/>
          <w:kern w:val="2"/>
          <w:sz w:val="24"/>
          <w:lang w:eastAsia="zh-CN"/>
        </w:rPr>
        <w:t>‌</w:t>
      </w:r>
      <w:r>
        <w:rPr>
          <w:rFonts w:hint="eastAsia" w:ascii="宋体" w:hAnsi="宋体" w:eastAsia="宋体" w:cs="仿宋"/>
          <w:kern w:val="2"/>
          <w:sz w:val="24"/>
          <w:lang w:eastAsia="zh-CN"/>
        </w:rPr>
        <w:t>配电箱正面应粘贴当心触电的标示，</w:t>
      </w:r>
      <w:r>
        <w:rPr>
          <w:rFonts w:ascii="MS Mincho" w:hAnsi="MS Mincho" w:eastAsia="MS Mincho" w:cs="MS Mincho"/>
          <w:kern w:val="2"/>
          <w:sz w:val="24"/>
          <w:lang w:eastAsia="zh-CN"/>
        </w:rPr>
        <w:t>‌</w:t>
      </w:r>
      <w:r>
        <w:rPr>
          <w:rFonts w:hint="eastAsia" w:ascii="宋体" w:hAnsi="宋体" w:eastAsia="宋体" w:cs="仿宋"/>
          <w:kern w:val="2"/>
          <w:sz w:val="24"/>
          <w:lang w:eastAsia="zh-CN"/>
        </w:rPr>
        <w:t>以提醒操作人员注意安全。</w:t>
      </w:r>
      <w:r>
        <w:rPr>
          <w:rFonts w:ascii="MS Mincho" w:hAnsi="MS Mincho" w:eastAsia="MS Mincho" w:cs="MS Mincho"/>
          <w:kern w:val="2"/>
          <w:sz w:val="24"/>
          <w:lang w:eastAsia="zh-CN"/>
        </w:rPr>
        <w:t>‌</w:t>
      </w:r>
      <w:r>
        <w:rPr>
          <w:rFonts w:hint="eastAsia" w:ascii="宋体" w:hAnsi="宋体" w:eastAsia="宋体" w:cs="仿宋"/>
          <w:kern w:val="2"/>
          <w:sz w:val="24"/>
          <w:lang w:eastAsia="zh-CN"/>
        </w:rPr>
        <w:t>此外，</w:t>
      </w:r>
      <w:r>
        <w:rPr>
          <w:rFonts w:ascii="MS Mincho" w:hAnsi="MS Mincho" w:eastAsia="MS Mincho" w:cs="MS Mincho"/>
          <w:kern w:val="2"/>
          <w:sz w:val="24"/>
          <w:lang w:eastAsia="zh-CN"/>
        </w:rPr>
        <w:t>‌</w:t>
      </w:r>
      <w:r>
        <w:rPr>
          <w:rFonts w:hint="eastAsia" w:ascii="宋体" w:hAnsi="宋体" w:eastAsia="宋体" w:cs="仿宋"/>
          <w:kern w:val="2"/>
          <w:sz w:val="24"/>
          <w:lang w:eastAsia="zh-CN"/>
        </w:rPr>
        <w:t>对于控制柜内的电气元件，</w:t>
      </w:r>
      <w:r>
        <w:rPr>
          <w:rFonts w:ascii="MS Mincho" w:hAnsi="MS Mincho" w:eastAsia="MS Mincho" w:cs="MS Mincho"/>
          <w:kern w:val="2"/>
          <w:sz w:val="24"/>
          <w:lang w:eastAsia="zh-CN"/>
        </w:rPr>
        <w:t>‌</w:t>
      </w:r>
      <w:r>
        <w:rPr>
          <w:rFonts w:hint="eastAsia" w:ascii="宋体" w:hAnsi="宋体" w:eastAsia="宋体" w:cs="仿宋"/>
          <w:kern w:val="2"/>
          <w:sz w:val="24"/>
          <w:lang w:eastAsia="zh-CN"/>
        </w:rPr>
        <w:t>应明确标识其用途和操作方法，</w:t>
      </w:r>
      <w:r>
        <w:rPr>
          <w:rFonts w:ascii="MS Mincho" w:hAnsi="MS Mincho" w:eastAsia="MS Mincho" w:cs="MS Mincho"/>
          <w:kern w:val="2"/>
          <w:sz w:val="24"/>
          <w:lang w:eastAsia="zh-CN"/>
        </w:rPr>
        <w:t>‌</w:t>
      </w:r>
      <w:r>
        <w:rPr>
          <w:rFonts w:hint="eastAsia" w:ascii="宋体" w:hAnsi="宋体" w:eastAsia="宋体" w:cs="仿宋"/>
          <w:kern w:val="2"/>
          <w:sz w:val="24"/>
          <w:lang w:eastAsia="zh-CN"/>
        </w:rPr>
        <w:t>避免误操作。</w:t>
      </w:r>
      <w:r>
        <w:rPr>
          <w:rFonts w:ascii="MS Mincho" w:hAnsi="MS Mincho" w:eastAsia="MS Mincho" w:cs="MS Mincho"/>
          <w:kern w:val="2"/>
          <w:sz w:val="24"/>
          <w:lang w:eastAsia="zh-CN"/>
        </w:rPr>
        <w:t>‌</w:t>
      </w:r>
    </w:p>
    <w:p w14:paraId="0C4C54FA">
      <w:pPr>
        <w:pStyle w:val="16"/>
        <w:numPr>
          <w:ilvl w:val="0"/>
          <w:numId w:val="5"/>
        </w:numPr>
        <w:shd w:val="clear" w:color="auto" w:fill="FFFFFF"/>
        <w:spacing w:line="360" w:lineRule="auto"/>
        <w:ind w:left="0" w:firstLine="480" w:firstLineChars="200"/>
        <w:rPr>
          <w:kern w:val="2"/>
        </w:rPr>
      </w:pPr>
      <w:r>
        <w:rPr>
          <w:rFonts w:hint="eastAsia"/>
          <w:kern w:val="2"/>
        </w:rPr>
        <w:t>供电与接地</w:t>
      </w:r>
    </w:p>
    <w:p w14:paraId="77D1A88C">
      <w:pPr>
        <w:pStyle w:val="16"/>
        <w:shd w:val="clear" w:color="auto" w:fill="FFFFFF"/>
        <w:spacing w:line="360" w:lineRule="auto"/>
        <w:ind w:firstLine="480" w:firstLineChars="200"/>
        <w:rPr>
          <w:kern w:val="2"/>
        </w:rPr>
      </w:pPr>
      <w:r>
        <w:rPr>
          <w:rFonts w:hint="eastAsia"/>
          <w:kern w:val="2"/>
        </w:rPr>
        <w:t>系统供电应采用</w:t>
      </w:r>
      <w:r>
        <w:rPr>
          <w:kern w:val="2"/>
        </w:rPr>
        <w:t>220VAC，50HZ的单相交流电，并配专用配电回路。当电源经常波动超过5%~10%时，应当设置稳压电源装置。稳压电源功率不小于系统使用功率的1.5倍。系统的接地宜采用一点接地方式。接地母线应采用铜质线，接地线不得与强电的零线相接。系统采用专用接地装置时，其接地电阻不得大于4Ω;采用综合接地时，其接地电阻不得大于1Ω。</w:t>
      </w:r>
    </w:p>
    <w:p w14:paraId="705CC51D">
      <w:pPr>
        <w:pStyle w:val="16"/>
        <w:shd w:val="clear" w:color="auto" w:fill="FFFFFF"/>
        <w:spacing w:line="360" w:lineRule="auto"/>
        <w:ind w:firstLine="480" w:firstLineChars="200"/>
        <w:rPr>
          <w:kern w:val="2"/>
        </w:rPr>
      </w:pPr>
      <w:r>
        <w:rPr>
          <w:kern w:val="2"/>
        </w:rPr>
        <w:t>7</w:t>
      </w:r>
      <w:r>
        <w:rPr>
          <w:rFonts w:hint="eastAsia"/>
          <w:kern w:val="2"/>
        </w:rPr>
        <w:t>、其他要求</w:t>
      </w:r>
    </w:p>
    <w:p w14:paraId="551081F3">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65C6712B">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1789371B">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7D84DD88">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450E4636">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6631C82E">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43028012">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26EDA95D">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1F51A65C">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65F56E19">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22CFE83F">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506FBE38">
      <w:pPr>
        <w:pStyle w:val="56"/>
        <w:widowControl w:val="0"/>
        <w:numPr>
          <w:ilvl w:val="2"/>
          <w:numId w:val="7"/>
        </w:numPr>
        <w:spacing w:line="360" w:lineRule="auto"/>
        <w:ind w:left="0" w:firstLine="480"/>
        <w:jc w:val="both"/>
        <w:rPr>
          <w:rFonts w:ascii="宋体" w:hAnsi="宋体" w:eastAsia="宋体"/>
          <w:kern w:val="2"/>
          <w:sz w:val="24"/>
          <w:lang w:eastAsia="zh-CN"/>
        </w:rPr>
      </w:pPr>
      <w:r>
        <w:rPr>
          <w:rFonts w:hint="eastAsia" w:ascii="宋体" w:hAnsi="宋体" w:eastAsia="宋体"/>
          <w:kern w:val="2"/>
          <w:sz w:val="24"/>
          <w:lang w:eastAsia="zh-CN"/>
        </w:rPr>
        <w:t>中标单位负责供货、调试，工艺满足原设计要求、满足使用要求；</w:t>
      </w:r>
    </w:p>
    <w:p w14:paraId="7C7BF9BD">
      <w:pPr>
        <w:pStyle w:val="56"/>
        <w:widowControl w:val="0"/>
        <w:numPr>
          <w:ilvl w:val="2"/>
          <w:numId w:val="7"/>
        </w:numPr>
        <w:spacing w:line="360" w:lineRule="auto"/>
        <w:ind w:left="0" w:firstLine="480"/>
        <w:jc w:val="both"/>
        <w:rPr>
          <w:rFonts w:ascii="宋体" w:hAnsi="宋体" w:eastAsia="宋体"/>
          <w:kern w:val="2"/>
          <w:sz w:val="24"/>
          <w:lang w:eastAsia="zh-CN"/>
        </w:rPr>
      </w:pPr>
      <w:r>
        <w:rPr>
          <w:rFonts w:hint="eastAsia" w:ascii="宋体" w:hAnsi="宋体" w:eastAsia="宋体"/>
          <w:kern w:val="2"/>
          <w:sz w:val="24"/>
          <w:lang w:eastAsia="zh-CN"/>
        </w:rPr>
        <w:t>随时提供技术咨询或现场培训；</w:t>
      </w:r>
    </w:p>
    <w:p w14:paraId="40238A46">
      <w:pPr>
        <w:pStyle w:val="56"/>
        <w:widowControl w:val="0"/>
        <w:numPr>
          <w:ilvl w:val="2"/>
          <w:numId w:val="7"/>
        </w:numPr>
        <w:spacing w:line="360" w:lineRule="auto"/>
        <w:ind w:left="0" w:firstLine="482"/>
        <w:jc w:val="both"/>
        <w:rPr>
          <w:rFonts w:ascii="宋体" w:hAnsi="宋体" w:eastAsia="宋体"/>
          <w:kern w:val="2"/>
          <w:sz w:val="24"/>
          <w:lang w:eastAsia="zh-CN"/>
        </w:rPr>
      </w:pPr>
      <w:r>
        <w:rPr>
          <w:rFonts w:hint="eastAsia" w:ascii="宋体" w:hAnsi="宋体" w:eastAsia="宋体"/>
          <w:b/>
          <w:kern w:val="2"/>
          <w:sz w:val="24"/>
          <w:lang w:eastAsia="zh-CN"/>
        </w:rPr>
        <w:t>中标单位熟悉</w:t>
      </w:r>
      <w:r>
        <w:rPr>
          <w:rFonts w:ascii="宋体" w:hAnsi="宋体" w:eastAsia="宋体"/>
          <w:b/>
          <w:kern w:val="2"/>
          <w:sz w:val="24"/>
          <w:lang w:eastAsia="zh-CN"/>
        </w:rPr>
        <w:t>PLC</w:t>
      </w:r>
      <w:r>
        <w:rPr>
          <w:rFonts w:hint="eastAsia" w:ascii="宋体" w:hAnsi="宋体" w:eastAsia="宋体"/>
          <w:b/>
          <w:kern w:val="2"/>
          <w:sz w:val="24"/>
          <w:lang w:eastAsia="zh-CN"/>
        </w:rPr>
        <w:t>系统及编程软件，按要求设计机柜图，并提供设计安装图纸。</w:t>
      </w:r>
    </w:p>
    <w:p w14:paraId="398B6B6B">
      <w:pPr>
        <w:pStyle w:val="56"/>
        <w:widowControl w:val="0"/>
        <w:numPr>
          <w:ilvl w:val="2"/>
          <w:numId w:val="7"/>
        </w:numPr>
        <w:spacing w:line="360" w:lineRule="auto"/>
        <w:ind w:left="0" w:firstLine="480"/>
        <w:jc w:val="both"/>
        <w:rPr>
          <w:rFonts w:ascii="宋体" w:hAnsi="宋体" w:eastAsia="宋体"/>
          <w:kern w:val="2"/>
          <w:sz w:val="24"/>
          <w:lang w:eastAsia="zh-CN"/>
        </w:rPr>
      </w:pPr>
      <w:r>
        <w:rPr>
          <w:rFonts w:hint="eastAsia" w:ascii="宋体" w:hAnsi="宋体" w:eastAsia="宋体"/>
          <w:kern w:val="2"/>
          <w:sz w:val="24"/>
          <w:lang w:eastAsia="zh-CN"/>
        </w:rPr>
        <w:t>控制柜设计工艺要求必须满足仓点要求，及控制逻辑、启动条件、故障报警等控制工艺保持一致性。</w:t>
      </w:r>
    </w:p>
    <w:p w14:paraId="71669685">
      <w:pPr>
        <w:pStyle w:val="37"/>
      </w:pPr>
    </w:p>
    <w:p w14:paraId="5AA576F4">
      <w:pPr>
        <w:pStyle w:val="37"/>
        <w:numPr>
          <w:ilvl w:val="3"/>
          <w:numId w:val="7"/>
        </w:numPr>
        <w:spacing w:before="120" w:beforeLines="50" w:after="120" w:afterLines="50" w:line="360" w:lineRule="auto"/>
        <w:ind w:firstLineChars="0"/>
        <w:rPr>
          <w:rFonts w:ascii="宋体" w:hAnsi="宋体"/>
          <w:b/>
          <w:sz w:val="24"/>
        </w:rPr>
      </w:pPr>
      <w:r>
        <w:rPr>
          <w:rFonts w:hint="eastAsia" w:ascii="宋体" w:hAnsi="宋体"/>
          <w:b/>
          <w:sz w:val="24"/>
        </w:rPr>
        <w:t>施工要求</w:t>
      </w:r>
    </w:p>
    <w:p w14:paraId="6DBF6C83">
      <w:pPr>
        <w:pStyle w:val="37"/>
        <w:numPr>
          <w:ilvl w:val="1"/>
          <w:numId w:val="13"/>
        </w:numPr>
        <w:spacing w:line="360" w:lineRule="auto"/>
        <w:ind w:firstLineChars="0"/>
        <w:jc w:val="left"/>
        <w:rPr>
          <w:rFonts w:ascii="宋体" w:hAnsi="宋体"/>
          <w:color w:val="000000"/>
          <w:sz w:val="24"/>
        </w:rPr>
      </w:pPr>
      <w:r>
        <w:rPr>
          <w:rFonts w:hint="eastAsia" w:ascii="宋体" w:hAnsi="宋体"/>
          <w:color w:val="000000"/>
          <w:sz w:val="24"/>
        </w:rPr>
        <w:t>安全第一，执行甲方的安全管理规章制度，办票作业。</w:t>
      </w:r>
    </w:p>
    <w:p w14:paraId="58B59D17">
      <w:pPr>
        <w:numPr>
          <w:ilvl w:val="1"/>
          <w:numId w:val="13"/>
        </w:numPr>
        <w:spacing w:line="360" w:lineRule="auto"/>
        <w:jc w:val="left"/>
        <w:rPr>
          <w:rFonts w:ascii="宋体" w:hAnsi="宋体"/>
          <w:color w:val="000000"/>
          <w:sz w:val="24"/>
        </w:rPr>
      </w:pPr>
      <w:r>
        <w:rPr>
          <w:rFonts w:hint="eastAsia" w:ascii="宋体" w:hAnsi="宋体"/>
          <w:color w:val="000000"/>
          <w:sz w:val="24"/>
        </w:rPr>
        <w:t>中标单位应充分察勘现场，对影响施工质量的潜在风险进行评估，施工时注意成品保护，必要时采取围护、覆盖等有效措施，中标单位应充分考虑成品保护措施费。</w:t>
      </w:r>
    </w:p>
    <w:p w14:paraId="25B09961">
      <w:pPr>
        <w:numPr>
          <w:ilvl w:val="1"/>
          <w:numId w:val="13"/>
        </w:numPr>
        <w:spacing w:line="360" w:lineRule="auto"/>
        <w:jc w:val="left"/>
        <w:rPr>
          <w:rFonts w:ascii="宋体" w:hAnsi="宋体"/>
          <w:color w:val="000000"/>
          <w:sz w:val="24"/>
        </w:rPr>
      </w:pPr>
      <w:r>
        <w:rPr>
          <w:rFonts w:hint="eastAsia" w:ascii="宋体" w:hAnsi="宋体"/>
          <w:color w:val="000000"/>
          <w:sz w:val="24"/>
        </w:rPr>
        <w:t>项目经理或安全员到场管理，且人证合一。</w:t>
      </w:r>
    </w:p>
    <w:p w14:paraId="1AE6DAD3">
      <w:pPr>
        <w:numPr>
          <w:ilvl w:val="1"/>
          <w:numId w:val="13"/>
        </w:numPr>
        <w:spacing w:line="360" w:lineRule="auto"/>
        <w:jc w:val="left"/>
        <w:rPr>
          <w:rFonts w:ascii="宋体" w:hAnsi="宋体"/>
          <w:color w:val="000000"/>
          <w:sz w:val="24"/>
        </w:rPr>
      </w:pPr>
      <w:r>
        <w:rPr>
          <w:rFonts w:hint="eastAsia" w:ascii="宋体" w:hAnsi="宋体"/>
          <w:color w:val="000000"/>
          <w:sz w:val="24"/>
        </w:rPr>
        <w:t>本采购要求中标单位包采购、包送货、包安装调试、包质量、包使用培训、包税费、质保期服务和完成这些工作所需的材料、工器具以及其他相关服务等。中标单位必须提供全新的货物。</w:t>
      </w:r>
    </w:p>
    <w:p w14:paraId="2431B044">
      <w:pPr>
        <w:numPr>
          <w:ilvl w:val="1"/>
          <w:numId w:val="13"/>
        </w:numPr>
        <w:spacing w:line="360" w:lineRule="auto"/>
        <w:jc w:val="left"/>
        <w:rPr>
          <w:rFonts w:ascii="宋体" w:hAnsi="宋体"/>
          <w:color w:val="000000"/>
          <w:sz w:val="24"/>
        </w:rPr>
      </w:pPr>
      <w:r>
        <w:rPr>
          <w:rFonts w:hint="eastAsia" w:ascii="宋体" w:hAnsi="宋体"/>
          <w:color w:val="000000"/>
          <w:sz w:val="24"/>
        </w:rPr>
        <w:t>布管布线要求做到横平竖直</w:t>
      </w:r>
      <w:r>
        <w:rPr>
          <w:rFonts w:ascii="宋体" w:hAnsi="宋体"/>
          <w:color w:val="000000"/>
          <w:sz w:val="24"/>
        </w:rPr>
        <w:t>,工艺美观,质量符合要求，线管内不允许有接头，室外及地面必须采用金属管穿线开挖填埋，做到防腐防水，金属管外壳必须与防雷接地系统可靠连接，管廊内布线按甲方指定位置敷设。</w:t>
      </w:r>
    </w:p>
    <w:p w14:paraId="316596AF">
      <w:pPr>
        <w:numPr>
          <w:ilvl w:val="1"/>
          <w:numId w:val="13"/>
        </w:numPr>
        <w:spacing w:line="360" w:lineRule="auto"/>
        <w:jc w:val="left"/>
        <w:rPr>
          <w:rFonts w:ascii="宋体" w:hAnsi="宋体"/>
          <w:color w:val="000000"/>
          <w:sz w:val="24"/>
        </w:rPr>
      </w:pPr>
      <w:r>
        <w:rPr>
          <w:rFonts w:hint="eastAsia" w:ascii="宋体" w:hAnsi="宋体"/>
          <w:color w:val="000000"/>
          <w:sz w:val="24"/>
        </w:rPr>
        <w:t>现场了解清楚综合管沟工艺、设备运行情况、</w:t>
      </w:r>
      <w:r>
        <w:rPr>
          <w:rFonts w:ascii="宋体" w:hAnsi="宋体"/>
          <w:color w:val="000000"/>
          <w:sz w:val="24"/>
        </w:rPr>
        <w:t>PLC控制柜模块、电气布线、运行情况、中控监控系统运行情况等。</w:t>
      </w:r>
    </w:p>
    <w:p w14:paraId="13654611">
      <w:pPr>
        <w:numPr>
          <w:ilvl w:val="1"/>
          <w:numId w:val="13"/>
        </w:numPr>
        <w:spacing w:line="360" w:lineRule="auto"/>
        <w:jc w:val="left"/>
        <w:rPr>
          <w:rFonts w:ascii="宋体" w:hAnsi="宋体"/>
          <w:color w:val="000000"/>
          <w:sz w:val="24"/>
        </w:rPr>
      </w:pPr>
      <w:r>
        <w:rPr>
          <w:rFonts w:hint="eastAsia" w:ascii="宋体" w:hAnsi="宋体"/>
          <w:color w:val="000000"/>
          <w:sz w:val="24"/>
        </w:rPr>
        <w:t>施工前，中标单位根据甲方要求，现场情况，确定安装位置及要求，实施方案、安装图纸、机柜布置图、接线图、深化设计图、必须得到甲方认可。</w:t>
      </w:r>
    </w:p>
    <w:p w14:paraId="111C44DC">
      <w:pPr>
        <w:pStyle w:val="37"/>
        <w:numPr>
          <w:ilvl w:val="3"/>
          <w:numId w:val="7"/>
        </w:numPr>
        <w:spacing w:before="120" w:beforeLines="50" w:after="120" w:afterLines="50" w:line="360" w:lineRule="auto"/>
        <w:ind w:firstLineChars="0"/>
        <w:rPr>
          <w:rFonts w:ascii="宋体" w:hAnsi="宋体"/>
          <w:b/>
          <w:sz w:val="24"/>
        </w:rPr>
      </w:pPr>
      <w:r>
        <w:rPr>
          <w:rFonts w:hint="eastAsia" w:ascii="宋体" w:hAnsi="宋体"/>
          <w:b/>
          <w:sz w:val="24"/>
        </w:rPr>
        <w:t>服务要求</w:t>
      </w:r>
    </w:p>
    <w:p w14:paraId="6F98B7FF">
      <w:pPr>
        <w:pStyle w:val="16"/>
        <w:numPr>
          <w:ilvl w:val="1"/>
          <w:numId w:val="14"/>
        </w:numPr>
        <w:shd w:val="clear" w:color="auto" w:fill="FFFFFF"/>
        <w:wordWrap w:val="0"/>
        <w:spacing w:line="360" w:lineRule="auto"/>
        <w:rPr>
          <w:rFonts w:ascii="Times New Roman" w:hAnsi="Times New Roman" w:cs="Times New Roman"/>
          <w:kern w:val="2"/>
        </w:rPr>
      </w:pPr>
      <w:r>
        <w:rPr>
          <w:rFonts w:hint="eastAsia"/>
          <w:color w:val="000000"/>
        </w:rPr>
        <w:t>中标单位</w:t>
      </w:r>
      <w:r>
        <w:rPr>
          <w:rFonts w:hint="eastAsia" w:ascii="Times New Roman" w:hAnsi="Times New Roman" w:cs="Times New Roman"/>
          <w:kern w:val="2"/>
        </w:rPr>
        <w:t>负责对甲方进行设备使用培训，</w:t>
      </w:r>
      <w:r>
        <w:rPr>
          <w:rFonts w:hint="eastAsia"/>
          <w:color w:val="000000"/>
        </w:rPr>
        <w:t>中标单位</w:t>
      </w:r>
      <w:r>
        <w:rPr>
          <w:rFonts w:hint="eastAsia" w:ascii="Times New Roman" w:hAnsi="Times New Roman" w:cs="Times New Roman"/>
          <w:kern w:val="2"/>
        </w:rPr>
        <w:t>必须派有经验的工程技术人员对甲方技术及操作人员进行设备的运行、维护方面的培训和指导；</w:t>
      </w:r>
      <w:r>
        <w:rPr>
          <w:rFonts w:ascii="Times New Roman" w:hAnsi="Times New Roman" w:cs="Times New Roman"/>
          <w:kern w:val="2"/>
        </w:rPr>
        <w:t>在工程现场进行实际操作示范，让参加培训人员</w:t>
      </w:r>
      <w:r>
        <w:rPr>
          <w:rFonts w:hint="eastAsia" w:ascii="Times New Roman" w:hAnsi="Times New Roman" w:cs="Times New Roman"/>
          <w:kern w:val="2"/>
        </w:rPr>
        <w:t>对设备充分了解，达到更好的</w:t>
      </w:r>
      <w:r>
        <w:rPr>
          <w:rFonts w:ascii="Times New Roman" w:hAnsi="Times New Roman" w:cs="Times New Roman"/>
          <w:kern w:val="2"/>
        </w:rPr>
        <w:t>操作和维护设备的</w:t>
      </w:r>
      <w:r>
        <w:rPr>
          <w:rFonts w:hint="eastAsia" w:ascii="Times New Roman" w:hAnsi="Times New Roman" w:cs="Times New Roman"/>
          <w:kern w:val="2"/>
        </w:rPr>
        <w:t>目的。</w:t>
      </w:r>
    </w:p>
    <w:p w14:paraId="4B9A5398">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设备验收合格并交付甲方前，</w:t>
      </w:r>
      <w:r>
        <w:rPr>
          <w:rFonts w:hint="eastAsia"/>
          <w:color w:val="000000"/>
        </w:rPr>
        <w:t>中标单位</w:t>
      </w:r>
      <w:r>
        <w:rPr>
          <w:rFonts w:hint="eastAsia" w:ascii="Times New Roman" w:hAnsi="Times New Roman" w:cs="Times New Roman"/>
          <w:kern w:val="2"/>
        </w:rPr>
        <w:t>应自行保管设备材料，并自行承担这些设备材料损坏、丢失的风险。</w:t>
      </w:r>
    </w:p>
    <w:p w14:paraId="46E1D517">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本项目现场施工和调试运行期间，必须保证综合管沟正常生产运行，设备调试指导及调试，</w:t>
      </w:r>
      <w:r>
        <w:rPr>
          <w:rFonts w:hint="eastAsia"/>
          <w:color w:val="000000"/>
        </w:rPr>
        <w:t>中标单位</w:t>
      </w:r>
      <w:r>
        <w:rPr>
          <w:rFonts w:hint="eastAsia" w:ascii="Times New Roman" w:hAnsi="Times New Roman" w:cs="Times New Roman"/>
          <w:kern w:val="2"/>
        </w:rPr>
        <w:t>必须按要求协商提供调试方案，开展调试运行工作，做好调试和测试记录。</w:t>
      </w:r>
    </w:p>
    <w:p w14:paraId="0CDB5ADA">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派专门技术人员现场指导并负责所供设备的安装工作，负责安装完毕后的单机调试和联动调试工作。安装完成时，进行检查，提交安装完毕及质量合格的证明。</w:t>
      </w:r>
    </w:p>
    <w:p w14:paraId="2E1A5AC7">
      <w:pPr>
        <w:pStyle w:val="16"/>
        <w:numPr>
          <w:ilvl w:val="1"/>
          <w:numId w:val="14"/>
        </w:numPr>
        <w:shd w:val="clear" w:color="auto" w:fill="FFFFFF"/>
        <w:wordWrap w:val="0"/>
        <w:spacing w:line="360" w:lineRule="auto"/>
        <w:rPr>
          <w:rFonts w:ascii="Times New Roman" w:hAnsi="Times New Roman" w:cs="Times New Roman"/>
          <w:kern w:val="2"/>
        </w:rPr>
      </w:pPr>
      <w:r>
        <w:rPr>
          <w:rFonts w:hint="eastAsia"/>
          <w:color w:val="000000"/>
        </w:rPr>
        <w:t>中标单位</w:t>
      </w:r>
      <w:r>
        <w:rPr>
          <w:rFonts w:hint="eastAsia" w:ascii="Times New Roman" w:hAnsi="Times New Roman" w:cs="Times New Roman"/>
          <w:kern w:val="2"/>
        </w:rPr>
        <w:t>负责系统试运行的全过程，试运行是考核整个系统的质量和可靠性的重要步骤，在试运行满足要求后，验收才能进行。</w:t>
      </w:r>
    </w:p>
    <w:p w14:paraId="13048209">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提供所有设备的规格及说明书、合格证、配件、图纸。</w:t>
      </w:r>
    </w:p>
    <w:p w14:paraId="38021E7C">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质保期的服务：</w:t>
      </w:r>
      <w:r>
        <w:rPr>
          <w:rFonts w:hint="eastAsia"/>
          <w:color w:val="000000"/>
        </w:rPr>
        <w:t>中标单位</w:t>
      </w:r>
      <w:r>
        <w:rPr>
          <w:rFonts w:hint="eastAsia" w:ascii="Times New Roman" w:hAnsi="Times New Roman" w:cs="Times New Roman"/>
          <w:kern w:val="2"/>
        </w:rPr>
        <w:t>必须为设备提供</w:t>
      </w:r>
      <w:r>
        <w:rPr>
          <w:rFonts w:ascii="Times New Roman" w:hAnsi="Times New Roman" w:cs="Times New Roman"/>
          <w:kern w:val="2"/>
        </w:rPr>
        <w:t>2</w:t>
      </w:r>
      <w:r>
        <w:rPr>
          <w:rFonts w:hint="eastAsia" w:ascii="Times New Roman" w:hAnsi="Times New Roman" w:cs="Times New Roman"/>
          <w:kern w:val="2"/>
        </w:rPr>
        <w:t>年的免费维修保养和缺陷保修，时间从安装调试验收合格之日算起。要求维修维护服务</w:t>
      </w:r>
      <w:r>
        <w:rPr>
          <w:rFonts w:ascii="Times New Roman" w:hAnsi="Times New Roman" w:cs="Times New Roman"/>
          <w:kern w:val="2"/>
        </w:rPr>
        <w:t>24</w:t>
      </w:r>
      <w:r>
        <w:rPr>
          <w:rFonts w:hint="eastAsia" w:ascii="Times New Roman" w:hAnsi="Times New Roman" w:cs="Times New Roman"/>
          <w:kern w:val="2"/>
        </w:rPr>
        <w:t>小时服务，在接到要求维护维修通知四小时内作出响应，</w:t>
      </w:r>
      <w:r>
        <w:rPr>
          <w:rFonts w:ascii="Times New Roman" w:hAnsi="Times New Roman" w:cs="Times New Roman"/>
          <w:kern w:val="2"/>
        </w:rPr>
        <w:t>12</w:t>
      </w:r>
      <w:r>
        <w:rPr>
          <w:rFonts w:hint="eastAsia" w:ascii="Times New Roman" w:hAnsi="Times New Roman" w:cs="Times New Roman"/>
          <w:kern w:val="2"/>
        </w:rPr>
        <w:t>小时内赶到现场服务，直到问题得到妥善解决。保修期内由于设备本身质量原因造成的任何损伤或损坏，供货商必须免费负责修理或更换。</w:t>
      </w:r>
    </w:p>
    <w:p w14:paraId="31A16947">
      <w:pPr>
        <w:spacing w:before="120" w:beforeLines="50" w:after="120" w:afterLines="50" w:line="360" w:lineRule="auto"/>
        <w:rPr>
          <w:rFonts w:ascii="宋体" w:hAnsi="宋体"/>
          <w:b/>
          <w:sz w:val="24"/>
        </w:rPr>
      </w:pPr>
    </w:p>
    <w:p w14:paraId="4D71DDCF">
      <w:pPr>
        <w:pStyle w:val="37"/>
        <w:numPr>
          <w:ilvl w:val="3"/>
          <w:numId w:val="7"/>
        </w:numPr>
        <w:spacing w:before="120" w:beforeLines="50" w:after="120" w:afterLines="50" w:line="360" w:lineRule="auto"/>
        <w:ind w:firstLineChars="0"/>
        <w:rPr>
          <w:rFonts w:ascii="宋体" w:hAnsi="宋体"/>
          <w:b/>
          <w:sz w:val="24"/>
        </w:rPr>
      </w:pPr>
      <w:r>
        <w:rPr>
          <w:rFonts w:hint="eastAsia" w:ascii="宋体" w:hAnsi="宋体"/>
          <w:b/>
          <w:sz w:val="24"/>
        </w:rPr>
        <w:t>项目工期、验收标准及质保期限</w:t>
      </w:r>
    </w:p>
    <w:p w14:paraId="0F67548D">
      <w:pPr>
        <w:pStyle w:val="37"/>
        <w:numPr>
          <w:ilvl w:val="0"/>
          <w:numId w:val="15"/>
        </w:numPr>
        <w:spacing w:before="120" w:beforeLines="50" w:after="120" w:afterLines="50" w:line="360" w:lineRule="auto"/>
        <w:ind w:firstLineChars="0"/>
        <w:rPr>
          <w:sz w:val="24"/>
        </w:rPr>
      </w:pPr>
      <w:r>
        <w:rPr>
          <w:rFonts w:hint="eastAsia"/>
          <w:sz w:val="24"/>
        </w:rPr>
        <w:t>施工工期</w:t>
      </w:r>
    </w:p>
    <w:p w14:paraId="179E1D8D">
      <w:pPr>
        <w:spacing w:before="120" w:beforeLines="50" w:after="120" w:afterLines="50" w:line="360" w:lineRule="auto"/>
        <w:ind w:firstLine="480" w:firstLineChars="200"/>
        <w:rPr>
          <w:sz w:val="24"/>
        </w:rPr>
      </w:pPr>
      <w:r>
        <w:rPr>
          <w:rFonts w:hint="eastAsia"/>
          <w:sz w:val="24"/>
        </w:rPr>
        <w:t>本项目工期总日历天数为</w:t>
      </w:r>
      <w:r>
        <w:rPr>
          <w:sz w:val="24"/>
        </w:rPr>
        <w:t>60</w:t>
      </w:r>
      <w:r>
        <w:rPr>
          <w:rFonts w:hint="eastAsia"/>
          <w:sz w:val="24"/>
        </w:rPr>
        <w:t>天（包括法定节假日在内连续计算），自甲方发出开工指令的次日起算。</w:t>
      </w:r>
    </w:p>
    <w:p w14:paraId="768B660D">
      <w:pPr>
        <w:pStyle w:val="37"/>
        <w:numPr>
          <w:ilvl w:val="0"/>
          <w:numId w:val="15"/>
        </w:numPr>
        <w:spacing w:before="120" w:beforeLines="50" w:after="120" w:afterLines="50" w:line="360" w:lineRule="auto"/>
        <w:ind w:firstLineChars="0"/>
        <w:rPr>
          <w:sz w:val="24"/>
        </w:rPr>
      </w:pPr>
      <w:r>
        <w:rPr>
          <w:rFonts w:hint="eastAsia"/>
          <w:sz w:val="24"/>
        </w:rPr>
        <w:t>工程验收标准及方式</w:t>
      </w:r>
    </w:p>
    <w:p w14:paraId="1CF2778A">
      <w:pPr>
        <w:pStyle w:val="37"/>
        <w:numPr>
          <w:ilvl w:val="2"/>
          <w:numId w:val="14"/>
        </w:numPr>
        <w:spacing w:line="360" w:lineRule="auto"/>
        <w:ind w:firstLineChars="0"/>
        <w:rPr>
          <w:bCs/>
        </w:rPr>
      </w:pPr>
      <w:r>
        <w:rPr>
          <w:rFonts w:hint="eastAsia"/>
          <w:sz w:val="24"/>
        </w:rPr>
        <w:t>质量验收标准：《人机界面标志标识的基本和安全规则操作规则》</w:t>
      </w:r>
      <w:r>
        <w:rPr>
          <w:sz w:val="24"/>
        </w:rPr>
        <w:t>GB/T4205-2010</w:t>
      </w:r>
      <w:r>
        <w:rPr>
          <w:rFonts w:hint="eastAsia"/>
          <w:sz w:val="24"/>
        </w:rPr>
        <w:t>、《综合布线系统工程设计规范》</w:t>
      </w:r>
      <w:r>
        <w:rPr>
          <w:sz w:val="24"/>
        </w:rPr>
        <w:t>GB50311-2016</w:t>
      </w:r>
      <w:r>
        <w:rPr>
          <w:rFonts w:hint="eastAsia"/>
          <w:sz w:val="24"/>
        </w:rPr>
        <w:t>、《计算机房设计规范》</w:t>
      </w:r>
      <w:r>
        <w:rPr>
          <w:sz w:val="24"/>
        </w:rPr>
        <w:t>GB/T29467-2017</w:t>
      </w:r>
      <w:r>
        <w:rPr>
          <w:rFonts w:hint="eastAsia"/>
          <w:sz w:val="24"/>
        </w:rPr>
        <w:t>、《电气和电子设备机械结构符合英制系列和公制系列机柜的热管理》</w:t>
      </w:r>
      <w:r>
        <w:rPr>
          <w:sz w:val="24"/>
        </w:rPr>
        <w:t>GB_T40815.5-2022</w:t>
      </w:r>
      <w:r>
        <w:rPr>
          <w:rFonts w:hint="eastAsia"/>
          <w:sz w:val="24"/>
        </w:rPr>
        <w:t>及其它相关验收规范。</w:t>
      </w:r>
    </w:p>
    <w:p w14:paraId="72DF9A04">
      <w:pPr>
        <w:pStyle w:val="37"/>
        <w:numPr>
          <w:ilvl w:val="2"/>
          <w:numId w:val="14"/>
        </w:numPr>
        <w:spacing w:line="360" w:lineRule="auto"/>
        <w:ind w:firstLineChars="0"/>
        <w:rPr>
          <w:sz w:val="24"/>
        </w:rPr>
      </w:pPr>
      <w:r>
        <w:rPr>
          <w:rFonts w:hint="eastAsia"/>
          <w:sz w:val="24"/>
        </w:rPr>
        <w:t>工程验收的方式：</w:t>
      </w:r>
    </w:p>
    <w:p w14:paraId="68718437">
      <w:pPr>
        <w:spacing w:before="120" w:beforeLines="50" w:after="120" w:afterLines="50" w:line="360" w:lineRule="auto"/>
        <w:ind w:left="480"/>
        <w:rPr>
          <w:rFonts w:ascii="宋体" w:hAnsi="宋体" w:cs="宋体"/>
          <w:bCs/>
          <w:kern w:val="0"/>
          <w:sz w:val="24"/>
        </w:rPr>
      </w:pPr>
      <w:r>
        <w:rPr>
          <w:rFonts w:hint="eastAsia" w:ascii="宋体" w:hAnsi="宋体" w:cs="宋体"/>
          <w:bCs/>
          <w:kern w:val="0"/>
          <w:sz w:val="24"/>
        </w:rPr>
        <w:t>施工单位在完工后，须提前3天提交工程验收进度计划给采购人，以便采购人组织相关人员对项目进行验收。</w:t>
      </w:r>
    </w:p>
    <w:p w14:paraId="4CF36279">
      <w:pPr>
        <w:spacing w:before="120" w:beforeLines="50" w:after="120" w:afterLines="50" w:line="360" w:lineRule="auto"/>
        <w:ind w:left="480"/>
        <w:rPr>
          <w:rFonts w:ascii="宋体" w:hAnsi="宋体" w:cs="宋体"/>
          <w:bCs/>
          <w:kern w:val="0"/>
          <w:sz w:val="24"/>
        </w:rPr>
      </w:pPr>
      <w:r>
        <w:rPr>
          <w:rFonts w:hint="eastAsia" w:ascii="宋体" w:hAnsi="宋体" w:cs="宋体"/>
          <w:bCs/>
          <w:kern w:val="0"/>
          <w:sz w:val="24"/>
        </w:rPr>
        <w:t>经采购人组织相关人员进行验收合格后，签发验收合格证明文件。</w:t>
      </w:r>
    </w:p>
    <w:p w14:paraId="30D36A15">
      <w:pPr>
        <w:spacing w:before="120" w:beforeLines="50" w:after="120" w:afterLines="50" w:line="360" w:lineRule="auto"/>
        <w:ind w:left="480"/>
        <w:rPr>
          <w:rFonts w:ascii="宋体" w:hAnsi="宋体" w:cs="宋体"/>
          <w:bCs/>
          <w:kern w:val="0"/>
          <w:sz w:val="24"/>
        </w:rPr>
      </w:pPr>
      <w:r>
        <w:rPr>
          <w:rFonts w:hint="eastAsia" w:ascii="宋体" w:hAnsi="宋体" w:cs="宋体"/>
          <w:bCs/>
          <w:kern w:val="0"/>
          <w:sz w:val="24"/>
        </w:rPr>
        <w:t>施工单位必须将产品所有资料（如有，包括但不限于交竣工图一式六份及相关设备使用说明书、出厂合格证明等相关资料等）提交采购人，同时将与项目有关的竣工资料一式两份一起提交给采购人。</w:t>
      </w:r>
    </w:p>
    <w:p w14:paraId="7163FDC2">
      <w:pPr>
        <w:numPr>
          <w:ilvl w:val="2"/>
          <w:numId w:val="14"/>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来料验收、过程验收及竣工验收。</w:t>
      </w:r>
    </w:p>
    <w:p w14:paraId="4966D02D">
      <w:pPr>
        <w:numPr>
          <w:ilvl w:val="2"/>
          <w:numId w:val="14"/>
        </w:numPr>
        <w:spacing w:before="120" w:beforeLines="50" w:after="120" w:afterLines="50" w:line="360" w:lineRule="auto"/>
        <w:ind w:left="0" w:firstLine="480" w:firstLineChars="200"/>
        <w:rPr>
          <w:rFonts w:ascii="宋体" w:hAnsi="宋体"/>
          <w:sz w:val="24"/>
        </w:rPr>
      </w:pPr>
      <w:r>
        <w:rPr>
          <w:rFonts w:hint="eastAsia" w:ascii="宋体" w:hAnsi="宋体" w:cs="宋体"/>
          <w:bCs/>
          <w:kern w:val="0"/>
          <w:sz w:val="24"/>
        </w:rPr>
        <w:t>质保期及质保期</w:t>
      </w:r>
      <w:r>
        <w:rPr>
          <w:rFonts w:hint="eastAsia" w:ascii="宋体" w:hAnsi="宋体"/>
          <w:sz w:val="24"/>
        </w:rPr>
        <w:t>内需履行的特殊义务：项目质保期为</w:t>
      </w:r>
      <w:r>
        <w:rPr>
          <w:rFonts w:ascii="宋体" w:hAnsi="宋体"/>
          <w:sz w:val="24"/>
        </w:rPr>
        <w:t>2</w:t>
      </w:r>
      <w:r>
        <w:rPr>
          <w:rFonts w:hint="eastAsia" w:ascii="宋体" w:hAnsi="宋体"/>
          <w:sz w:val="24"/>
        </w:rPr>
        <w:t>年，从竣工验收开始计算。</w:t>
      </w:r>
    </w:p>
    <w:p w14:paraId="25D74947">
      <w:pPr>
        <w:spacing w:before="120" w:beforeLines="50" w:after="120" w:afterLines="50" w:line="360" w:lineRule="auto"/>
        <w:ind w:left="482"/>
        <w:rPr>
          <w:rFonts w:ascii="宋体" w:hAnsi="宋体"/>
          <w:b/>
          <w:sz w:val="24"/>
        </w:rPr>
      </w:pPr>
      <w:r>
        <w:rPr>
          <w:rFonts w:hint="eastAsia" w:ascii="宋体" w:hAnsi="宋体"/>
          <w:b/>
          <w:sz w:val="24"/>
        </w:rPr>
        <w:t>九、工程费用及支付方式</w:t>
      </w:r>
    </w:p>
    <w:p w14:paraId="0ECB385A">
      <w:pPr>
        <w:numPr>
          <w:ilvl w:val="1"/>
          <w:numId w:val="16"/>
        </w:numPr>
        <w:spacing w:before="120" w:beforeLines="50" w:after="120" w:afterLines="50" w:line="360" w:lineRule="auto"/>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14:paraId="00BB193A">
      <w:pPr>
        <w:numPr>
          <w:ilvl w:val="1"/>
          <w:numId w:val="16"/>
        </w:numPr>
        <w:spacing w:before="120" w:beforeLines="50" w:after="120" w:afterLines="5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14:paraId="49A4AC50">
      <w:pPr>
        <w:numPr>
          <w:ilvl w:val="1"/>
          <w:numId w:val="16"/>
        </w:numPr>
        <w:spacing w:before="120" w:beforeLines="50" w:after="120" w:afterLines="50" w:line="360" w:lineRule="auto"/>
        <w:rPr>
          <w:sz w:val="24"/>
        </w:rPr>
      </w:pPr>
      <w:r>
        <w:rPr>
          <w:rFonts w:hint="eastAsia"/>
          <w:sz w:val="24"/>
        </w:rPr>
        <w:t>付款方式</w:t>
      </w:r>
    </w:p>
    <w:p w14:paraId="4863F3E5">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（1）在本合同履行期内，若国家税费调整，合同含税金额按国家规定税率作出相应调整，乙方每次申请付款应按照合同内容开具相应税率的合法有效的增值税专用发票。</w:t>
      </w:r>
    </w:p>
    <w:p w14:paraId="3714AF5E">
      <w:pPr>
        <w:spacing w:before="120" w:beforeLines="50" w:after="120" w:afterLines="50" w:line="360" w:lineRule="auto"/>
        <w:ind w:left="480"/>
        <w:rPr>
          <w:rFonts w:ascii="宋体" w:hAnsi="宋体" w:cs="Arial"/>
          <w:b/>
          <w:color w:val="000000"/>
          <w:sz w:val="24"/>
        </w:rPr>
      </w:pPr>
      <w:r>
        <w:rPr>
          <w:rFonts w:hint="eastAsia" w:ascii="宋体" w:hAnsi="宋体" w:cs="Arial"/>
          <w:color w:val="000000"/>
          <w:sz w:val="24"/>
        </w:rPr>
        <w:t>（2）</w:t>
      </w:r>
      <w:r>
        <w:rPr>
          <w:rFonts w:hint="eastAsia" w:ascii="宋体" w:hAnsi="宋体" w:cs="Arial"/>
          <w:b/>
          <w:color w:val="000000"/>
          <w:sz w:val="24"/>
        </w:rPr>
        <w:t>合同签订并进场后，甲方收到乙方请款资料后15个工作日内支付暂定合同总价</w:t>
      </w:r>
      <w:r>
        <w:rPr>
          <w:rFonts w:ascii="宋体" w:hAnsi="宋体" w:cs="Arial"/>
          <w:b/>
          <w:color w:val="000000"/>
          <w:sz w:val="24"/>
        </w:rPr>
        <w:t>5%</w:t>
      </w:r>
      <w:r>
        <w:rPr>
          <w:rFonts w:hint="eastAsia" w:ascii="宋体" w:hAnsi="宋体" w:cs="Arial"/>
          <w:b/>
          <w:color w:val="000000"/>
          <w:sz w:val="24"/>
        </w:rPr>
        <w:t>的预付款。</w:t>
      </w:r>
    </w:p>
    <w:p w14:paraId="44728A11">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（3）形象进度达合同工程量</w:t>
      </w:r>
      <w:r>
        <w:rPr>
          <w:rFonts w:ascii="宋体" w:hAnsi="宋体" w:cs="Arial"/>
          <w:color w:val="000000"/>
          <w:sz w:val="24"/>
        </w:rPr>
        <w:t>40</w:t>
      </w:r>
      <w:r>
        <w:rPr>
          <w:rFonts w:hint="eastAsia" w:ascii="宋体" w:hAnsi="宋体" w:cs="Arial"/>
          <w:color w:val="000000"/>
          <w:sz w:val="24"/>
        </w:rPr>
        <w:t>%及以上，甲方收到乙方请款资料后15 个工作日内支付合同款至合同总价的</w:t>
      </w:r>
      <w:r>
        <w:rPr>
          <w:rFonts w:ascii="宋体" w:hAnsi="宋体" w:cs="Arial"/>
          <w:color w:val="000000"/>
          <w:sz w:val="24"/>
        </w:rPr>
        <w:t>2</w:t>
      </w:r>
      <w:r>
        <w:rPr>
          <w:rFonts w:hint="eastAsia" w:ascii="宋体" w:hAnsi="宋体" w:cs="Arial"/>
          <w:color w:val="000000"/>
          <w:sz w:val="24"/>
        </w:rPr>
        <w:t>0%。</w:t>
      </w:r>
    </w:p>
    <w:p w14:paraId="25270D15">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（4）形象进度达合同工程量</w:t>
      </w:r>
      <w:r>
        <w:rPr>
          <w:rFonts w:ascii="宋体" w:hAnsi="宋体" w:cs="Arial"/>
          <w:color w:val="000000"/>
          <w:sz w:val="24"/>
        </w:rPr>
        <w:t>6</w:t>
      </w:r>
      <w:r>
        <w:rPr>
          <w:rFonts w:hint="eastAsia" w:ascii="宋体" w:hAnsi="宋体" w:cs="Arial"/>
          <w:color w:val="000000"/>
          <w:sz w:val="24"/>
        </w:rPr>
        <w:t>0%及以上，甲方收到乙方请款资料后15 个工作日内支付合同款至合同总价的</w:t>
      </w:r>
      <w:r>
        <w:rPr>
          <w:rFonts w:ascii="宋体" w:hAnsi="宋体" w:cs="Arial"/>
          <w:color w:val="000000"/>
          <w:sz w:val="24"/>
        </w:rPr>
        <w:t>4</w:t>
      </w:r>
      <w:r>
        <w:rPr>
          <w:rFonts w:hint="eastAsia" w:ascii="宋体" w:hAnsi="宋体" w:cs="Arial"/>
          <w:color w:val="000000"/>
          <w:sz w:val="24"/>
        </w:rPr>
        <w:t>0%。</w:t>
      </w:r>
    </w:p>
    <w:p w14:paraId="0065B6B4">
      <w:pPr>
        <w:spacing w:before="120" w:beforeLines="50" w:after="120" w:afterLines="50" w:line="360" w:lineRule="auto"/>
        <w:ind w:left="480"/>
        <w:rPr>
          <w:rFonts w:cs="Cambria Math"/>
          <w:color w:val="000000"/>
        </w:rPr>
      </w:pPr>
      <w:r>
        <w:rPr>
          <w:rFonts w:hint="eastAsia" w:cs="Cambria Math"/>
          <w:color w:val="000000"/>
        </w:rPr>
        <w:t>（3）</w:t>
      </w:r>
      <w:r>
        <w:rPr>
          <w:rFonts w:hint="eastAsia" w:ascii="宋体" w:hAnsi="宋体" w:cs="Arial"/>
          <w:color w:val="000000"/>
          <w:sz w:val="24"/>
        </w:rPr>
        <w:t>形象进度达合同工程量80%及以上，甲方收到乙方请款资料后15 个工作日内支付合同款至合同总价的60%。</w:t>
      </w:r>
    </w:p>
    <w:p w14:paraId="0D66ED2E">
      <w:pPr>
        <w:spacing w:before="120" w:beforeLines="50" w:after="120" w:afterLines="50" w:line="360" w:lineRule="auto"/>
        <w:ind w:left="480"/>
        <w:rPr>
          <w:rFonts w:ascii="宋体" w:hAnsi="宋体" w:cs="Arial"/>
          <w:color w:val="000000"/>
          <w:sz w:val="24"/>
        </w:rPr>
      </w:pPr>
      <w:r>
        <w:rPr>
          <w:rFonts w:hint="eastAsia" w:cs="Cambria Math"/>
          <w:color w:val="000000"/>
        </w:rPr>
        <w:t>（4）</w:t>
      </w:r>
      <w:r>
        <w:rPr>
          <w:rFonts w:hint="eastAsia" w:ascii="宋体" w:hAnsi="宋体" w:cs="Cambria Math"/>
          <w:color w:val="000000"/>
          <w:sz w:val="24"/>
        </w:rPr>
        <w:t>项目全部完工，甲方收到乙方请款资料后15 个工作日内支付合同款至合同总价的80%。</w:t>
      </w:r>
    </w:p>
    <w:p w14:paraId="082EEB13">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w:t>
      </w:r>
      <w:r>
        <w:rPr>
          <w:rFonts w:ascii="宋体" w:hAnsi="宋体" w:cs="Arial"/>
          <w:color w:val="000000"/>
          <w:sz w:val="24"/>
        </w:rPr>
        <w:t>5</w:t>
      </w:r>
      <w:r>
        <w:rPr>
          <w:rFonts w:hint="eastAsia" w:ascii="宋体" w:hAnsi="宋体" w:cs="Arial"/>
          <w:color w:val="000000"/>
          <w:sz w:val="24"/>
        </w:rPr>
        <w:t>）项目全部完工并竣工验收合格并按甲方要求完成合同结算手续后，甲方收到乙方请款资料后15个工作日内支付工程款至合同结算总造价的9</w:t>
      </w:r>
      <w:r>
        <w:rPr>
          <w:rFonts w:ascii="宋体" w:hAnsi="宋体" w:cs="Arial"/>
          <w:color w:val="000000"/>
          <w:sz w:val="24"/>
        </w:rPr>
        <w:t>7</w:t>
      </w:r>
      <w:r>
        <w:rPr>
          <w:rFonts w:hint="eastAsia" w:ascii="宋体" w:hAnsi="宋体" w:cs="Arial"/>
          <w:color w:val="000000"/>
          <w:sz w:val="24"/>
        </w:rPr>
        <w:t>%。</w:t>
      </w:r>
    </w:p>
    <w:p w14:paraId="58D07EA3">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w:t>
      </w:r>
      <w:r>
        <w:rPr>
          <w:rFonts w:ascii="宋体" w:hAnsi="宋体" w:cs="Arial"/>
          <w:color w:val="000000"/>
          <w:sz w:val="24"/>
        </w:rPr>
        <w:t>6</w:t>
      </w:r>
      <w:r>
        <w:rPr>
          <w:rFonts w:hint="eastAsia" w:ascii="宋体" w:hAnsi="宋体" w:cs="Arial"/>
          <w:color w:val="000000"/>
          <w:sz w:val="24"/>
        </w:rPr>
        <w:t>）质保期期满且乙方质保期义务按要求履行完毕后，甲方收到乙方请款资料后15个工作日内付清余款（不计利息）。</w:t>
      </w:r>
    </w:p>
    <w:p w14:paraId="5C575DFE">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w:t>
      </w:r>
      <w:r>
        <w:rPr>
          <w:rFonts w:ascii="宋体" w:hAnsi="宋体" w:cs="Arial"/>
          <w:color w:val="000000"/>
          <w:sz w:val="24"/>
        </w:rPr>
        <w:t>7</w:t>
      </w:r>
      <w:r>
        <w:rPr>
          <w:rFonts w:hint="eastAsia" w:ascii="宋体" w:hAnsi="宋体" w:cs="Arial"/>
          <w:color w:val="000000"/>
          <w:sz w:val="24"/>
        </w:rPr>
        <w:t>）每次付款前乙方开具符合国家税务规定的等额合格的增值税专用发票给甲方。乙方晚于付款期限提供的，甲方付款期限相应顺延。</w:t>
      </w:r>
    </w:p>
    <w:p w14:paraId="24A09C93">
      <w:pPr>
        <w:spacing w:before="120" w:beforeLines="50" w:after="120" w:afterLines="50" w:line="360" w:lineRule="auto"/>
        <w:ind w:left="482"/>
        <w:rPr>
          <w:rFonts w:ascii="宋体" w:hAnsi="宋体"/>
          <w:b/>
          <w:sz w:val="24"/>
        </w:rPr>
      </w:pPr>
      <w:r>
        <w:rPr>
          <w:rFonts w:hint="eastAsia" w:ascii="宋体" w:hAnsi="宋体"/>
          <w:b/>
          <w:sz w:val="24"/>
        </w:rPr>
        <w:t>十、投标文件</w:t>
      </w:r>
    </w:p>
    <w:p w14:paraId="4F52F0E5">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14:paraId="3B814E82">
      <w:pPr>
        <w:spacing w:before="120" w:beforeLines="50" w:after="120" w:afterLines="50" w:line="360" w:lineRule="auto"/>
        <w:ind w:left="480"/>
        <w:rPr>
          <w:sz w:val="24"/>
        </w:rPr>
      </w:pPr>
      <w:r>
        <w:rPr>
          <w:rFonts w:hint="eastAsia"/>
          <w:sz w:val="24"/>
        </w:rPr>
        <w:t>1、商务部分（提供复印件，并加盖公章）</w:t>
      </w:r>
    </w:p>
    <w:p w14:paraId="47ED96DE">
      <w:pPr>
        <w:pStyle w:val="37"/>
        <w:numPr>
          <w:ilvl w:val="0"/>
          <w:numId w:val="17"/>
        </w:numPr>
        <w:spacing w:before="120" w:beforeLines="50" w:after="120" w:afterLines="50" w:line="360" w:lineRule="auto"/>
        <w:ind w:left="0" w:firstLine="480"/>
        <w:rPr>
          <w:rFonts w:ascii="宋体" w:hAnsi="宋体" w:cs="Arial"/>
          <w:color w:val="000000"/>
          <w:sz w:val="24"/>
        </w:rPr>
      </w:pPr>
      <w:bookmarkStart w:id="4" w:name="_Hlk33472787"/>
      <w:r>
        <w:rPr>
          <w:rFonts w:hint="eastAsia" w:ascii="宋体" w:hAnsi="宋体" w:cs="Arial"/>
          <w:color w:val="000000"/>
          <w:sz w:val="24"/>
        </w:rPr>
        <w:t>有效的企业工商营业执照、企业法人组织机构代码证书、税务登记证书（或三证合一）；</w:t>
      </w:r>
    </w:p>
    <w:p w14:paraId="60E62520">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供应商调查表（格式见附件2）</w:t>
      </w:r>
    </w:p>
    <w:p w14:paraId="3AB29A7B">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14:paraId="3120CB41">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有效的安全生产施工许可证及资质证书；</w:t>
      </w:r>
    </w:p>
    <w:p w14:paraId="3DC054A3">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及复印件，证书包括但不限于机电中级工程师职称或以上证书、二级建造师机电类或以上证书</w:t>
      </w:r>
      <w:r>
        <w:rPr>
          <w:rFonts w:ascii="宋体" w:hAnsi="宋体" w:cs="Arial"/>
          <w:color w:val="000000"/>
          <w:sz w:val="24"/>
        </w:rPr>
        <w:t>）</w:t>
      </w:r>
      <w:r>
        <w:rPr>
          <w:rFonts w:hint="eastAsia" w:ascii="宋体" w:hAnsi="宋体" w:cs="Arial"/>
          <w:color w:val="000000"/>
          <w:sz w:val="24"/>
        </w:rPr>
        <w:t>；</w:t>
      </w:r>
    </w:p>
    <w:p w14:paraId="7E062304">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近3年内(20</w:t>
      </w:r>
      <w:r>
        <w:rPr>
          <w:rFonts w:ascii="宋体" w:hAnsi="宋体" w:cs="Arial"/>
          <w:color w:val="000000"/>
          <w:sz w:val="24"/>
        </w:rPr>
        <w:t>19</w:t>
      </w:r>
      <w:r>
        <w:rPr>
          <w:rFonts w:hint="eastAsia" w:ascii="宋体" w:hAnsi="宋体" w:cs="Arial"/>
          <w:color w:val="000000"/>
          <w:sz w:val="24"/>
        </w:rPr>
        <w:t>年1月1日至今) 至少1个</w:t>
      </w:r>
      <w:r>
        <w:rPr>
          <w:rFonts w:hint="eastAsia"/>
          <w:sz w:val="24"/>
        </w:rPr>
        <w:t>完成过类似的系统采集、数据监控、程序控制业绩（需提供合同和验收记录等相关证明材料复印件）</w:t>
      </w:r>
      <w:r>
        <w:rPr>
          <w:rFonts w:hint="eastAsia" w:ascii="宋体" w:hAnsi="宋体" w:cs="Arial"/>
          <w:color w:val="000000"/>
          <w:sz w:val="24"/>
        </w:rPr>
        <w:t>；</w:t>
      </w:r>
    </w:p>
    <w:p w14:paraId="1D4E8A75">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投标人应具备专职安全员，安全员具有有效的专职安全员资格证（</w:t>
      </w:r>
      <w:r>
        <w:rPr>
          <w:rFonts w:ascii="宋体" w:hAnsi="宋体" w:cs="Arial"/>
          <w:color w:val="000000"/>
          <w:sz w:val="24"/>
        </w:rPr>
        <w:t>C证）</w:t>
      </w:r>
      <w:r>
        <w:rPr>
          <w:rFonts w:hint="eastAsia" w:ascii="宋体" w:hAnsi="宋体" w:cs="Arial"/>
          <w:color w:val="000000"/>
          <w:sz w:val="24"/>
        </w:rPr>
        <w:t>；</w:t>
      </w:r>
    </w:p>
    <w:p w14:paraId="43D9899B">
      <w:pPr>
        <w:pStyle w:val="37"/>
        <w:numPr>
          <w:ilvl w:val="0"/>
          <w:numId w:val="17"/>
        </w:numPr>
        <w:spacing w:before="120" w:beforeLines="50" w:after="120" w:afterLines="50" w:line="360" w:lineRule="auto"/>
        <w:ind w:firstLineChars="0"/>
        <w:rPr>
          <w:sz w:val="28"/>
          <w:szCs w:val="28"/>
        </w:rPr>
      </w:pPr>
      <w:r>
        <w:rPr>
          <w:rFonts w:hint="eastAsia" w:ascii="宋体" w:hAnsi="宋体" w:cs="Arial"/>
          <w:color w:val="000000"/>
          <w:sz w:val="24"/>
        </w:rPr>
        <w:t>投标人认为有必要的其他材料复印件</w:t>
      </w:r>
      <w:bookmarkEnd w:id="4"/>
      <w:r>
        <w:rPr>
          <w:rFonts w:hint="eastAsia" w:ascii="宋体" w:hAnsi="宋体" w:cs="Arial"/>
          <w:color w:val="000000"/>
          <w:sz w:val="24"/>
        </w:rPr>
        <w:t>。</w:t>
      </w:r>
    </w:p>
    <w:p w14:paraId="4BEBAFE1">
      <w:pPr>
        <w:spacing w:before="120" w:beforeLines="50" w:after="120" w:afterLines="50" w:line="360" w:lineRule="auto"/>
        <w:ind w:left="960"/>
        <w:rPr>
          <w:sz w:val="24"/>
        </w:rPr>
      </w:pPr>
      <w:r>
        <w:rPr>
          <w:rFonts w:hint="eastAsia"/>
          <w:sz w:val="24"/>
        </w:rPr>
        <w:t>2、技术部分（格式自定，加盖公章）</w:t>
      </w:r>
    </w:p>
    <w:p w14:paraId="1D7BFD04">
      <w:pPr>
        <w:spacing w:before="120" w:beforeLines="50" w:after="120" w:afterLines="50" w:line="360" w:lineRule="auto"/>
        <w:ind w:firstLine="480" w:firstLineChars="200"/>
        <w:rPr>
          <w:sz w:val="24"/>
        </w:rPr>
      </w:pPr>
      <w:r>
        <w:rPr>
          <w:rFonts w:hint="eastAsia"/>
          <w:sz w:val="24"/>
        </w:rPr>
        <w:t>施工方案：投标人应充分了解现场条件，并针对本项目制定切实可行的施工方案，包括但不限于：</w:t>
      </w:r>
    </w:p>
    <w:p w14:paraId="7BF32F11">
      <w:pPr>
        <w:pStyle w:val="54"/>
        <w:numPr>
          <w:ilvl w:val="0"/>
          <w:numId w:val="18"/>
        </w:numPr>
        <w:spacing w:line="360" w:lineRule="auto"/>
        <w:ind w:firstLineChars="0"/>
        <w:rPr>
          <w:rFonts w:ascii="宋体" w:hAnsi="宋体"/>
          <w:sz w:val="24"/>
        </w:rPr>
      </w:pPr>
      <w:r>
        <w:rPr>
          <w:rFonts w:hint="eastAsia" w:ascii="宋体" w:hAnsi="宋体"/>
          <w:b/>
          <w:bCs/>
          <w:sz w:val="24"/>
        </w:rPr>
        <w:t>控制柜的设计图纸，包括柜内配置图，接线图和点表清单</w:t>
      </w:r>
      <w:r>
        <w:rPr>
          <w:rFonts w:hint="eastAsia" w:ascii="宋体" w:hAnsi="宋体"/>
          <w:sz w:val="24"/>
        </w:rPr>
        <w:t>；</w:t>
      </w:r>
    </w:p>
    <w:p w14:paraId="6189B35D">
      <w:pPr>
        <w:pStyle w:val="54"/>
        <w:numPr>
          <w:ilvl w:val="0"/>
          <w:numId w:val="18"/>
        </w:numPr>
        <w:spacing w:line="360" w:lineRule="auto"/>
        <w:ind w:firstLineChars="0"/>
        <w:rPr>
          <w:rFonts w:ascii="宋体" w:hAnsi="宋体"/>
          <w:sz w:val="24"/>
        </w:rPr>
      </w:pPr>
      <w:r>
        <w:rPr>
          <w:rFonts w:ascii="宋体" w:hAnsi="宋体"/>
          <w:sz w:val="24"/>
        </w:rPr>
        <w:t>总体实施方案</w:t>
      </w:r>
      <w:r>
        <w:rPr>
          <w:rFonts w:hint="eastAsia" w:ascii="宋体" w:hAnsi="宋体"/>
          <w:sz w:val="24"/>
        </w:rPr>
        <w:t>（如有，格式自定，加盖公章）</w:t>
      </w:r>
      <w:r>
        <w:rPr>
          <w:rFonts w:ascii="宋体" w:hAnsi="宋体"/>
          <w:sz w:val="24"/>
        </w:rPr>
        <w:t>；</w:t>
      </w:r>
    </w:p>
    <w:p w14:paraId="5FFAC949">
      <w:pPr>
        <w:pStyle w:val="54"/>
        <w:numPr>
          <w:ilvl w:val="0"/>
          <w:numId w:val="18"/>
        </w:numPr>
        <w:spacing w:line="360" w:lineRule="auto"/>
        <w:ind w:firstLineChars="0"/>
        <w:rPr>
          <w:rFonts w:ascii="宋体" w:hAnsi="宋体"/>
          <w:sz w:val="24"/>
        </w:rPr>
      </w:pPr>
      <w:r>
        <w:rPr>
          <w:rFonts w:ascii="宋体" w:hAnsi="宋体"/>
          <w:sz w:val="24"/>
        </w:rPr>
        <w:t>实施进度计划和工期承诺书</w:t>
      </w:r>
      <w:r>
        <w:rPr>
          <w:rFonts w:hint="eastAsia" w:ascii="宋体" w:hAnsi="宋体"/>
          <w:sz w:val="24"/>
        </w:rPr>
        <w:t>（如有，格式自定，加盖公章）</w:t>
      </w:r>
      <w:r>
        <w:rPr>
          <w:rFonts w:ascii="宋体" w:hAnsi="宋体"/>
          <w:sz w:val="24"/>
        </w:rPr>
        <w:t>；</w:t>
      </w:r>
    </w:p>
    <w:p w14:paraId="3EC7CFF8">
      <w:pPr>
        <w:pStyle w:val="54"/>
        <w:numPr>
          <w:ilvl w:val="0"/>
          <w:numId w:val="18"/>
        </w:numPr>
        <w:spacing w:line="360" w:lineRule="auto"/>
        <w:ind w:firstLineChars="0"/>
        <w:rPr>
          <w:rFonts w:ascii="宋体" w:hAnsi="宋体"/>
          <w:sz w:val="24"/>
        </w:rPr>
      </w:pPr>
      <w:r>
        <w:rPr>
          <w:rFonts w:ascii="宋体" w:hAnsi="宋体"/>
          <w:sz w:val="24"/>
        </w:rPr>
        <w:t>确保实施进度的技术和</w:t>
      </w:r>
      <w:r>
        <w:rPr>
          <w:rFonts w:hint="eastAsia" w:ascii="宋体" w:hAnsi="宋体"/>
          <w:sz w:val="24"/>
        </w:rPr>
        <w:t>组织措施（如有，格式自定，加盖公章）；</w:t>
      </w:r>
    </w:p>
    <w:p w14:paraId="72CC0F77">
      <w:pPr>
        <w:pStyle w:val="54"/>
        <w:numPr>
          <w:ilvl w:val="0"/>
          <w:numId w:val="18"/>
        </w:numPr>
        <w:spacing w:line="360" w:lineRule="auto"/>
        <w:ind w:firstLineChars="0"/>
        <w:rPr>
          <w:rFonts w:ascii="宋体" w:hAnsi="宋体"/>
          <w:sz w:val="24"/>
        </w:rPr>
      </w:pPr>
      <w:r>
        <w:rPr>
          <w:rFonts w:hint="eastAsia" w:ascii="宋体" w:hAnsi="宋体"/>
          <w:sz w:val="24"/>
        </w:rPr>
        <w:t>确保安全文明施工的技术和组织措施（如有，格式自定，加盖公章）；</w:t>
      </w:r>
    </w:p>
    <w:p w14:paraId="6CEACFDF">
      <w:pPr>
        <w:pStyle w:val="54"/>
        <w:numPr>
          <w:ilvl w:val="0"/>
          <w:numId w:val="18"/>
        </w:numPr>
        <w:spacing w:line="360" w:lineRule="auto"/>
        <w:ind w:firstLineChars="0"/>
        <w:rPr>
          <w:rFonts w:ascii="宋体" w:hAnsi="宋体"/>
          <w:sz w:val="24"/>
        </w:rPr>
      </w:pPr>
      <w:r>
        <w:rPr>
          <w:rFonts w:hint="eastAsia" w:ascii="宋体" w:hAnsi="宋体"/>
          <w:sz w:val="24"/>
        </w:rPr>
        <w:t>投入的人员配置情况（如有，格式自定，加盖公章）；</w:t>
      </w:r>
    </w:p>
    <w:p w14:paraId="497D1732">
      <w:pPr>
        <w:spacing w:before="120" w:beforeLines="50" w:after="120" w:afterLines="50" w:line="360" w:lineRule="auto"/>
        <w:ind w:left="200"/>
        <w:rPr>
          <w:sz w:val="24"/>
        </w:rPr>
      </w:pPr>
      <w:r>
        <w:rPr>
          <w:rFonts w:ascii="宋体" w:hAnsi="宋体"/>
          <w:sz w:val="24"/>
        </w:rPr>
        <w:t xml:space="preserve">(7) </w:t>
      </w:r>
      <w:r>
        <w:rPr>
          <w:rFonts w:hint="eastAsia" w:ascii="宋体" w:hAnsi="宋体"/>
          <w:sz w:val="24"/>
        </w:rPr>
        <w:t>投标人认为其它需要说明的文字（如有，格式自定，加盖公章）。</w:t>
      </w:r>
    </w:p>
    <w:p w14:paraId="5BF1DA70">
      <w:pPr>
        <w:spacing w:before="120" w:beforeLines="50" w:after="120" w:afterLines="50" w:line="360" w:lineRule="auto"/>
        <w:ind w:left="480"/>
        <w:rPr>
          <w:rFonts w:ascii="宋体" w:hAnsi="宋体" w:cs="Arial"/>
          <w:color w:val="000000"/>
          <w:sz w:val="24"/>
        </w:rPr>
      </w:pPr>
      <w:bookmarkStart w:id="5" w:name="_Hlk33472852"/>
      <w:r>
        <w:rPr>
          <w:rFonts w:hint="eastAsia" w:ascii="宋体" w:hAnsi="宋体" w:cs="Arial"/>
          <w:color w:val="000000"/>
          <w:sz w:val="24"/>
        </w:rPr>
        <w:t>3、报价</w:t>
      </w:r>
      <w:r>
        <w:rPr>
          <w:rFonts w:hint="eastAsia"/>
          <w:sz w:val="24"/>
        </w:rPr>
        <w:t>一览表</w:t>
      </w:r>
      <w:r>
        <w:rPr>
          <w:rFonts w:hint="eastAsia" w:ascii="宋体" w:hAnsi="宋体" w:cs="Arial"/>
          <w:color w:val="000000"/>
          <w:sz w:val="24"/>
        </w:rPr>
        <w:t>（格式见附件1）</w:t>
      </w:r>
    </w:p>
    <w:p w14:paraId="38FF8D2D">
      <w:pPr>
        <w:numPr>
          <w:ilvl w:val="0"/>
          <w:numId w:val="1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rPr>
        <w:t>。</w:t>
      </w:r>
    </w:p>
    <w:p w14:paraId="6D3ED3F9">
      <w:pPr>
        <w:spacing w:before="120" w:beforeLines="50" w:after="120" w:afterLines="50" w:line="360" w:lineRule="auto"/>
        <w:ind w:left="480"/>
        <w:rPr>
          <w:rFonts w:ascii="宋体" w:hAnsi="宋体" w:cs="Arial"/>
          <w:b/>
          <w:color w:val="000000"/>
          <w:sz w:val="24"/>
        </w:rPr>
      </w:pPr>
      <w:r>
        <w:rPr>
          <w:rFonts w:hint="eastAsia" w:ascii="宋体" w:hAnsi="宋体" w:cs="Arial"/>
          <w:b/>
          <w:color w:val="000000"/>
          <w:sz w:val="24"/>
        </w:rPr>
        <w:t>十一、</w:t>
      </w:r>
      <w:bookmarkStart w:id="6" w:name="_Hlk176529568"/>
      <w:r>
        <w:rPr>
          <w:rFonts w:hint="eastAsia" w:ascii="宋体" w:hAnsi="宋体" w:cs="Arial"/>
          <w:b/>
          <w:color w:val="000000"/>
          <w:sz w:val="24"/>
        </w:rPr>
        <w:t>特别注意</w:t>
      </w:r>
    </w:p>
    <w:p w14:paraId="7809D8E8">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1、本项目公告未明确事项，按采购文件执行。供应商响应报价即为认同本项目所有文件中的约定，本项目报价文件为采购方免费提供，无论成交与否，均默认授权由采购方自行处理，不作退回。</w:t>
      </w:r>
    </w:p>
    <w:p w14:paraId="48D8D268">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2、供应商之间不得与同一个第三人存在关联关系，如存在关联关系，则投标无效。如果发现供应商存在围标、串标等违法情形，将列入采购黑名单，不得参与采购人的采购项目。</w:t>
      </w:r>
    </w:p>
    <w:p w14:paraId="178B1336">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3、采购项目若存在项目调整或计划变动，采购人有权单方面终止采购。</w:t>
      </w:r>
      <w:bookmarkEnd w:id="6"/>
    </w:p>
    <w:p w14:paraId="4E87620B">
      <w:pPr>
        <w:spacing w:before="120" w:beforeLines="50" w:after="120" w:afterLines="50" w:line="360" w:lineRule="auto"/>
        <w:ind w:left="482"/>
        <w:rPr>
          <w:rFonts w:ascii="宋体" w:hAnsi="宋体"/>
          <w:b/>
          <w:sz w:val="24"/>
        </w:rPr>
      </w:pPr>
      <w:bookmarkStart w:id="7" w:name="_Hlk176529543"/>
      <w:r>
        <w:rPr>
          <w:rFonts w:hint="eastAsia" w:ascii="宋体" w:hAnsi="宋体"/>
          <w:b/>
          <w:sz w:val="24"/>
        </w:rPr>
        <w:t>十二、评标方法及成交确认</w:t>
      </w:r>
    </w:p>
    <w:p w14:paraId="30F378C5">
      <w:pPr>
        <w:pStyle w:val="37"/>
        <w:numPr>
          <w:ilvl w:val="2"/>
          <w:numId w:val="13"/>
        </w:numPr>
        <w:spacing w:before="120" w:beforeLines="50" w:after="120" w:afterLines="50" w:line="360" w:lineRule="auto"/>
        <w:ind w:firstLineChars="0"/>
        <w:rPr>
          <w:rFonts w:ascii="宋体" w:hAnsi="宋体"/>
          <w:sz w:val="24"/>
        </w:rPr>
      </w:pPr>
      <w:bookmarkStart w:id="8" w:name="_Hlk33472865"/>
      <w:r>
        <w:rPr>
          <w:rFonts w:hint="eastAsia" w:ascii="宋体" w:hAnsi="宋体"/>
          <w:sz w:val="24"/>
        </w:rPr>
        <w:t>本项目采用</w:t>
      </w:r>
      <w:bookmarkStart w:id="9" w:name="_Hlk163719534"/>
      <w:bookmarkStart w:id="10" w:name="_Hlk163719563"/>
      <w:r>
        <w:rPr>
          <w:rFonts w:hint="eastAsia" w:ascii="宋体" w:hAnsi="宋体"/>
          <w:sz w:val="24"/>
        </w:rPr>
        <w:t>最低评标价法</w:t>
      </w:r>
      <w:bookmarkEnd w:id="9"/>
      <w:r>
        <w:rPr>
          <w:rFonts w:hint="eastAsia" w:ascii="宋体" w:hAnsi="宋体"/>
          <w:sz w:val="24"/>
        </w:rPr>
        <w:t>，是指竞选文件满足本邀请书全部实质性要求且投标报价最低的供应单位为中选单位的评审方法。按照投标报价由低到高最终得到中标候选人排名，如有报价相同的，通过摇珠方式排名。</w:t>
      </w:r>
      <w:bookmarkEnd w:id="10"/>
      <w:r>
        <w:rPr>
          <w:rFonts w:hint="eastAsia" w:ascii="宋体" w:hAnsi="宋体"/>
          <w:sz w:val="24"/>
        </w:rPr>
        <w:t>采购人对中标人实行信用评价管理，中标后采购人将中标人纳入供应商管理系统，按项目对中标人的合同履约行为进行考核，具体按采购人供应商管理办法进行。</w:t>
      </w:r>
    </w:p>
    <w:p w14:paraId="26FA5E5B">
      <w:pPr>
        <w:pStyle w:val="37"/>
        <w:numPr>
          <w:ilvl w:val="2"/>
          <w:numId w:val="13"/>
        </w:numPr>
        <w:spacing w:before="120" w:beforeLines="50" w:after="120" w:afterLines="50" w:line="360" w:lineRule="auto"/>
        <w:ind w:firstLineChars="0"/>
        <w:rPr>
          <w:rFonts w:ascii="宋体" w:hAnsi="宋体"/>
          <w:sz w:val="24"/>
        </w:rPr>
      </w:pPr>
      <w:r>
        <w:rPr>
          <w:rFonts w:hint="eastAsia" w:ascii="宋体" w:hAnsi="宋体"/>
          <w:sz w:val="24"/>
        </w:rPr>
        <w:t>采购人不对未成交人就评标过程以及未能成交原因作出任何解释。未成交人不得向评标委员会组成人员或其他有关人员索问评标过程的情况和材料。</w:t>
      </w:r>
    </w:p>
    <w:p w14:paraId="77B78BB0">
      <w:pPr>
        <w:pStyle w:val="37"/>
        <w:numPr>
          <w:ilvl w:val="2"/>
          <w:numId w:val="13"/>
        </w:numPr>
        <w:spacing w:before="120" w:beforeLines="50" w:after="120" w:afterLines="50" w:line="360" w:lineRule="auto"/>
        <w:ind w:firstLineChars="0"/>
        <w:rPr>
          <w:sz w:val="24"/>
        </w:rPr>
      </w:pPr>
      <w:r>
        <w:rPr>
          <w:rFonts w:hint="eastAsia"/>
          <w:sz w:val="24"/>
        </w:rPr>
        <w:t>成交方式：收到我司通知单位为成交单位，无收到通知单位为未成交单位。</w:t>
      </w:r>
      <w:bookmarkEnd w:id="7"/>
    </w:p>
    <w:bookmarkEnd w:id="8"/>
    <w:p w14:paraId="3637B9F4">
      <w:pPr>
        <w:spacing w:before="120" w:beforeLines="50" w:after="120" w:afterLines="50" w:line="360" w:lineRule="auto"/>
        <w:ind w:left="482"/>
        <w:rPr>
          <w:rFonts w:ascii="宋体" w:hAnsi="宋体"/>
          <w:b/>
          <w:sz w:val="24"/>
        </w:rPr>
      </w:pPr>
      <w:r>
        <w:rPr>
          <w:rFonts w:hint="eastAsia" w:ascii="宋体" w:hAnsi="宋体"/>
          <w:b/>
          <w:sz w:val="24"/>
        </w:rPr>
        <w:t>十三、勘踏现场</w:t>
      </w:r>
    </w:p>
    <w:p w14:paraId="710AB4D8">
      <w:pPr>
        <w:spacing w:before="120" w:beforeLines="50" w:after="120" w:afterLines="50" w:line="360" w:lineRule="auto"/>
        <w:ind w:firstLine="480" w:firstLineChars="200"/>
        <w:rPr>
          <w:sz w:val="24"/>
        </w:rPr>
      </w:pPr>
      <w:bookmarkStart w:id="11"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w:t>
      </w:r>
      <w:r>
        <w:rPr>
          <w:rFonts w:hint="eastAsia" w:ascii="宋体" w:hAnsi="宋体"/>
          <w:sz w:val="24"/>
        </w:rPr>
        <w:t>场的费用由投标人自己承担，如因对现场不了解导致报价的失误，由投标人承担</w:t>
      </w:r>
      <w:bookmarkEnd w:id="11"/>
      <w:r>
        <w:rPr>
          <w:rFonts w:hint="eastAsia" w:ascii="宋体" w:hAnsi="宋体"/>
          <w:sz w:val="24"/>
        </w:rPr>
        <w:t>。勘踏现场时间：</w:t>
      </w:r>
      <w:r>
        <w:rPr>
          <w:rFonts w:ascii="宋体" w:hAnsi="宋体"/>
          <w:sz w:val="24"/>
          <w:highlight w:val="yellow"/>
        </w:rPr>
        <w:t>2024</w:t>
      </w:r>
      <w:r>
        <w:rPr>
          <w:rFonts w:hint="eastAsia" w:ascii="宋体" w:hAnsi="宋体"/>
          <w:sz w:val="24"/>
          <w:highlight w:val="yellow"/>
        </w:rPr>
        <w:t>年</w:t>
      </w:r>
      <w:r>
        <w:rPr>
          <w:rFonts w:hint="eastAsia" w:ascii="宋体" w:hAnsi="宋体"/>
          <w:sz w:val="24"/>
          <w:highlight w:val="yellow"/>
          <w:lang w:val="en-US" w:eastAsia="zh-CN"/>
        </w:rPr>
        <w:t>10</w:t>
      </w:r>
      <w:r>
        <w:rPr>
          <w:rFonts w:hint="eastAsia" w:ascii="宋体" w:hAnsi="宋体"/>
          <w:sz w:val="24"/>
          <w:highlight w:val="yellow"/>
        </w:rPr>
        <w:t>月</w:t>
      </w:r>
      <w:r>
        <w:rPr>
          <w:rFonts w:hint="eastAsia" w:ascii="宋体" w:hAnsi="宋体"/>
          <w:sz w:val="24"/>
          <w:highlight w:val="yellow"/>
          <w:lang w:val="en-US" w:eastAsia="zh-CN"/>
        </w:rPr>
        <w:t>8</w:t>
      </w:r>
      <w:r>
        <w:rPr>
          <w:rFonts w:hint="eastAsia" w:ascii="宋体" w:hAnsi="宋体"/>
          <w:sz w:val="24"/>
          <w:highlight w:val="yellow"/>
        </w:rPr>
        <w:t>日</w:t>
      </w:r>
      <w:r>
        <w:rPr>
          <w:rFonts w:ascii="宋体" w:hAnsi="宋体"/>
          <w:sz w:val="24"/>
          <w:highlight w:val="yellow"/>
        </w:rPr>
        <w:t>10</w:t>
      </w:r>
      <w:r>
        <w:rPr>
          <w:rFonts w:hint="eastAsia" w:ascii="宋体" w:hAnsi="宋体"/>
          <w:sz w:val="24"/>
          <w:highlight w:val="yellow"/>
        </w:rPr>
        <w:t>时</w:t>
      </w:r>
      <w:r>
        <w:rPr>
          <w:rFonts w:ascii="宋体" w:hAnsi="宋体"/>
          <w:sz w:val="24"/>
          <w:highlight w:val="yellow"/>
        </w:rPr>
        <w:t>00</w:t>
      </w:r>
      <w:r>
        <w:rPr>
          <w:rFonts w:hint="eastAsia" w:ascii="宋体" w:hAnsi="宋体"/>
          <w:sz w:val="24"/>
          <w:highlight w:val="yellow"/>
        </w:rPr>
        <w:t>分，集中地点：广州市番禺区大学城明志街1号信息枢纽楼一楼西门。勘踏现场联系人生产部梁工，联系电话：</w:t>
      </w:r>
      <w:r>
        <w:rPr>
          <w:rFonts w:ascii="宋体" w:hAnsi="宋体"/>
          <w:sz w:val="24"/>
          <w:highlight w:val="yellow"/>
        </w:rPr>
        <w:t>020-39302020</w:t>
      </w:r>
      <w:r>
        <w:rPr>
          <w:rFonts w:hint="eastAsia" w:ascii="宋体" w:hAnsi="宋体"/>
          <w:sz w:val="24"/>
          <w:highlight w:val="yellow"/>
        </w:rPr>
        <w:t>。</w:t>
      </w:r>
      <w:r>
        <w:rPr>
          <w:rFonts w:hint="eastAsia" w:ascii="宋体" w:hAnsi="宋体"/>
          <w:sz w:val="24"/>
        </w:rPr>
        <w:t>投标人未在规定时间勘踏现场的，</w:t>
      </w:r>
      <w:r>
        <w:rPr>
          <w:rFonts w:hint="eastAsia"/>
          <w:sz w:val="24"/>
        </w:rPr>
        <w:t>采购人不再另行组织，由投标人自行前往勘踏。</w:t>
      </w:r>
    </w:p>
    <w:p w14:paraId="19203FFC">
      <w:pPr>
        <w:spacing w:before="120" w:beforeLines="50" w:after="120" w:afterLines="50" w:line="360" w:lineRule="auto"/>
        <w:ind w:left="482"/>
        <w:rPr>
          <w:rFonts w:ascii="宋体" w:hAnsi="宋体"/>
          <w:b/>
          <w:sz w:val="24"/>
        </w:rPr>
      </w:pPr>
      <w:bookmarkStart w:id="12" w:name="_Hlk33473031"/>
      <w:r>
        <w:rPr>
          <w:rFonts w:hint="eastAsia" w:ascii="宋体" w:hAnsi="宋体"/>
          <w:b/>
          <w:sz w:val="24"/>
        </w:rPr>
        <w:t>十四、递交投标文件</w:t>
      </w:r>
    </w:p>
    <w:p w14:paraId="250F1070">
      <w:pPr>
        <w:pStyle w:val="37"/>
        <w:numPr>
          <w:ilvl w:val="1"/>
          <w:numId w:val="20"/>
        </w:numPr>
        <w:spacing w:before="120" w:beforeLines="50" w:after="120" w:afterLines="50" w:line="360" w:lineRule="auto"/>
        <w:ind w:firstLineChars="0"/>
        <w:rPr>
          <w:sz w:val="24"/>
        </w:rPr>
      </w:pPr>
      <w:bookmarkStart w:id="13" w:name="_Hlk33472917"/>
      <w:bookmarkStart w:id="14" w:name="_Hlk33473061"/>
      <w:r>
        <w:rPr>
          <w:rFonts w:hint="eastAsia"/>
          <w:sz w:val="24"/>
        </w:rPr>
        <w:t>投标文件递交截止时间：</w:t>
      </w:r>
      <w:r>
        <w:rPr>
          <w:rFonts w:ascii="宋体" w:hAnsi="宋体"/>
          <w:sz w:val="24"/>
        </w:rPr>
        <w:t>2024</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r>
        <w:rPr>
          <w:rFonts w:hint="eastAsia"/>
          <w:sz w:val="24"/>
        </w:rPr>
        <w:t>北京时间</w:t>
      </w:r>
      <w:r>
        <w:rPr>
          <w:sz w:val="24"/>
        </w:rPr>
        <w:t>15</w:t>
      </w:r>
      <w:r>
        <w:rPr>
          <w:rFonts w:hint="eastAsia"/>
          <w:sz w:val="24"/>
        </w:rPr>
        <w:t>时</w:t>
      </w:r>
      <w:r>
        <w:rPr>
          <w:sz w:val="24"/>
        </w:rPr>
        <w:t>00</w:t>
      </w:r>
      <w:r>
        <w:rPr>
          <w:rFonts w:hint="eastAsia"/>
          <w:sz w:val="24"/>
        </w:rPr>
        <w:t>分前。以密封的形式提供投标文件到：广州市番禺区大学城明志街</w:t>
      </w:r>
      <w:r>
        <w:rPr>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b/>
          <w:sz w:val="24"/>
        </w:rPr>
        <w:t>研发管沟</w:t>
      </w:r>
      <w:r>
        <w:rPr>
          <w:rFonts w:ascii="宋体" w:hAnsi="宋体"/>
          <w:b/>
          <w:sz w:val="24"/>
        </w:rPr>
        <w:t>B分支、E分支、中环21-23水电仓（共11个仓段）远程监控项目</w:t>
      </w:r>
      <w:r>
        <w:rPr>
          <w:rFonts w:hint="eastAsia" w:ascii="宋体" w:hAnsi="宋体"/>
          <w:b/>
          <w:sz w:val="24"/>
          <w:lang w:eastAsia="zh-CN"/>
        </w:rPr>
        <w:t>（</w:t>
      </w:r>
      <w:r>
        <w:rPr>
          <w:rFonts w:hint="eastAsia" w:ascii="宋体" w:hAnsi="宋体"/>
          <w:b/>
          <w:sz w:val="24"/>
          <w:lang w:val="en-US" w:eastAsia="zh-CN"/>
        </w:rPr>
        <w:t>第二次）</w:t>
      </w:r>
      <w:r>
        <w:rPr>
          <w:rFonts w:ascii="宋体" w:hAnsi="宋体"/>
          <w:b/>
          <w:sz w:val="24"/>
        </w:rPr>
        <w:t>投标文件</w:t>
      </w:r>
      <w:r>
        <w:rPr>
          <w:rFonts w:hint="eastAsia"/>
          <w:sz w:val="24"/>
        </w:rPr>
        <w:t>”字样。投标人递交投标文件后，请联系采购人确认。</w:t>
      </w:r>
    </w:p>
    <w:p w14:paraId="352B2F45">
      <w:pPr>
        <w:numPr>
          <w:ilvl w:val="1"/>
          <w:numId w:val="20"/>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13"/>
      <w:r>
        <w:rPr>
          <w:sz w:val="24"/>
        </w:rPr>
        <w:t>。</w:t>
      </w:r>
    </w:p>
    <w:bookmarkEnd w:id="14"/>
    <w:p w14:paraId="5ACD17AC">
      <w:pPr>
        <w:spacing w:before="120" w:beforeLines="50" w:after="120" w:afterLines="50" w:line="360" w:lineRule="auto"/>
        <w:ind w:left="482"/>
        <w:rPr>
          <w:rFonts w:ascii="宋体" w:hAnsi="宋体"/>
          <w:b/>
          <w:sz w:val="24"/>
        </w:rPr>
      </w:pPr>
      <w:bookmarkStart w:id="15" w:name="_Hlk33473147"/>
      <w:bookmarkStart w:id="16" w:name="_Hlk33472987"/>
      <w:r>
        <w:rPr>
          <w:rFonts w:hint="eastAsia" w:ascii="宋体" w:hAnsi="宋体"/>
          <w:b/>
          <w:sz w:val="24"/>
        </w:rPr>
        <w:t>十五、公开发布</w:t>
      </w:r>
    </w:p>
    <w:p w14:paraId="195D4518">
      <w:pPr>
        <w:spacing w:before="120" w:beforeLines="50" w:after="120" w:afterLines="50" w:line="360" w:lineRule="auto"/>
        <w:ind w:firstLine="480" w:firstLineChars="200"/>
        <w:rPr>
          <w:sz w:val="24"/>
        </w:rPr>
      </w:pPr>
      <w:r>
        <w:rPr>
          <w:rFonts w:hint="eastAsia"/>
          <w:sz w:val="24"/>
        </w:rPr>
        <w:t>本竞选文件在广州城投综合能源投资经营管理有限公司网站（网址：</w:t>
      </w:r>
      <w:r>
        <w:rPr>
          <w:sz w:val="24"/>
        </w:rPr>
        <w:t>https://www.gzuci.com/</w:t>
      </w:r>
      <w:r>
        <w:rPr>
          <w:rFonts w:hint="eastAsia"/>
          <w:sz w:val="24"/>
        </w:rPr>
        <w:t>）广州国企阳光采购信息发布平台（</w:t>
      </w:r>
      <w:r>
        <w:rPr>
          <w:sz w:val="24"/>
        </w:rPr>
        <w:t>http://ygcg.gzggzy.cn/</w:t>
      </w:r>
      <w:r>
        <w:rPr>
          <w:rFonts w:hint="eastAsia"/>
          <w:sz w:val="24"/>
        </w:rPr>
        <w:t>）同时发布。本竞选文件在各媒体发布的文本如有不同之处，以在广州城投综合能源投资经营管理有限公司网站发布的文本为准。</w:t>
      </w:r>
    </w:p>
    <w:bookmarkEnd w:id="15"/>
    <w:p w14:paraId="2AC27E2F">
      <w:pPr>
        <w:spacing w:before="120" w:beforeLines="50" w:after="120" w:afterLines="50" w:line="360" w:lineRule="auto"/>
        <w:ind w:firstLine="241" w:firstLineChars="100"/>
        <w:rPr>
          <w:rFonts w:ascii="宋体" w:hAnsi="宋体"/>
          <w:b/>
          <w:sz w:val="24"/>
        </w:rPr>
      </w:pPr>
      <w:r>
        <w:rPr>
          <w:rFonts w:hint="eastAsia" w:ascii="宋体" w:hAnsi="宋体"/>
          <w:b/>
          <w:sz w:val="24"/>
        </w:rPr>
        <w:t>十六、采购人地址和联系方式</w:t>
      </w:r>
    </w:p>
    <w:p w14:paraId="733340BF">
      <w:pPr>
        <w:spacing w:before="120" w:beforeLines="50" w:after="120" w:afterLines="50" w:line="360" w:lineRule="auto"/>
        <w:ind w:firstLine="480" w:firstLineChars="200"/>
        <w:rPr>
          <w:rFonts w:ascii="宋体" w:hAnsi="宋体"/>
          <w:sz w:val="24"/>
        </w:rPr>
      </w:pPr>
      <w:r>
        <w:rPr>
          <w:rFonts w:hint="eastAsia" w:ascii="宋体" w:hAnsi="宋体"/>
          <w:sz w:val="24"/>
        </w:rPr>
        <w:t>采购单位：广州城投综合能源投资经营管理有限公司</w:t>
      </w:r>
    </w:p>
    <w:p w14:paraId="7B63394C">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14:paraId="1B0763C1">
      <w:pPr>
        <w:spacing w:before="120" w:beforeLines="50" w:after="120" w:afterLines="50" w:line="360" w:lineRule="auto"/>
        <w:ind w:firstLine="480" w:firstLineChars="200"/>
        <w:rPr>
          <w:rFonts w:ascii="宋体" w:hAnsi="宋体"/>
          <w:sz w:val="24"/>
        </w:rPr>
      </w:pPr>
      <w:r>
        <w:rPr>
          <w:rFonts w:hint="eastAsia" w:ascii="宋体" w:hAnsi="宋体"/>
          <w:sz w:val="24"/>
        </w:rPr>
        <w:t>联系人：王小姐</w:t>
      </w:r>
    </w:p>
    <w:p w14:paraId="2B668A57">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39302078</w:t>
      </w:r>
    </w:p>
    <w:p w14:paraId="1AE9EA18">
      <w:pPr>
        <w:spacing w:before="120" w:beforeLines="50" w:after="120" w:afterLines="50" w:line="360" w:lineRule="auto"/>
        <w:ind w:firstLine="480" w:firstLineChars="200"/>
        <w:rPr>
          <w:rFonts w:ascii="宋体" w:hAnsi="宋体"/>
          <w:sz w:val="24"/>
        </w:rPr>
      </w:pPr>
      <w:bookmarkStart w:id="17" w:name="_Hlk33473223"/>
      <w:r>
        <w:rPr>
          <w:rFonts w:hint="eastAsia" w:ascii="宋体" w:hAnsi="宋体"/>
          <w:sz w:val="24"/>
        </w:rPr>
        <w:t>附件1：报价一览表</w:t>
      </w:r>
    </w:p>
    <w:p w14:paraId="2D0060A2">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14:paraId="541649DF">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14:paraId="41EE6B11">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14:paraId="45C2D76C">
      <w:pPr>
        <w:spacing w:before="120" w:beforeLines="50" w:after="120" w:afterLines="50" w:line="360" w:lineRule="auto"/>
        <w:ind w:firstLine="480" w:firstLineChars="200"/>
        <w:rPr>
          <w:rFonts w:ascii="宋体" w:hAnsi="宋体"/>
          <w:sz w:val="24"/>
        </w:rPr>
      </w:pPr>
      <w:r>
        <w:rPr>
          <w:rFonts w:hint="eastAsia" w:ascii="宋体" w:hAnsi="宋体"/>
          <w:sz w:val="24"/>
        </w:rPr>
        <w:t>附件5：投标声明函</w:t>
      </w:r>
    </w:p>
    <w:p w14:paraId="708E4BD9">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6</w:t>
      </w:r>
      <w:r>
        <w:rPr>
          <w:rFonts w:hint="eastAsia" w:ascii="宋体" w:hAnsi="宋体"/>
          <w:sz w:val="24"/>
        </w:rPr>
        <w:t>：投标人资格和文件有效性审查表</w:t>
      </w:r>
    </w:p>
    <w:p w14:paraId="25302B2A">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 xml:space="preserve">7: </w:t>
      </w:r>
      <w:r>
        <w:rPr>
          <w:rFonts w:hint="eastAsia" w:ascii="宋体" w:hAnsi="宋体"/>
          <w:sz w:val="24"/>
        </w:rPr>
        <w:t>需求书</w:t>
      </w:r>
    </w:p>
    <w:p w14:paraId="1ED47393">
      <w:pPr>
        <w:pStyle w:val="7"/>
        <w:spacing w:before="120" w:beforeLines="50" w:after="120" w:afterLines="50" w:line="360" w:lineRule="auto"/>
        <w:ind w:left="0" w:leftChars="0" w:right="560"/>
        <w:jc w:val="right"/>
      </w:pPr>
      <w:r>
        <w:rPr>
          <w:rFonts w:hint="eastAsia"/>
        </w:rPr>
        <w:t>采购人：广州城投综合能源投资经营管理有限公司</w:t>
      </w:r>
    </w:p>
    <w:p w14:paraId="246FCB77">
      <w:pPr>
        <w:pStyle w:val="7"/>
        <w:spacing w:before="120" w:beforeLines="50" w:after="120" w:afterLines="50" w:line="360" w:lineRule="auto"/>
        <w:ind w:left="0" w:leftChars="0" w:right="560"/>
        <w:jc w:val="right"/>
      </w:pPr>
      <w:r>
        <w:rPr>
          <w:rFonts w:hint="eastAsia"/>
        </w:rPr>
        <w:t>202</w:t>
      </w:r>
      <w:r>
        <w:t>4</w:t>
      </w:r>
      <w:r>
        <w:rPr>
          <w:rFonts w:hint="eastAsia"/>
        </w:rPr>
        <w:t>年</w:t>
      </w:r>
      <w:r>
        <w:t>9</w:t>
      </w:r>
      <w:r>
        <w:rPr>
          <w:rFonts w:hint="eastAsia"/>
        </w:rPr>
        <w:t>月</w:t>
      </w:r>
      <w:r>
        <w:rPr>
          <w:rFonts w:hint="eastAsia"/>
          <w:lang w:val="en-US" w:eastAsia="zh-CN"/>
        </w:rPr>
        <w:t>29</w:t>
      </w:r>
      <w:r>
        <w:rPr>
          <w:rFonts w:hint="eastAsia"/>
        </w:rPr>
        <w:t>日</w:t>
      </w:r>
      <w:bookmarkEnd w:id="12"/>
      <w:bookmarkEnd w:id="16"/>
      <w:bookmarkEnd w:id="17"/>
    </w:p>
    <w:p w14:paraId="77E953C7">
      <w:pPr>
        <w:pStyle w:val="7"/>
        <w:spacing w:before="120" w:beforeLines="50" w:after="120" w:afterLines="50" w:line="360" w:lineRule="auto"/>
        <w:ind w:left="0" w:leftChars="0" w:right="560"/>
        <w:jc w:val="left"/>
        <w:rPr>
          <w:rFonts w:hAnsi="宋体"/>
          <w:b/>
          <w:sz w:val="28"/>
          <w:szCs w:val="28"/>
        </w:rPr>
      </w:pPr>
      <w:r>
        <w:br w:type="page"/>
      </w:r>
      <w:r>
        <w:rPr>
          <w:rFonts w:hint="eastAsia" w:hAnsi="宋体" w:cs="Arial"/>
          <w:color w:val="000000"/>
          <w:sz w:val="30"/>
          <w:szCs w:val="30"/>
        </w:rPr>
        <w:t>附件1</w:t>
      </w:r>
    </w:p>
    <w:p w14:paraId="13643873">
      <w:pPr>
        <w:pStyle w:val="10"/>
        <w:ind w:firstLine="0" w:firstLineChars="0"/>
        <w:jc w:val="center"/>
        <w:rPr>
          <w:rFonts w:hAnsi="宋体"/>
          <w:b/>
          <w:sz w:val="28"/>
          <w:szCs w:val="28"/>
        </w:rPr>
      </w:pPr>
      <w:r>
        <w:rPr>
          <w:rFonts w:hAnsi="宋体"/>
          <w:b/>
          <w:sz w:val="28"/>
          <w:szCs w:val="28"/>
        </w:rPr>
        <w:t>报价一览表</w:t>
      </w:r>
    </w:p>
    <w:p w14:paraId="6AACB186">
      <w:pPr>
        <w:pStyle w:val="10"/>
        <w:ind w:firstLine="0" w:firstLineChars="0"/>
        <w:jc w:val="center"/>
        <w:rPr>
          <w:rFonts w:hAnsi="宋体"/>
          <w:b/>
          <w:sz w:val="28"/>
          <w:szCs w:val="28"/>
        </w:rPr>
      </w:pPr>
    </w:p>
    <w:p w14:paraId="3249D63D">
      <w:pPr>
        <w:jc w:val="left"/>
        <w:rPr>
          <w:rFonts w:hint="default" w:ascii="宋体" w:hAnsi="宋体" w:eastAsia="宋体"/>
          <w:b/>
          <w:sz w:val="28"/>
          <w:szCs w:val="28"/>
          <w:lang w:val="en-US" w:eastAsia="zh-CN"/>
        </w:rPr>
      </w:pPr>
      <w:r>
        <w:rPr>
          <w:rFonts w:hint="eastAsia" w:hAnsi="宋体"/>
          <w:sz w:val="24"/>
        </w:rPr>
        <w:t>项目名称：</w:t>
      </w:r>
      <w:r>
        <w:rPr>
          <w:rFonts w:hint="eastAsia" w:ascii="宋体" w:hAnsi="宋体"/>
          <w:b/>
          <w:sz w:val="24"/>
        </w:rPr>
        <w:t>研发管沟B分支、E分支、中环21-23水电仓（共11个仓段）远程监控</w:t>
      </w:r>
      <w:r>
        <w:rPr>
          <w:rFonts w:hint="eastAsia" w:ascii="宋体" w:hAnsi="宋体"/>
          <w:b/>
          <w:sz w:val="24"/>
          <w:lang w:eastAsia="zh-CN"/>
        </w:rPr>
        <w:t>（</w:t>
      </w:r>
      <w:r>
        <w:rPr>
          <w:rFonts w:hint="eastAsia" w:ascii="宋体" w:hAnsi="宋体"/>
          <w:b/>
          <w:sz w:val="24"/>
          <w:lang w:val="en-US" w:eastAsia="zh-CN"/>
        </w:rPr>
        <w:t>第二次）</w:t>
      </w:r>
    </w:p>
    <w:tbl>
      <w:tblPr>
        <w:tblStyle w:val="19"/>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211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37115059">
            <w:pPr>
              <w:rPr>
                <w:rFonts w:hAnsi="宋体"/>
                <w:bCs/>
                <w:sz w:val="24"/>
              </w:rPr>
            </w:pPr>
            <w:bookmarkStart w:id="18" w:name="_Hlk33473274"/>
            <w:r>
              <w:rPr>
                <w:rFonts w:hint="eastAsia" w:hAnsi="宋体"/>
                <w:bCs/>
                <w:sz w:val="24"/>
              </w:rPr>
              <w:t>序号</w:t>
            </w:r>
          </w:p>
        </w:tc>
        <w:tc>
          <w:tcPr>
            <w:tcW w:w="1853" w:type="dxa"/>
            <w:vAlign w:val="center"/>
          </w:tcPr>
          <w:p w14:paraId="5206D615">
            <w:pPr>
              <w:jc w:val="center"/>
              <w:rPr>
                <w:rFonts w:hAnsi="宋体"/>
                <w:bCs/>
                <w:sz w:val="24"/>
              </w:rPr>
            </w:pPr>
            <w:r>
              <w:rPr>
                <w:rFonts w:hint="eastAsia" w:hAnsi="宋体"/>
                <w:bCs/>
                <w:sz w:val="24"/>
              </w:rPr>
              <w:t>项目名称</w:t>
            </w:r>
          </w:p>
        </w:tc>
        <w:tc>
          <w:tcPr>
            <w:tcW w:w="6197" w:type="dxa"/>
            <w:gridSpan w:val="2"/>
            <w:vAlign w:val="center"/>
          </w:tcPr>
          <w:p w14:paraId="392F8619">
            <w:pPr>
              <w:rPr>
                <w:rFonts w:hAnsi="宋体"/>
                <w:bCs/>
                <w:sz w:val="24"/>
              </w:rPr>
            </w:pPr>
            <w:r>
              <w:rPr>
                <w:rFonts w:hint="eastAsia" w:hAnsi="宋体"/>
                <w:bCs/>
                <w:sz w:val="24"/>
              </w:rPr>
              <w:t>投标价（单位：人民币元）</w:t>
            </w:r>
          </w:p>
        </w:tc>
      </w:tr>
      <w:tr w14:paraId="1D79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7A622CA">
            <w:pPr>
              <w:jc w:val="center"/>
              <w:rPr>
                <w:rFonts w:hAnsi="宋体"/>
                <w:sz w:val="24"/>
              </w:rPr>
            </w:pPr>
            <w:r>
              <w:rPr>
                <w:rFonts w:hint="eastAsia" w:hAnsi="宋体"/>
                <w:sz w:val="24"/>
              </w:rPr>
              <w:t>1</w:t>
            </w:r>
          </w:p>
        </w:tc>
        <w:tc>
          <w:tcPr>
            <w:tcW w:w="1853" w:type="dxa"/>
            <w:vAlign w:val="center"/>
          </w:tcPr>
          <w:p w14:paraId="77AA110E">
            <w:pPr>
              <w:jc w:val="center"/>
              <w:rPr>
                <w:rFonts w:hAnsi="宋体"/>
                <w:sz w:val="24"/>
              </w:rPr>
            </w:pPr>
            <w:r>
              <w:rPr>
                <w:rFonts w:hint="eastAsia" w:hAnsi="宋体"/>
                <w:sz w:val="24"/>
              </w:rPr>
              <w:t>投标总价</w:t>
            </w:r>
          </w:p>
        </w:tc>
        <w:tc>
          <w:tcPr>
            <w:tcW w:w="6197" w:type="dxa"/>
            <w:gridSpan w:val="2"/>
            <w:vAlign w:val="center"/>
          </w:tcPr>
          <w:p w14:paraId="335B4D92">
            <w:pPr>
              <w:rPr>
                <w:rFonts w:hAnsi="宋体"/>
                <w:sz w:val="24"/>
              </w:rPr>
            </w:pPr>
            <w:r>
              <w:rPr>
                <w:rFonts w:hint="eastAsia" w:ascii="宋体" w:hAnsi="宋体"/>
                <w:sz w:val="24"/>
              </w:rPr>
              <w:t>大写</w:t>
            </w:r>
            <w:r>
              <w:rPr>
                <w:rFonts w:hint="eastAsia" w:hAnsi="宋体"/>
                <w:sz w:val="24"/>
              </w:rPr>
              <w:t>：</w:t>
            </w:r>
          </w:p>
          <w:p w14:paraId="0B837F45">
            <w:pPr>
              <w:rPr>
                <w:rFonts w:hAnsi="宋体"/>
                <w:sz w:val="24"/>
              </w:rPr>
            </w:pPr>
            <w:r>
              <w:rPr>
                <w:rFonts w:hint="eastAsia" w:hAnsi="宋体"/>
                <w:sz w:val="24"/>
              </w:rPr>
              <w:t>小写：</w:t>
            </w:r>
          </w:p>
        </w:tc>
      </w:tr>
      <w:tr w14:paraId="16C0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026555C">
            <w:pPr>
              <w:jc w:val="center"/>
              <w:rPr>
                <w:rFonts w:hAnsi="宋体"/>
                <w:sz w:val="24"/>
              </w:rPr>
            </w:pPr>
            <w:r>
              <w:rPr>
                <w:rFonts w:hint="eastAsia" w:hAnsi="宋体"/>
                <w:sz w:val="24"/>
              </w:rPr>
              <w:t>其中</w:t>
            </w:r>
          </w:p>
        </w:tc>
        <w:tc>
          <w:tcPr>
            <w:tcW w:w="1853" w:type="dxa"/>
            <w:vAlign w:val="center"/>
          </w:tcPr>
          <w:p w14:paraId="78F6745C">
            <w:pPr>
              <w:jc w:val="center"/>
              <w:rPr>
                <w:rFonts w:hAnsi="宋体"/>
                <w:sz w:val="24"/>
              </w:rPr>
            </w:pPr>
            <w:r>
              <w:rPr>
                <w:rFonts w:hint="eastAsia" w:hAnsi="宋体"/>
                <w:sz w:val="24"/>
              </w:rPr>
              <w:t>不含税总价</w:t>
            </w:r>
          </w:p>
        </w:tc>
        <w:tc>
          <w:tcPr>
            <w:tcW w:w="6197" w:type="dxa"/>
            <w:gridSpan w:val="2"/>
            <w:vAlign w:val="center"/>
          </w:tcPr>
          <w:p w14:paraId="1BCFD348">
            <w:pPr>
              <w:rPr>
                <w:rFonts w:hAnsi="宋体"/>
                <w:sz w:val="24"/>
              </w:rPr>
            </w:pPr>
            <w:r>
              <w:rPr>
                <w:rFonts w:hint="eastAsia" w:ascii="宋体" w:hAnsi="宋体"/>
                <w:sz w:val="24"/>
              </w:rPr>
              <w:t>大写</w:t>
            </w:r>
            <w:r>
              <w:rPr>
                <w:rFonts w:hint="eastAsia" w:hAnsi="宋体"/>
                <w:sz w:val="24"/>
              </w:rPr>
              <w:t>：</w:t>
            </w:r>
          </w:p>
          <w:p w14:paraId="35A753B7">
            <w:pPr>
              <w:rPr>
                <w:rFonts w:ascii="宋体" w:hAnsi="宋体"/>
                <w:sz w:val="24"/>
              </w:rPr>
            </w:pPr>
            <w:r>
              <w:rPr>
                <w:rFonts w:hint="eastAsia" w:hAnsi="宋体"/>
                <w:sz w:val="24"/>
              </w:rPr>
              <w:t>小写：</w:t>
            </w:r>
          </w:p>
        </w:tc>
      </w:tr>
      <w:tr w14:paraId="3616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22153A1C">
            <w:pPr>
              <w:jc w:val="center"/>
              <w:rPr>
                <w:rFonts w:hAnsi="宋体"/>
                <w:sz w:val="24"/>
              </w:rPr>
            </w:pPr>
            <w:r>
              <w:rPr>
                <w:rFonts w:hint="eastAsia" w:hAnsi="宋体"/>
                <w:sz w:val="24"/>
              </w:rPr>
              <w:t>2</w:t>
            </w:r>
          </w:p>
        </w:tc>
        <w:tc>
          <w:tcPr>
            <w:tcW w:w="1853" w:type="dxa"/>
            <w:vAlign w:val="center"/>
          </w:tcPr>
          <w:p w14:paraId="3A6A7D84">
            <w:pPr>
              <w:jc w:val="center"/>
              <w:rPr>
                <w:rFonts w:hAnsi="宋体"/>
                <w:sz w:val="24"/>
              </w:rPr>
            </w:pPr>
            <w:r>
              <w:rPr>
                <w:rFonts w:hint="eastAsia" w:hAnsi="宋体"/>
                <w:sz w:val="24"/>
              </w:rPr>
              <w:t>投标工期</w:t>
            </w:r>
          </w:p>
        </w:tc>
        <w:tc>
          <w:tcPr>
            <w:tcW w:w="6197" w:type="dxa"/>
            <w:gridSpan w:val="2"/>
            <w:vAlign w:val="center"/>
          </w:tcPr>
          <w:p w14:paraId="6D35661C">
            <w:pPr>
              <w:rPr>
                <w:rFonts w:hAnsi="宋体"/>
                <w:sz w:val="24"/>
              </w:rPr>
            </w:pPr>
          </w:p>
        </w:tc>
      </w:tr>
      <w:tr w14:paraId="1ECD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08A07C20">
            <w:pPr>
              <w:jc w:val="center"/>
              <w:rPr>
                <w:rFonts w:hAnsi="宋体"/>
                <w:sz w:val="24"/>
              </w:rPr>
            </w:pPr>
            <w:r>
              <w:rPr>
                <w:rFonts w:hint="eastAsia" w:hAnsi="宋体"/>
                <w:sz w:val="24"/>
              </w:rPr>
              <w:t>3</w:t>
            </w:r>
          </w:p>
        </w:tc>
        <w:tc>
          <w:tcPr>
            <w:tcW w:w="1853" w:type="dxa"/>
            <w:vAlign w:val="center"/>
          </w:tcPr>
          <w:p w14:paraId="5A0805B0">
            <w:pPr>
              <w:jc w:val="center"/>
              <w:rPr>
                <w:rFonts w:hAnsi="宋体"/>
                <w:sz w:val="24"/>
              </w:rPr>
            </w:pPr>
            <w:r>
              <w:rPr>
                <w:rFonts w:hint="eastAsia" w:hAnsi="宋体"/>
                <w:sz w:val="24"/>
              </w:rPr>
              <w:t>工程质量标准</w:t>
            </w:r>
          </w:p>
        </w:tc>
        <w:tc>
          <w:tcPr>
            <w:tcW w:w="6197" w:type="dxa"/>
            <w:gridSpan w:val="2"/>
            <w:vAlign w:val="center"/>
          </w:tcPr>
          <w:p w14:paraId="5BDACEB9">
            <w:pPr>
              <w:rPr>
                <w:rFonts w:hAnsi="宋体"/>
                <w:sz w:val="24"/>
              </w:rPr>
            </w:pPr>
          </w:p>
        </w:tc>
      </w:tr>
      <w:tr w14:paraId="1AB1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354C285">
            <w:pPr>
              <w:jc w:val="center"/>
              <w:rPr>
                <w:rFonts w:hAnsi="宋体"/>
                <w:sz w:val="24"/>
              </w:rPr>
            </w:pPr>
            <w:r>
              <w:rPr>
                <w:rFonts w:hint="eastAsia" w:hAnsi="宋体"/>
                <w:sz w:val="24"/>
              </w:rPr>
              <w:t>4</w:t>
            </w:r>
          </w:p>
        </w:tc>
        <w:tc>
          <w:tcPr>
            <w:tcW w:w="1853" w:type="dxa"/>
            <w:vAlign w:val="center"/>
          </w:tcPr>
          <w:p w14:paraId="7E3CA037">
            <w:pPr>
              <w:jc w:val="center"/>
              <w:rPr>
                <w:rFonts w:hAnsi="宋体"/>
                <w:sz w:val="24"/>
              </w:rPr>
            </w:pPr>
            <w:r>
              <w:rPr>
                <w:rFonts w:hint="eastAsia" w:hAnsi="宋体"/>
                <w:sz w:val="24"/>
              </w:rPr>
              <w:t>保修期限</w:t>
            </w:r>
          </w:p>
        </w:tc>
        <w:tc>
          <w:tcPr>
            <w:tcW w:w="6197" w:type="dxa"/>
            <w:gridSpan w:val="2"/>
            <w:vAlign w:val="center"/>
          </w:tcPr>
          <w:p w14:paraId="7CF429B5">
            <w:pPr>
              <w:rPr>
                <w:rFonts w:hAnsi="宋体"/>
                <w:sz w:val="24"/>
              </w:rPr>
            </w:pPr>
          </w:p>
        </w:tc>
      </w:tr>
      <w:tr w14:paraId="0458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F34F346">
            <w:pPr>
              <w:jc w:val="center"/>
              <w:rPr>
                <w:rFonts w:hAnsi="宋体"/>
                <w:sz w:val="24"/>
              </w:rPr>
            </w:pPr>
            <w:r>
              <w:rPr>
                <w:rFonts w:hint="eastAsia" w:hAnsi="宋体"/>
                <w:sz w:val="24"/>
              </w:rPr>
              <w:t>5</w:t>
            </w:r>
          </w:p>
        </w:tc>
        <w:tc>
          <w:tcPr>
            <w:tcW w:w="1853" w:type="dxa"/>
            <w:vMerge w:val="restart"/>
            <w:vAlign w:val="center"/>
          </w:tcPr>
          <w:p w14:paraId="2FDFFB3E">
            <w:pPr>
              <w:jc w:val="center"/>
              <w:rPr>
                <w:rFonts w:hAnsi="宋体"/>
                <w:sz w:val="24"/>
              </w:rPr>
            </w:pPr>
            <w:r>
              <w:rPr>
                <w:rFonts w:hint="eastAsia" w:hAnsi="宋体"/>
                <w:sz w:val="24"/>
              </w:rPr>
              <w:t>拟委派的项目负责人</w:t>
            </w:r>
          </w:p>
        </w:tc>
        <w:tc>
          <w:tcPr>
            <w:tcW w:w="1671" w:type="dxa"/>
            <w:vAlign w:val="center"/>
          </w:tcPr>
          <w:p w14:paraId="75EC1ACA">
            <w:pPr>
              <w:rPr>
                <w:rFonts w:hAnsi="宋体"/>
                <w:sz w:val="24"/>
              </w:rPr>
            </w:pPr>
            <w:r>
              <w:rPr>
                <w:rFonts w:hint="eastAsia" w:hAnsi="宋体"/>
                <w:sz w:val="24"/>
              </w:rPr>
              <w:t>姓名</w:t>
            </w:r>
          </w:p>
        </w:tc>
        <w:tc>
          <w:tcPr>
            <w:tcW w:w="4526" w:type="dxa"/>
            <w:vAlign w:val="center"/>
          </w:tcPr>
          <w:p w14:paraId="0248A708">
            <w:pPr>
              <w:rPr>
                <w:rFonts w:hAnsi="宋体"/>
                <w:sz w:val="24"/>
              </w:rPr>
            </w:pPr>
          </w:p>
        </w:tc>
      </w:tr>
      <w:tr w14:paraId="0A28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B1468C4">
            <w:pPr>
              <w:rPr>
                <w:rFonts w:hAnsi="宋体"/>
                <w:sz w:val="24"/>
              </w:rPr>
            </w:pPr>
          </w:p>
        </w:tc>
        <w:tc>
          <w:tcPr>
            <w:tcW w:w="1853" w:type="dxa"/>
            <w:vMerge w:val="continue"/>
            <w:vAlign w:val="center"/>
          </w:tcPr>
          <w:p w14:paraId="4A45189F">
            <w:pPr>
              <w:rPr>
                <w:rFonts w:hAnsi="宋体"/>
                <w:sz w:val="24"/>
              </w:rPr>
            </w:pPr>
          </w:p>
        </w:tc>
        <w:tc>
          <w:tcPr>
            <w:tcW w:w="1671" w:type="dxa"/>
            <w:vAlign w:val="center"/>
          </w:tcPr>
          <w:p w14:paraId="524D039C">
            <w:pPr>
              <w:rPr>
                <w:rFonts w:hAnsi="宋体"/>
                <w:sz w:val="24"/>
              </w:rPr>
            </w:pPr>
            <w:r>
              <w:rPr>
                <w:rFonts w:hint="eastAsia" w:hAnsi="宋体"/>
                <w:sz w:val="24"/>
              </w:rPr>
              <w:t>技术职称</w:t>
            </w:r>
          </w:p>
        </w:tc>
        <w:tc>
          <w:tcPr>
            <w:tcW w:w="4526" w:type="dxa"/>
            <w:vAlign w:val="center"/>
          </w:tcPr>
          <w:p w14:paraId="73FCCD57">
            <w:pPr>
              <w:rPr>
                <w:rFonts w:hAnsi="宋体"/>
                <w:sz w:val="24"/>
              </w:rPr>
            </w:pPr>
          </w:p>
        </w:tc>
      </w:tr>
      <w:tr w14:paraId="6EE0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5D0F011">
            <w:pPr>
              <w:rPr>
                <w:rFonts w:hAnsi="宋体"/>
                <w:sz w:val="24"/>
              </w:rPr>
            </w:pPr>
          </w:p>
        </w:tc>
        <w:tc>
          <w:tcPr>
            <w:tcW w:w="1853" w:type="dxa"/>
            <w:vMerge w:val="continue"/>
            <w:vAlign w:val="center"/>
          </w:tcPr>
          <w:p w14:paraId="48219AF3">
            <w:pPr>
              <w:rPr>
                <w:rFonts w:hAnsi="宋体"/>
                <w:sz w:val="24"/>
              </w:rPr>
            </w:pPr>
          </w:p>
        </w:tc>
        <w:tc>
          <w:tcPr>
            <w:tcW w:w="1671" w:type="dxa"/>
            <w:vAlign w:val="center"/>
          </w:tcPr>
          <w:p w14:paraId="19FC2D99">
            <w:pPr>
              <w:rPr>
                <w:rFonts w:hAnsi="宋体"/>
                <w:sz w:val="24"/>
              </w:rPr>
            </w:pPr>
            <w:r>
              <w:rPr>
                <w:rFonts w:hint="eastAsia" w:hAnsi="宋体"/>
                <w:sz w:val="24"/>
              </w:rPr>
              <w:t>联系电话</w:t>
            </w:r>
          </w:p>
        </w:tc>
        <w:tc>
          <w:tcPr>
            <w:tcW w:w="4526" w:type="dxa"/>
            <w:vAlign w:val="center"/>
          </w:tcPr>
          <w:p w14:paraId="15EFAD6C">
            <w:pPr>
              <w:rPr>
                <w:rFonts w:hAnsi="宋体"/>
                <w:sz w:val="24"/>
              </w:rPr>
            </w:pPr>
          </w:p>
        </w:tc>
      </w:tr>
      <w:bookmarkEnd w:id="18"/>
    </w:tbl>
    <w:p w14:paraId="14B97811">
      <w:pPr>
        <w:rPr>
          <w:rFonts w:hAnsi="宋体"/>
        </w:rPr>
      </w:pPr>
    </w:p>
    <w:p w14:paraId="73299F1D">
      <w:pPr>
        <w:spacing w:before="120" w:beforeLines="50" w:after="120" w:afterLines="50" w:line="360" w:lineRule="auto"/>
        <w:rPr>
          <w:rFonts w:ascii="宋体" w:hAnsi="宋体"/>
          <w:sz w:val="24"/>
        </w:rPr>
      </w:pPr>
      <w:r>
        <w:rPr>
          <w:rFonts w:hint="eastAsia" w:ascii="宋体" w:hAnsi="宋体"/>
          <w:sz w:val="24"/>
        </w:rPr>
        <w:t>注：（1）投标总价为人民币报价。</w:t>
      </w:r>
    </w:p>
    <w:p w14:paraId="2A1D58F3">
      <w:pPr>
        <w:tabs>
          <w:tab w:val="left" w:pos="8364"/>
        </w:tabs>
        <w:spacing w:before="120" w:beforeLines="50" w:after="120" w:afterLines="50" w:line="360" w:lineRule="auto"/>
        <w:ind w:firstLine="480" w:firstLineChars="200"/>
        <w:rPr>
          <w:rFonts w:ascii="宋体" w:hAnsi="宋体"/>
          <w:sz w:val="24"/>
        </w:rPr>
      </w:pPr>
      <w:r>
        <w:rPr>
          <w:rFonts w:hint="eastAsia" w:ascii="宋体" w:hAnsi="宋体"/>
          <w:sz w:val="24"/>
        </w:rPr>
        <w:t>（2）投标总价是所有需采购人支付的本次项目采购的金额总数，应包括竞选文件要求的全部内容，投标人完成本项目（如果中标）所必须的</w:t>
      </w:r>
      <w:r>
        <w:rPr>
          <w:rFonts w:hint="eastAsia" w:ascii="宋体" w:hAnsi="宋体"/>
          <w:bCs/>
          <w:sz w:val="24"/>
        </w:rPr>
        <w:t>所有成本费用和投标人应承担的一切税费</w:t>
      </w:r>
      <w:r>
        <w:rPr>
          <w:rFonts w:hint="eastAsia" w:ascii="宋体" w:hAnsi="宋体"/>
          <w:sz w:val="24"/>
        </w:rPr>
        <w:t>，包括但不限于全部人工费、材料、设备、工具、机具、安装运输、规费、措施费、合理利润、管理费、税费等及清理现场的费用、合同实施过程中应预见和不可预见的费用等等。</w:t>
      </w:r>
    </w:p>
    <w:p w14:paraId="130909B4">
      <w:pPr>
        <w:tabs>
          <w:tab w:val="left" w:pos="8364"/>
        </w:tabs>
        <w:spacing w:before="120" w:beforeLines="50" w:after="120" w:afterLines="50" w:line="360" w:lineRule="auto"/>
        <w:rPr>
          <w:rFonts w:ascii="宋体" w:hAnsi="宋体"/>
          <w:sz w:val="24"/>
        </w:rPr>
      </w:pPr>
      <w:r>
        <w:rPr>
          <w:rFonts w:hint="eastAsia" w:ascii="宋体" w:hAnsi="宋体"/>
          <w:sz w:val="24"/>
        </w:rPr>
        <w:t>（3）若用小写表示的金额和用大写表示的金额不一致，以大写表示的金额为准。</w:t>
      </w:r>
    </w:p>
    <w:p w14:paraId="7466AAF3">
      <w:pPr>
        <w:tabs>
          <w:tab w:val="left" w:pos="8364"/>
        </w:tabs>
        <w:spacing w:before="120" w:beforeLines="50" w:after="120" w:afterLines="50" w:line="360" w:lineRule="auto"/>
        <w:rPr>
          <w:rFonts w:ascii="宋体" w:hAnsi="宋体"/>
          <w:sz w:val="24"/>
        </w:rPr>
      </w:pPr>
    </w:p>
    <w:p w14:paraId="73F87127">
      <w:pPr>
        <w:spacing w:before="120" w:beforeLines="50" w:after="120" w:afterLines="50" w:line="360" w:lineRule="auto"/>
        <w:rPr>
          <w:rFonts w:ascii="宋体" w:hAnsi="宋体"/>
          <w:sz w:val="24"/>
        </w:rPr>
      </w:pPr>
      <w:r>
        <w:rPr>
          <w:rFonts w:hint="eastAsia" w:ascii="宋体" w:hAnsi="宋体"/>
          <w:sz w:val="24"/>
        </w:rPr>
        <w:t xml:space="preserve">投标人名称（盖章） </w:t>
      </w:r>
      <w:r>
        <w:rPr>
          <w:rFonts w:ascii="宋体" w:hAnsi="宋体"/>
          <w:sz w:val="24"/>
        </w:rPr>
        <w:t xml:space="preserve">                              </w:t>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73DA2E1E">
      <w:pPr>
        <w:spacing w:before="120" w:beforeLines="50" w:after="120" w:afterLines="50" w:line="360" w:lineRule="auto"/>
        <w:rPr>
          <w:rFonts w:ascii="宋体" w:hAnsi="宋体" w:cs="Arial"/>
          <w:color w:val="000000"/>
          <w:sz w:val="30"/>
          <w:szCs w:val="30"/>
        </w:rPr>
      </w:pPr>
    </w:p>
    <w:p w14:paraId="0E3352CC">
      <w:pPr>
        <w:spacing w:before="120" w:beforeLines="50" w:after="120" w:afterLines="50" w:line="360" w:lineRule="auto"/>
        <w:rPr>
          <w:rFonts w:ascii="宋体" w:hAnsi="宋体" w:cs="Arial"/>
          <w:color w:val="000000"/>
          <w:sz w:val="30"/>
          <w:szCs w:val="30"/>
        </w:rPr>
      </w:pPr>
      <w:r>
        <w:rPr>
          <w:rFonts w:hint="eastAsia" w:ascii="宋体" w:hAnsi="宋体" w:cs="Arial"/>
          <w:color w:val="000000"/>
          <w:sz w:val="30"/>
          <w:szCs w:val="30"/>
        </w:rPr>
        <w:t>附件1</w:t>
      </w:r>
      <w:r>
        <w:rPr>
          <w:rFonts w:ascii="宋体" w:hAnsi="宋体" w:cs="Arial"/>
          <w:color w:val="000000"/>
          <w:sz w:val="30"/>
          <w:szCs w:val="30"/>
        </w:rPr>
        <w:t xml:space="preserve">.1  </w:t>
      </w:r>
      <w:r>
        <w:rPr>
          <w:rFonts w:hint="eastAsia" w:ascii="宋体" w:hAnsi="宋体" w:cs="Arial"/>
          <w:color w:val="000000"/>
          <w:sz w:val="30"/>
          <w:szCs w:val="30"/>
        </w:rPr>
        <w:t>报价明细表</w:t>
      </w:r>
    </w:p>
    <w:p w14:paraId="78C1670D">
      <w:pPr>
        <w:spacing w:before="120" w:beforeLines="50" w:after="120" w:afterLines="50" w:line="360" w:lineRule="auto"/>
        <w:rPr>
          <w:rFonts w:ascii="宋体" w:hAnsi="宋体" w:cs="Arial"/>
          <w:color w:val="000000"/>
          <w:sz w:val="30"/>
          <w:szCs w:val="30"/>
        </w:rPr>
      </w:pPr>
    </w:p>
    <w:p w14:paraId="50240FAD">
      <w:pPr>
        <w:spacing w:before="120" w:beforeLines="50" w:after="120" w:afterLines="50" w:line="360" w:lineRule="auto"/>
        <w:rPr>
          <w:rFonts w:ascii="宋体" w:hAnsi="宋体" w:cs="Arial"/>
          <w:color w:val="000000"/>
          <w:sz w:val="30"/>
          <w:szCs w:val="30"/>
        </w:rPr>
      </w:pPr>
    </w:p>
    <w:p w14:paraId="0984108D">
      <w:pPr>
        <w:spacing w:before="120" w:beforeLines="50" w:after="120" w:afterLines="50" w:line="360" w:lineRule="auto"/>
        <w:rPr>
          <w:rFonts w:ascii="宋体" w:hAnsi="宋体" w:cs="Arial"/>
          <w:color w:val="000000"/>
          <w:sz w:val="30"/>
          <w:szCs w:val="30"/>
        </w:rPr>
      </w:pPr>
    </w:p>
    <w:p w14:paraId="76E0D12F">
      <w:pPr>
        <w:spacing w:before="120" w:beforeLines="50" w:after="120" w:afterLines="50" w:line="360" w:lineRule="auto"/>
        <w:rPr>
          <w:rFonts w:ascii="宋体" w:hAnsi="宋体" w:cs="Arial"/>
          <w:color w:val="000000"/>
          <w:sz w:val="30"/>
          <w:szCs w:val="30"/>
        </w:rPr>
      </w:pPr>
    </w:p>
    <w:p w14:paraId="09C57997">
      <w:pPr>
        <w:spacing w:before="120" w:beforeLines="50" w:after="120" w:afterLines="50" w:line="360" w:lineRule="auto"/>
        <w:rPr>
          <w:rFonts w:ascii="宋体" w:hAnsi="宋体" w:cs="Arial"/>
          <w:color w:val="000000"/>
          <w:sz w:val="30"/>
          <w:szCs w:val="30"/>
        </w:rPr>
      </w:pPr>
    </w:p>
    <w:p w14:paraId="11E161C1">
      <w:pPr>
        <w:spacing w:before="120" w:beforeLines="50" w:after="120" w:afterLines="50" w:line="360" w:lineRule="auto"/>
        <w:rPr>
          <w:rFonts w:ascii="宋体" w:hAnsi="宋体" w:cs="Arial"/>
          <w:color w:val="000000"/>
          <w:sz w:val="30"/>
          <w:szCs w:val="30"/>
        </w:rPr>
      </w:pPr>
    </w:p>
    <w:p w14:paraId="146E26B7">
      <w:pPr>
        <w:spacing w:before="120" w:beforeLines="50" w:after="120" w:afterLines="50" w:line="360" w:lineRule="auto"/>
        <w:rPr>
          <w:rFonts w:ascii="宋体" w:hAnsi="宋体" w:cs="Arial"/>
          <w:color w:val="000000"/>
          <w:sz w:val="30"/>
          <w:szCs w:val="30"/>
        </w:rPr>
      </w:pPr>
    </w:p>
    <w:p w14:paraId="21DBE25A">
      <w:pPr>
        <w:spacing w:before="120" w:beforeLines="50" w:after="120" w:afterLines="50" w:line="360" w:lineRule="auto"/>
        <w:rPr>
          <w:rFonts w:ascii="宋体" w:hAnsi="宋体" w:cs="Arial"/>
          <w:color w:val="000000"/>
          <w:sz w:val="30"/>
          <w:szCs w:val="30"/>
        </w:rPr>
      </w:pPr>
    </w:p>
    <w:p w14:paraId="21D9F549">
      <w:pPr>
        <w:spacing w:before="120" w:beforeLines="50" w:after="120" w:afterLines="50" w:line="360" w:lineRule="auto"/>
        <w:rPr>
          <w:rFonts w:ascii="宋体" w:hAnsi="宋体" w:cs="Arial"/>
          <w:color w:val="000000"/>
          <w:sz w:val="30"/>
          <w:szCs w:val="30"/>
        </w:rPr>
      </w:pPr>
    </w:p>
    <w:p w14:paraId="11E29BAA">
      <w:pPr>
        <w:spacing w:before="120" w:beforeLines="50" w:after="120" w:afterLines="50" w:line="360" w:lineRule="auto"/>
        <w:rPr>
          <w:rFonts w:ascii="宋体" w:hAnsi="宋体" w:cs="Arial"/>
          <w:color w:val="000000"/>
          <w:sz w:val="30"/>
          <w:szCs w:val="30"/>
        </w:rPr>
      </w:pPr>
    </w:p>
    <w:p w14:paraId="2F09EC5D">
      <w:pPr>
        <w:spacing w:before="120" w:beforeLines="50" w:after="120" w:afterLines="50" w:line="360" w:lineRule="auto"/>
        <w:rPr>
          <w:rFonts w:ascii="宋体" w:hAnsi="宋体" w:cs="Arial"/>
          <w:color w:val="000000"/>
          <w:sz w:val="30"/>
          <w:szCs w:val="30"/>
        </w:rPr>
      </w:pPr>
    </w:p>
    <w:p w14:paraId="3B328D59">
      <w:pPr>
        <w:spacing w:before="120" w:beforeLines="50" w:after="120" w:afterLines="50" w:line="360" w:lineRule="auto"/>
        <w:rPr>
          <w:rFonts w:ascii="宋体" w:hAnsi="宋体" w:cs="Arial"/>
          <w:color w:val="000000"/>
          <w:sz w:val="30"/>
          <w:szCs w:val="30"/>
        </w:rPr>
      </w:pPr>
    </w:p>
    <w:p w14:paraId="036F377F">
      <w:pPr>
        <w:spacing w:before="120" w:beforeLines="50" w:after="120" w:afterLines="50" w:line="360" w:lineRule="auto"/>
        <w:rPr>
          <w:rFonts w:ascii="宋体" w:hAnsi="宋体" w:cs="Arial"/>
          <w:color w:val="000000"/>
          <w:sz w:val="30"/>
          <w:szCs w:val="30"/>
        </w:rPr>
      </w:pPr>
    </w:p>
    <w:p w14:paraId="45A35B82">
      <w:pPr>
        <w:spacing w:before="120" w:beforeLines="50" w:after="120" w:afterLines="50" w:line="360" w:lineRule="auto"/>
        <w:rPr>
          <w:rFonts w:ascii="宋体" w:hAnsi="宋体" w:cs="Arial"/>
          <w:color w:val="000000"/>
          <w:sz w:val="30"/>
          <w:szCs w:val="30"/>
        </w:rPr>
      </w:pPr>
    </w:p>
    <w:p w14:paraId="60D28F7E">
      <w:pPr>
        <w:spacing w:before="120" w:beforeLines="50" w:after="120" w:afterLines="50" w:line="360" w:lineRule="auto"/>
        <w:rPr>
          <w:rFonts w:ascii="宋体" w:hAnsi="宋体" w:cs="Arial"/>
          <w:color w:val="000000"/>
          <w:sz w:val="30"/>
          <w:szCs w:val="30"/>
        </w:rPr>
      </w:pPr>
    </w:p>
    <w:p w14:paraId="0E684CEF">
      <w:pPr>
        <w:spacing w:before="120" w:beforeLines="50" w:after="120" w:afterLines="50" w:line="360" w:lineRule="auto"/>
        <w:rPr>
          <w:rFonts w:ascii="宋体" w:hAnsi="宋体" w:cs="Arial"/>
          <w:color w:val="000000"/>
          <w:sz w:val="30"/>
          <w:szCs w:val="30"/>
        </w:rPr>
      </w:pPr>
    </w:p>
    <w:p w14:paraId="13DAAF1F">
      <w:pPr>
        <w:spacing w:before="120" w:beforeLines="50" w:after="120" w:afterLines="50" w:line="360" w:lineRule="auto"/>
        <w:rPr>
          <w:rFonts w:ascii="宋体" w:hAnsi="宋体" w:cs="Arial"/>
          <w:color w:val="000000"/>
          <w:sz w:val="30"/>
          <w:szCs w:val="30"/>
        </w:rPr>
      </w:pPr>
    </w:p>
    <w:p w14:paraId="6977B451">
      <w:pPr>
        <w:spacing w:before="120" w:beforeLines="50" w:after="120" w:afterLines="50" w:line="360" w:lineRule="auto"/>
        <w:rPr>
          <w:rFonts w:ascii="宋体" w:hAnsi="宋体" w:cs="Arial"/>
          <w:color w:val="000000"/>
          <w:sz w:val="30"/>
          <w:szCs w:val="30"/>
        </w:rPr>
      </w:pPr>
    </w:p>
    <w:p w14:paraId="5047BC64">
      <w:pPr>
        <w:spacing w:before="120" w:beforeLines="50" w:after="120" w:afterLines="50" w:line="360" w:lineRule="auto"/>
        <w:rPr>
          <w:rFonts w:ascii="宋体" w:hAnsi="宋体" w:cs="Arial"/>
          <w:color w:val="000000"/>
          <w:sz w:val="30"/>
          <w:szCs w:val="30"/>
        </w:rPr>
      </w:pPr>
    </w:p>
    <w:p w14:paraId="7D719D70">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19"/>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14:paraId="4E2B697F">
        <w:tblPrEx>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14:paraId="0EFD40BA">
            <w:pPr>
              <w:widowControl/>
              <w:ind w:firstLine="3080" w:firstLineChars="700"/>
              <w:rPr>
                <w:rFonts w:ascii="黑体" w:hAnsi="黑体" w:eastAsia="黑体" w:cs="宋体"/>
                <w:kern w:val="0"/>
                <w:sz w:val="44"/>
                <w:szCs w:val="44"/>
              </w:rPr>
            </w:pPr>
            <w:bookmarkStart w:id="19" w:name="_Hlk33473319"/>
            <w:r>
              <w:rPr>
                <w:rFonts w:hint="eastAsia" w:ascii="黑体" w:hAnsi="黑体" w:eastAsia="黑体" w:cs="宋体"/>
                <w:kern w:val="0"/>
                <w:sz w:val="44"/>
                <w:szCs w:val="44"/>
              </w:rPr>
              <w:t>供应商调查表</w:t>
            </w:r>
          </w:p>
        </w:tc>
      </w:tr>
      <w:tr w14:paraId="1D54D5B4">
        <w:tblPrEx>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14:paraId="05EA882E">
            <w:pPr>
              <w:jc w:val="left"/>
              <w:rPr>
                <w:rFonts w:hint="default" w:ascii="宋体" w:hAnsi="宋体" w:eastAsia="宋体" w:cs="宋体"/>
                <w:kern w:val="0"/>
                <w:sz w:val="28"/>
                <w:szCs w:val="28"/>
                <w:lang w:val="en-US" w:eastAsia="zh-CN"/>
              </w:rPr>
            </w:pPr>
            <w:r>
              <w:rPr>
                <w:rFonts w:hint="eastAsia" w:ascii="宋体" w:hAnsi="宋体" w:cs="宋体"/>
                <w:kern w:val="0"/>
                <w:sz w:val="28"/>
                <w:szCs w:val="28"/>
              </w:rPr>
              <w:t>项目名称：</w:t>
            </w:r>
            <w:r>
              <w:rPr>
                <w:rFonts w:hint="eastAsia" w:ascii="宋体" w:hAnsi="宋体"/>
                <w:sz w:val="24"/>
                <w:szCs w:val="28"/>
              </w:rPr>
              <w:t>研发管沟B分支、E分支、中环21-23水电仓（共11个仓段）远程监控</w:t>
            </w:r>
            <w:r>
              <w:rPr>
                <w:rFonts w:hint="eastAsia" w:ascii="宋体" w:hAnsi="宋体"/>
                <w:sz w:val="24"/>
                <w:szCs w:val="28"/>
                <w:lang w:eastAsia="zh-CN"/>
              </w:rPr>
              <w:t>（</w:t>
            </w:r>
            <w:r>
              <w:rPr>
                <w:rFonts w:hint="eastAsia" w:ascii="宋体" w:hAnsi="宋体"/>
                <w:sz w:val="24"/>
                <w:szCs w:val="28"/>
                <w:lang w:val="en-US" w:eastAsia="zh-CN"/>
              </w:rPr>
              <w:t>第二次）</w:t>
            </w:r>
          </w:p>
        </w:tc>
      </w:tr>
      <w:tr w14:paraId="61598AF1">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E4BC6A1">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7B80691">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9984E8E">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3F12E264">
            <w:pPr>
              <w:widowControl/>
              <w:ind w:firstLine="200"/>
              <w:jc w:val="center"/>
              <w:rPr>
                <w:rFonts w:ascii="宋体" w:hAnsi="宋体" w:cs="宋体"/>
                <w:kern w:val="0"/>
                <w:sz w:val="24"/>
              </w:rPr>
            </w:pPr>
          </w:p>
        </w:tc>
      </w:tr>
      <w:tr w14:paraId="4B480147">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E0F1203">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1484609D">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A1723D4">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64E2B8C3">
            <w:pPr>
              <w:widowControl/>
              <w:ind w:firstLine="200"/>
              <w:jc w:val="center"/>
              <w:rPr>
                <w:rFonts w:ascii="宋体" w:hAnsi="宋体" w:cs="宋体"/>
                <w:kern w:val="0"/>
                <w:sz w:val="24"/>
              </w:rPr>
            </w:pPr>
          </w:p>
        </w:tc>
      </w:tr>
      <w:tr w14:paraId="28C5EA08">
        <w:tblPrEx>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5BAE8B">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CF656C9">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59536C8B">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B42E1B">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88E0C51">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5296E07D">
            <w:pPr>
              <w:widowControl/>
              <w:ind w:firstLine="200"/>
              <w:jc w:val="center"/>
              <w:rPr>
                <w:rFonts w:ascii="宋体" w:hAnsi="宋体" w:cs="宋体"/>
                <w:kern w:val="0"/>
                <w:sz w:val="24"/>
              </w:rPr>
            </w:pPr>
          </w:p>
        </w:tc>
      </w:tr>
      <w:tr w14:paraId="34CAF2BE">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AF8228A">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2496D3">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74556A04">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2F62A60">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AEA8F7D">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1ABF716">
            <w:pPr>
              <w:widowControl/>
              <w:ind w:firstLine="200"/>
              <w:jc w:val="center"/>
              <w:rPr>
                <w:rFonts w:ascii="宋体" w:hAnsi="宋体" w:cs="宋体"/>
                <w:kern w:val="0"/>
                <w:sz w:val="24"/>
              </w:rPr>
            </w:pPr>
          </w:p>
        </w:tc>
      </w:tr>
      <w:tr w14:paraId="727BDCF1">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210FA3C5">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63DA30A">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74D502E">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23CB948">
            <w:pPr>
              <w:widowControl/>
              <w:jc w:val="left"/>
              <w:rPr>
                <w:rFonts w:ascii="宋体" w:hAnsi="宋体" w:cs="宋体"/>
                <w:b/>
                <w:bCs/>
                <w:kern w:val="0"/>
                <w:sz w:val="24"/>
              </w:rPr>
            </w:pPr>
          </w:p>
        </w:tc>
      </w:tr>
      <w:tr w14:paraId="281915EC">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4265E112">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6C708A8">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F2367AE">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E13192B">
            <w:pPr>
              <w:widowControl/>
              <w:jc w:val="left"/>
              <w:rPr>
                <w:rFonts w:ascii="宋体" w:hAnsi="宋体" w:cs="宋体"/>
                <w:b/>
                <w:bCs/>
                <w:kern w:val="0"/>
                <w:sz w:val="24"/>
              </w:rPr>
            </w:pPr>
          </w:p>
        </w:tc>
      </w:tr>
      <w:tr w14:paraId="4E92B6A5">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48BC58A9">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14:paraId="08D6FD3F">
            <w:pPr>
              <w:widowControl/>
              <w:rPr>
                <w:rFonts w:ascii="宋体" w:hAnsi="宋体" w:cs="宋体"/>
                <w:b/>
                <w:bCs/>
                <w:kern w:val="0"/>
                <w:sz w:val="24"/>
              </w:rPr>
            </w:pPr>
          </w:p>
          <w:p w14:paraId="066A3216">
            <w:pPr>
              <w:widowControl/>
              <w:rPr>
                <w:rFonts w:ascii="宋体" w:hAnsi="宋体" w:cs="宋体"/>
                <w:b/>
                <w:bCs/>
                <w:kern w:val="0"/>
                <w:sz w:val="24"/>
              </w:rPr>
            </w:pPr>
          </w:p>
          <w:p w14:paraId="7FE2F31A">
            <w:pPr>
              <w:widowControl/>
              <w:rPr>
                <w:rFonts w:ascii="宋体" w:hAnsi="宋体" w:cs="宋体"/>
                <w:b/>
                <w:bCs/>
                <w:kern w:val="0"/>
                <w:sz w:val="24"/>
              </w:rPr>
            </w:pPr>
          </w:p>
          <w:p w14:paraId="655A7348">
            <w:pPr>
              <w:widowControl/>
              <w:rPr>
                <w:rFonts w:ascii="宋体" w:hAnsi="宋体" w:cs="宋体"/>
                <w:b/>
                <w:bCs/>
                <w:kern w:val="0"/>
                <w:sz w:val="24"/>
              </w:rPr>
            </w:pPr>
          </w:p>
        </w:tc>
      </w:tr>
      <w:tr w14:paraId="35AB0549">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3EF377F">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5B9657F5">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D9B2ECB">
            <w:pPr>
              <w:widowControl/>
              <w:jc w:val="center"/>
              <w:rPr>
                <w:rFonts w:ascii="宋体" w:hAnsi="宋体" w:cs="宋体"/>
                <w:kern w:val="0"/>
                <w:sz w:val="24"/>
              </w:rPr>
            </w:pPr>
            <w:r>
              <w:rPr>
                <w:rFonts w:hint="eastAsia" w:ascii="宋体" w:hAnsi="宋体" w:cs="宋体"/>
                <w:kern w:val="0"/>
                <w:sz w:val="24"/>
              </w:rPr>
              <w:t>发证机关</w:t>
            </w:r>
          </w:p>
        </w:tc>
      </w:tr>
      <w:tr w14:paraId="3BE00BC3">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78787C34">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330690BF">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400AA859">
            <w:pPr>
              <w:widowControl/>
              <w:jc w:val="center"/>
              <w:rPr>
                <w:rFonts w:ascii="宋体" w:hAnsi="宋体" w:cs="宋体"/>
                <w:b/>
                <w:bCs/>
                <w:kern w:val="0"/>
                <w:sz w:val="24"/>
              </w:rPr>
            </w:pPr>
          </w:p>
        </w:tc>
      </w:tr>
      <w:tr w14:paraId="6128B1EA">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1D1EC10D">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43929CB7">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649FE21E">
            <w:pPr>
              <w:widowControl/>
              <w:jc w:val="center"/>
              <w:rPr>
                <w:rFonts w:ascii="宋体" w:hAnsi="宋体" w:cs="宋体"/>
                <w:b/>
                <w:bCs/>
                <w:kern w:val="0"/>
                <w:sz w:val="24"/>
              </w:rPr>
            </w:pPr>
          </w:p>
        </w:tc>
      </w:tr>
      <w:tr w14:paraId="0653945E">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2A1BC80C">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11F01CCB">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F573212">
            <w:pPr>
              <w:widowControl/>
              <w:jc w:val="center"/>
              <w:rPr>
                <w:rFonts w:ascii="宋体" w:hAnsi="宋体" w:cs="宋体"/>
                <w:b/>
                <w:bCs/>
                <w:kern w:val="0"/>
                <w:sz w:val="24"/>
              </w:rPr>
            </w:pPr>
          </w:p>
        </w:tc>
      </w:tr>
      <w:tr w14:paraId="2FA2C2BB">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59294FE1">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29146775">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05A2554C">
            <w:pPr>
              <w:widowControl/>
              <w:jc w:val="center"/>
              <w:rPr>
                <w:rFonts w:ascii="宋体" w:hAnsi="宋体" w:cs="宋体"/>
                <w:b/>
                <w:bCs/>
                <w:kern w:val="0"/>
                <w:sz w:val="24"/>
              </w:rPr>
            </w:pPr>
          </w:p>
        </w:tc>
      </w:tr>
      <w:tr w14:paraId="28AB9B1F">
        <w:tblPrEx>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D417700">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94B6648">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D8BB654">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9F96B91">
            <w:pPr>
              <w:widowControl/>
              <w:jc w:val="center"/>
              <w:rPr>
                <w:rFonts w:ascii="宋体" w:hAnsi="宋体" w:cs="宋体"/>
                <w:b/>
                <w:bCs/>
                <w:kern w:val="0"/>
                <w:sz w:val="24"/>
              </w:rPr>
            </w:pPr>
          </w:p>
        </w:tc>
      </w:tr>
      <w:tr w14:paraId="5424F144">
        <w:tblPrEx>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14:paraId="49A3887F">
            <w:pPr>
              <w:widowControl/>
              <w:jc w:val="center"/>
              <w:rPr>
                <w:rFonts w:ascii="宋体" w:hAnsi="宋体" w:cs="宋体"/>
                <w:kern w:val="0"/>
                <w:sz w:val="24"/>
              </w:rPr>
            </w:pPr>
            <w:r>
              <w:rPr>
                <w:rFonts w:hint="eastAsia" w:ascii="宋体" w:hAnsi="宋体" w:cs="宋体"/>
                <w:kern w:val="0"/>
                <w:sz w:val="24"/>
              </w:rPr>
              <w:t>近三年类似业绩</w:t>
            </w:r>
          </w:p>
        </w:tc>
      </w:tr>
      <w:tr w14:paraId="7A601FB2">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E2D318B">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27D3B9E">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B08C631">
            <w:pPr>
              <w:widowControl/>
              <w:jc w:val="center"/>
              <w:rPr>
                <w:rFonts w:ascii="宋体" w:hAnsi="宋体" w:cs="宋体"/>
                <w:kern w:val="0"/>
                <w:sz w:val="24"/>
              </w:rPr>
            </w:pPr>
            <w:r>
              <w:rPr>
                <w:rFonts w:hint="eastAsia" w:ascii="宋体" w:hAnsi="宋体" w:cs="宋体"/>
                <w:kern w:val="0"/>
                <w:sz w:val="24"/>
              </w:rPr>
              <w:t>项目内容</w:t>
            </w:r>
          </w:p>
        </w:tc>
      </w:tr>
      <w:tr w14:paraId="312C308E">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70078D97">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A473EFF">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0E7FAB5">
            <w:pPr>
              <w:widowControl/>
              <w:jc w:val="center"/>
              <w:rPr>
                <w:rFonts w:ascii="宋体" w:hAnsi="宋体" w:cs="宋体"/>
                <w:b/>
                <w:bCs/>
                <w:kern w:val="0"/>
                <w:sz w:val="24"/>
              </w:rPr>
            </w:pPr>
          </w:p>
        </w:tc>
      </w:tr>
      <w:tr w14:paraId="0A4D643A">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038097F5">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7D1428B">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A87C136">
            <w:pPr>
              <w:widowControl/>
              <w:jc w:val="center"/>
              <w:rPr>
                <w:rFonts w:ascii="宋体" w:hAnsi="宋体" w:cs="宋体"/>
                <w:b/>
                <w:bCs/>
                <w:kern w:val="0"/>
                <w:sz w:val="24"/>
              </w:rPr>
            </w:pPr>
          </w:p>
        </w:tc>
      </w:tr>
      <w:tr w14:paraId="795657CF">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B4BABBC">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13D7ECC8">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14:paraId="68788AD4">
            <w:pPr>
              <w:widowControl/>
              <w:jc w:val="center"/>
              <w:rPr>
                <w:b/>
                <w:bCs/>
                <w:kern w:val="0"/>
                <w:sz w:val="24"/>
              </w:rPr>
            </w:pPr>
          </w:p>
        </w:tc>
      </w:tr>
      <w:tr w14:paraId="452A819A">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14:paraId="0DF07213">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14:paraId="7B818FCC">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14:paraId="36477EEF">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14:paraId="6874B735">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14:paraId="5A51EF11">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14:paraId="61D6DD20">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14:paraId="6B98C498">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14:paraId="5B897B2B">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14:paraId="0785B7A5">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14:paraId="18FAFBFE">
            <w:pPr>
              <w:widowControl/>
              <w:ind w:firstLine="200"/>
              <w:jc w:val="left"/>
              <w:rPr>
                <w:rFonts w:ascii="Calibri" w:hAnsi="Calibri" w:cs="宋体"/>
                <w:kern w:val="0"/>
                <w:szCs w:val="21"/>
              </w:rPr>
            </w:pPr>
          </w:p>
        </w:tc>
      </w:tr>
      <w:tr w14:paraId="7E2B90B8">
        <w:tblPrEx>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14:paraId="7D4FCCE6">
            <w:pPr>
              <w:spacing w:line="400" w:lineRule="exact"/>
              <w:rPr>
                <w:sz w:val="28"/>
                <w:szCs w:val="28"/>
              </w:rPr>
            </w:pPr>
          </w:p>
          <w:p w14:paraId="30956A6F">
            <w:pPr>
              <w:spacing w:line="400" w:lineRule="exact"/>
              <w:rPr>
                <w:sz w:val="28"/>
                <w:szCs w:val="28"/>
              </w:rPr>
            </w:pPr>
            <w:r>
              <w:rPr>
                <w:rFonts w:hint="eastAsia"/>
                <w:sz w:val="28"/>
                <w:szCs w:val="28"/>
              </w:rPr>
              <w:t>报名单位（盖章）：</w:t>
            </w:r>
          </w:p>
        </w:tc>
      </w:tr>
    </w:tbl>
    <w:p w14:paraId="26AA670E">
      <w:pPr>
        <w:spacing w:line="400" w:lineRule="exact"/>
        <w:ind w:left="560" w:hanging="560" w:hangingChars="200"/>
        <w:rPr>
          <w:sz w:val="28"/>
          <w:szCs w:val="28"/>
        </w:rPr>
      </w:pPr>
    </w:p>
    <w:p w14:paraId="4D4DD254">
      <w:pPr>
        <w:spacing w:line="400" w:lineRule="exact"/>
        <w:ind w:left="560" w:hanging="560" w:hangingChars="200"/>
        <w:rPr>
          <w:sz w:val="28"/>
          <w:szCs w:val="28"/>
        </w:rPr>
      </w:pPr>
      <w:r>
        <w:rPr>
          <w:rFonts w:hint="eastAsia"/>
          <w:sz w:val="28"/>
          <w:szCs w:val="28"/>
        </w:rPr>
        <w:t>日期：202</w:t>
      </w:r>
      <w:r>
        <w:rPr>
          <w:sz w:val="28"/>
          <w:szCs w:val="28"/>
        </w:rPr>
        <w:t>4</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9"/>
    <w:p w14:paraId="5A27C4B3">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14:paraId="5C7F6832">
      <w:pPr>
        <w:spacing w:line="500" w:lineRule="exact"/>
        <w:jc w:val="center"/>
        <w:rPr>
          <w:rFonts w:eastAsia="黑体"/>
          <w:b/>
          <w:bCs/>
          <w:sz w:val="36"/>
        </w:rPr>
      </w:pPr>
      <w:r>
        <w:rPr>
          <w:rFonts w:hint="eastAsia" w:eastAsia="黑体"/>
          <w:b/>
          <w:bCs/>
          <w:sz w:val="36"/>
        </w:rPr>
        <w:t>法定代表人身份证明书</w:t>
      </w:r>
    </w:p>
    <w:p w14:paraId="14654122">
      <w:pPr>
        <w:spacing w:line="500" w:lineRule="exact"/>
        <w:rPr>
          <w:b/>
          <w:bCs/>
          <w:szCs w:val="21"/>
        </w:rPr>
      </w:pPr>
    </w:p>
    <w:p w14:paraId="67E4D76E">
      <w:pPr>
        <w:spacing w:line="500" w:lineRule="exact"/>
        <w:ind w:firstLine="1120" w:firstLineChars="400"/>
        <w:rPr>
          <w:rFonts w:ascii="宋体" w:hAnsi="宋体" w:cs="宋体"/>
          <w:sz w:val="28"/>
        </w:rPr>
      </w:pPr>
      <w:bookmarkStart w:id="20"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14:paraId="2ECBAF1F">
      <w:pPr>
        <w:spacing w:line="500" w:lineRule="exact"/>
        <w:ind w:firstLine="627" w:firstLineChars="224"/>
        <w:rPr>
          <w:rFonts w:ascii="宋体" w:hAnsi="宋体" w:cs="宋体"/>
          <w:sz w:val="28"/>
        </w:rPr>
      </w:pPr>
    </w:p>
    <w:p w14:paraId="133373E6">
      <w:pPr>
        <w:spacing w:line="500" w:lineRule="exact"/>
        <w:jc w:val="left"/>
        <w:rPr>
          <w:rFonts w:ascii="宋体" w:hAnsi="宋体" w:cs="宋体"/>
          <w:sz w:val="28"/>
        </w:rPr>
      </w:pPr>
      <w:r>
        <w:rPr>
          <w:rFonts w:hint="eastAsia" w:ascii="宋体" w:hAnsi="宋体" w:cs="宋体"/>
          <w:sz w:val="28"/>
        </w:rPr>
        <w:t>（单位盖章）</w:t>
      </w:r>
    </w:p>
    <w:p w14:paraId="6F89B81F">
      <w:pPr>
        <w:spacing w:line="500" w:lineRule="exact"/>
        <w:ind w:firstLine="627" w:firstLineChars="224"/>
        <w:rPr>
          <w:rFonts w:hAnsi="宋体" w:cs="宋体"/>
          <w:sz w:val="28"/>
          <w:szCs w:val="28"/>
        </w:rPr>
      </w:pPr>
    </w:p>
    <w:p w14:paraId="5998B943">
      <w:pPr>
        <w:spacing w:line="500" w:lineRule="exact"/>
        <w:rPr>
          <w:rFonts w:ascii="宋体" w:hAnsi="宋体" w:cs="宋体"/>
          <w:sz w:val="28"/>
        </w:rPr>
      </w:pPr>
      <w:r>
        <w:rPr>
          <w:rFonts w:hint="eastAsia" w:hAnsi="宋体" w:cs="宋体"/>
          <w:sz w:val="28"/>
          <w:szCs w:val="28"/>
        </w:rPr>
        <w:t>日期：202</w:t>
      </w:r>
      <w:r>
        <w:rPr>
          <w:rFonts w:hAnsi="宋体" w:cs="宋体"/>
          <w:sz w:val="28"/>
          <w:szCs w:val="28"/>
        </w:rPr>
        <w:t>4</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14:paraId="1C0A4246">
      <w:pPr>
        <w:spacing w:line="500" w:lineRule="exact"/>
        <w:rPr>
          <w:rFonts w:ascii="宋体" w:hAnsi="宋体" w:cs="宋体"/>
          <w:sz w:val="28"/>
        </w:rPr>
      </w:pPr>
      <w:r>
        <w:rPr>
          <w:rFonts w:hint="eastAsia" w:ascii="宋体" w:hAnsi="宋体" w:cs="宋体"/>
          <w:sz w:val="28"/>
        </w:rPr>
        <w:t xml:space="preserve">单位通信地址：                                </w:t>
      </w:r>
    </w:p>
    <w:p w14:paraId="3BD27560">
      <w:pPr>
        <w:spacing w:line="500" w:lineRule="exact"/>
        <w:rPr>
          <w:rFonts w:ascii="宋体" w:hAnsi="宋体" w:cs="宋体"/>
          <w:sz w:val="28"/>
        </w:rPr>
      </w:pPr>
    </w:p>
    <w:p w14:paraId="3601C358">
      <w:pPr>
        <w:spacing w:line="500" w:lineRule="exact"/>
        <w:rPr>
          <w:rFonts w:ascii="宋体" w:hAnsi="宋体" w:cs="宋体"/>
          <w:sz w:val="28"/>
        </w:rPr>
      </w:pPr>
      <w:r>
        <w:rPr>
          <w:rFonts w:hint="eastAsia" w:ascii="宋体" w:hAnsi="宋体" w:cs="宋体"/>
          <w:sz w:val="28"/>
        </w:rPr>
        <w:t xml:space="preserve">邮政编码：                 单位联系电话：   </w:t>
      </w:r>
    </w:p>
    <w:p w14:paraId="2E29A820"/>
    <w:p w14:paraId="1AFAFFB0">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20"/>
    <w:p w14:paraId="270328DA">
      <w:pPr>
        <w:spacing w:line="360" w:lineRule="auto"/>
        <w:rPr>
          <w:rFonts w:ascii="宋体" w:hAnsi="宋体" w:cs="Arial"/>
          <w:color w:val="000000"/>
          <w:sz w:val="28"/>
          <w:szCs w:val="28"/>
        </w:rPr>
      </w:pPr>
    </w:p>
    <w:p w14:paraId="671EBBF8">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14:paraId="6AFFDB9F">
      <w:pPr>
        <w:spacing w:line="500" w:lineRule="exact"/>
        <w:ind w:firstLine="2168" w:firstLineChars="600"/>
        <w:rPr>
          <w:rFonts w:eastAsia="黑体"/>
          <w:b/>
          <w:bCs/>
          <w:sz w:val="36"/>
        </w:rPr>
      </w:pPr>
      <w:r>
        <w:rPr>
          <w:rFonts w:hint="eastAsia" w:eastAsia="黑体"/>
          <w:b/>
          <w:bCs/>
          <w:sz w:val="36"/>
        </w:rPr>
        <w:t>法定代表人授权委托证明书</w:t>
      </w:r>
    </w:p>
    <w:p w14:paraId="0CC534D3">
      <w:pPr>
        <w:pStyle w:val="28"/>
        <w:spacing w:line="360" w:lineRule="auto"/>
        <w:ind w:firstLine="424" w:firstLineChars="177"/>
        <w:rPr>
          <w:rFonts w:hAnsi="宋体"/>
          <w:bCs/>
          <w:sz w:val="24"/>
          <w:szCs w:val="24"/>
        </w:rPr>
      </w:pPr>
    </w:p>
    <w:p w14:paraId="753894B2">
      <w:pPr>
        <w:pStyle w:val="28"/>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1A9DA751">
      <w:pPr>
        <w:pStyle w:val="2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14:paraId="4631A88C">
      <w:pPr>
        <w:pStyle w:val="28"/>
        <w:spacing w:line="360" w:lineRule="auto"/>
        <w:ind w:firstLine="480" w:firstLineChars="200"/>
        <w:rPr>
          <w:rFonts w:hAnsi="宋体"/>
          <w:sz w:val="24"/>
          <w:szCs w:val="24"/>
          <w:u w:val="single"/>
        </w:rPr>
      </w:pPr>
      <w:r>
        <w:rPr>
          <w:rFonts w:hint="eastAsia" w:hAnsi="宋体"/>
          <w:sz w:val="24"/>
          <w:szCs w:val="24"/>
        </w:rPr>
        <w:t>附：代理人性别：   年龄：   职务：</w:t>
      </w:r>
    </w:p>
    <w:p w14:paraId="68DC5FA3">
      <w:pPr>
        <w:pStyle w:val="28"/>
        <w:spacing w:line="360" w:lineRule="auto"/>
        <w:ind w:firstLine="480" w:firstLineChars="200"/>
        <w:rPr>
          <w:rFonts w:hAnsi="宋体"/>
          <w:sz w:val="24"/>
          <w:szCs w:val="24"/>
          <w:u w:val="single"/>
        </w:rPr>
      </w:pPr>
      <w:r>
        <w:rPr>
          <w:rFonts w:hint="eastAsia" w:hAnsi="宋体"/>
          <w:sz w:val="24"/>
          <w:szCs w:val="24"/>
        </w:rPr>
        <w:t>　　身份证号码：</w:t>
      </w:r>
    </w:p>
    <w:p w14:paraId="6C54CD2B">
      <w:pPr>
        <w:pStyle w:val="28"/>
        <w:spacing w:line="360" w:lineRule="auto"/>
        <w:ind w:firstLine="480" w:firstLineChars="200"/>
        <w:rPr>
          <w:rFonts w:hAnsi="宋体"/>
          <w:sz w:val="24"/>
          <w:szCs w:val="24"/>
          <w:u w:val="single"/>
        </w:rPr>
      </w:pPr>
      <w:r>
        <w:rPr>
          <w:rFonts w:hint="eastAsia" w:hAnsi="宋体"/>
          <w:sz w:val="24"/>
          <w:szCs w:val="24"/>
        </w:rPr>
        <w:t>　　（营业执照等）注册号码：</w:t>
      </w:r>
    </w:p>
    <w:p w14:paraId="06F38F00">
      <w:pPr>
        <w:pStyle w:val="28"/>
        <w:spacing w:line="360" w:lineRule="auto"/>
        <w:ind w:firstLine="480" w:firstLineChars="200"/>
        <w:rPr>
          <w:rFonts w:hAnsi="宋体"/>
          <w:sz w:val="24"/>
          <w:szCs w:val="24"/>
          <w:u w:val="single"/>
        </w:rPr>
      </w:pPr>
      <w:r>
        <w:rPr>
          <w:rFonts w:hint="eastAsia" w:hAnsi="宋体"/>
          <w:sz w:val="24"/>
          <w:szCs w:val="24"/>
        </w:rPr>
        <w:t>　　企业类型：</w:t>
      </w:r>
    </w:p>
    <w:p w14:paraId="3C6D1D67">
      <w:pPr>
        <w:pStyle w:val="28"/>
        <w:spacing w:line="360" w:lineRule="auto"/>
        <w:ind w:firstLine="480" w:firstLineChars="200"/>
        <w:rPr>
          <w:rFonts w:hAnsi="宋体"/>
          <w:sz w:val="24"/>
          <w:szCs w:val="24"/>
          <w:u w:val="single"/>
        </w:rPr>
      </w:pPr>
      <w:r>
        <w:rPr>
          <w:rFonts w:hint="eastAsia" w:hAnsi="宋体"/>
          <w:sz w:val="24"/>
          <w:szCs w:val="24"/>
        </w:rPr>
        <w:t>　　经营范围：</w:t>
      </w:r>
    </w:p>
    <w:p w14:paraId="492FEC7A">
      <w:pPr>
        <w:pStyle w:val="28"/>
        <w:spacing w:line="360" w:lineRule="auto"/>
        <w:rPr>
          <w:rFonts w:hAnsi="宋体"/>
          <w:sz w:val="24"/>
          <w:szCs w:val="24"/>
        </w:rPr>
      </w:pPr>
      <w:r>
        <w:rPr>
          <w:rFonts w:hint="eastAsia" w:hAnsi="宋体"/>
          <w:sz w:val="24"/>
          <w:szCs w:val="24"/>
        </w:rPr>
        <w:t>附：被授权人有效身份证正反面或其他身份证明材料复印　　　　　　　</w:t>
      </w:r>
    </w:p>
    <w:p w14:paraId="015606C1">
      <w:pPr>
        <w:pStyle w:val="27"/>
        <w:spacing w:line="360" w:lineRule="auto"/>
        <w:jc w:val="both"/>
        <w:rPr>
          <w:rFonts w:hAnsi="宋体"/>
          <w:sz w:val="24"/>
          <w:szCs w:val="24"/>
        </w:rPr>
      </w:pPr>
    </w:p>
    <w:p w14:paraId="1B3A7FB6">
      <w:pPr>
        <w:pStyle w:val="27"/>
        <w:spacing w:line="360" w:lineRule="auto"/>
        <w:jc w:val="both"/>
        <w:rPr>
          <w:rFonts w:hAnsi="宋体" w:eastAsia="宋体" w:cs="宋体"/>
          <w:sz w:val="28"/>
        </w:rPr>
      </w:pPr>
    </w:p>
    <w:p w14:paraId="1C0DB3BA">
      <w:pPr>
        <w:pStyle w:val="27"/>
        <w:spacing w:line="360" w:lineRule="auto"/>
        <w:jc w:val="both"/>
        <w:rPr>
          <w:rFonts w:hAnsi="宋体" w:eastAsia="宋体" w:cs="宋体"/>
          <w:sz w:val="28"/>
        </w:rPr>
      </w:pPr>
    </w:p>
    <w:p w14:paraId="485199F9">
      <w:pPr>
        <w:pStyle w:val="27"/>
        <w:spacing w:line="360" w:lineRule="auto"/>
        <w:jc w:val="both"/>
        <w:rPr>
          <w:rFonts w:hAnsi="宋体" w:eastAsia="宋体" w:cs="宋体"/>
          <w:sz w:val="28"/>
        </w:rPr>
      </w:pPr>
    </w:p>
    <w:p w14:paraId="17FA6CEB">
      <w:pPr>
        <w:pStyle w:val="27"/>
        <w:spacing w:line="360" w:lineRule="auto"/>
        <w:jc w:val="both"/>
        <w:rPr>
          <w:rFonts w:hAnsi="宋体" w:eastAsia="宋体" w:cs="宋体"/>
          <w:sz w:val="28"/>
        </w:rPr>
      </w:pPr>
    </w:p>
    <w:p w14:paraId="54F252C6">
      <w:pPr>
        <w:pStyle w:val="27"/>
        <w:spacing w:line="360" w:lineRule="auto"/>
        <w:jc w:val="both"/>
        <w:rPr>
          <w:rFonts w:hAnsi="宋体" w:eastAsia="宋体" w:cs="宋体"/>
          <w:sz w:val="28"/>
        </w:rPr>
      </w:pPr>
    </w:p>
    <w:p w14:paraId="166BC49C">
      <w:pPr>
        <w:pStyle w:val="27"/>
        <w:spacing w:line="360" w:lineRule="auto"/>
        <w:jc w:val="both"/>
        <w:rPr>
          <w:rFonts w:hAnsi="宋体" w:eastAsia="宋体" w:cs="宋体"/>
          <w:sz w:val="24"/>
          <w:szCs w:val="24"/>
        </w:rPr>
      </w:pPr>
      <w:r>
        <w:rPr>
          <w:rFonts w:hint="eastAsia" w:hAnsi="宋体" w:eastAsia="宋体" w:cs="宋体"/>
          <w:sz w:val="24"/>
          <w:szCs w:val="24"/>
        </w:rPr>
        <w:t>（单位盖章）：</w:t>
      </w:r>
    </w:p>
    <w:p w14:paraId="79BEB82B">
      <w:pPr>
        <w:pStyle w:val="27"/>
        <w:spacing w:line="360" w:lineRule="auto"/>
        <w:jc w:val="both"/>
        <w:rPr>
          <w:rFonts w:hAnsi="宋体" w:eastAsia="宋体" w:cs="宋体"/>
          <w:sz w:val="24"/>
          <w:szCs w:val="24"/>
        </w:rPr>
      </w:pPr>
    </w:p>
    <w:p w14:paraId="3D6CFC69">
      <w:pPr>
        <w:pStyle w:val="27"/>
        <w:spacing w:line="360" w:lineRule="auto"/>
        <w:jc w:val="both"/>
        <w:rPr>
          <w:rFonts w:hAnsi="宋体" w:eastAsia="宋体" w:cs="宋体"/>
          <w:sz w:val="24"/>
          <w:szCs w:val="24"/>
        </w:rPr>
      </w:pPr>
      <w:bookmarkStart w:id="21" w:name="_Hlk33473384"/>
      <w:r>
        <w:rPr>
          <w:rFonts w:hint="eastAsia" w:hAnsi="宋体" w:eastAsia="宋体" w:cs="宋体"/>
          <w:sz w:val="24"/>
          <w:szCs w:val="24"/>
        </w:rPr>
        <w:t>法定代表人（签字或盖章）：</w:t>
      </w:r>
    </w:p>
    <w:p w14:paraId="0DDFED4C">
      <w:pPr>
        <w:pStyle w:val="27"/>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51F1BFE4">
      <w:pPr>
        <w:pStyle w:val="2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15B9D017">
      <w:pPr>
        <w:rPr>
          <w:sz w:val="24"/>
        </w:rPr>
      </w:pPr>
      <w:r>
        <w:rPr>
          <w:rFonts w:hint="eastAsia" w:hAnsi="宋体" w:cs="宋体"/>
          <w:sz w:val="24"/>
          <w:lang w:val="zh-CN"/>
        </w:rPr>
        <w:t>说明：法定代表人亲自办理投标事宜的，无需提交本证明书。</w:t>
      </w:r>
    </w:p>
    <w:bookmarkEnd w:id="21"/>
    <w:p w14:paraId="3A141D48">
      <w:pPr>
        <w:spacing w:line="360" w:lineRule="auto"/>
        <w:rPr>
          <w:sz w:val="28"/>
          <w:szCs w:val="28"/>
        </w:rPr>
      </w:pPr>
    </w:p>
    <w:p w14:paraId="73BE56BF">
      <w:pPr>
        <w:rPr>
          <w:rFonts w:ascii="仿宋" w:hAnsi="仿宋" w:eastAsia="仿宋" w:cs="仿宋"/>
          <w:szCs w:val="21"/>
        </w:rPr>
      </w:pPr>
      <w:r>
        <w:rPr>
          <w:rFonts w:ascii="仿宋" w:hAnsi="仿宋" w:eastAsia="仿宋" w:cs="仿宋"/>
          <w:szCs w:val="21"/>
        </w:rPr>
        <w:br w:type="page"/>
      </w:r>
    </w:p>
    <w:p w14:paraId="53358D09">
      <w:pPr>
        <w:rPr>
          <w:rFonts w:ascii="仿宋" w:hAnsi="仿宋" w:eastAsia="仿宋" w:cs="仿宋"/>
          <w:szCs w:val="21"/>
        </w:rPr>
      </w:pPr>
      <w:r>
        <w:rPr>
          <w:rFonts w:hint="eastAsia" w:ascii="宋体" w:hAnsi="宋体" w:cs="Arial"/>
          <w:color w:val="000000"/>
          <w:sz w:val="30"/>
          <w:szCs w:val="30"/>
        </w:rPr>
        <w:t>附件5</w:t>
      </w:r>
    </w:p>
    <w:p w14:paraId="7E02C1C5">
      <w:pPr>
        <w:pStyle w:val="5"/>
        <w:ind w:firstLine="643"/>
        <w:jc w:val="center"/>
        <w:rPr>
          <w:rFonts w:ascii="宋体" w:hAnsi="宋体" w:cs="仿宋"/>
          <w:b/>
          <w:sz w:val="32"/>
          <w:szCs w:val="28"/>
        </w:rPr>
      </w:pPr>
      <w:r>
        <w:rPr>
          <w:rFonts w:hint="eastAsia" w:ascii="宋体" w:hAnsi="宋体" w:cs="仿宋"/>
          <w:b/>
          <w:sz w:val="32"/>
          <w:szCs w:val="28"/>
        </w:rPr>
        <w:t>报价人声明函</w:t>
      </w:r>
    </w:p>
    <w:p w14:paraId="20BED4B7">
      <w:pPr>
        <w:rPr>
          <w:rFonts w:ascii="宋体" w:hAnsi="宋体" w:cs="仿宋"/>
          <w:b/>
          <w:sz w:val="22"/>
          <w:szCs w:val="21"/>
        </w:rPr>
      </w:pPr>
    </w:p>
    <w:p w14:paraId="056C2F2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4DFCBF07">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0BEE6E3F">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1362C91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0737E05">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544E0B7B">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260F0527">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0C6EC2E2">
      <w:pPr>
        <w:spacing w:line="360" w:lineRule="auto"/>
        <w:ind w:firstLine="420"/>
        <w:rPr>
          <w:rFonts w:ascii="宋体" w:hAnsi="宋体" w:cs="仿宋"/>
          <w:sz w:val="24"/>
        </w:rPr>
      </w:pPr>
    </w:p>
    <w:p w14:paraId="0CF64615">
      <w:pPr>
        <w:spacing w:line="360" w:lineRule="auto"/>
        <w:ind w:firstLine="420"/>
        <w:rPr>
          <w:rFonts w:ascii="宋体" w:hAnsi="宋体" w:cs="仿宋"/>
          <w:sz w:val="24"/>
        </w:rPr>
      </w:pPr>
    </w:p>
    <w:p w14:paraId="5779E643">
      <w:pPr>
        <w:spacing w:line="360" w:lineRule="auto"/>
        <w:ind w:firstLine="420"/>
        <w:rPr>
          <w:rFonts w:ascii="宋体" w:hAnsi="宋体" w:cs="仿宋"/>
          <w:sz w:val="24"/>
        </w:rPr>
      </w:pPr>
    </w:p>
    <w:p w14:paraId="62B8EA7D">
      <w:pPr>
        <w:spacing w:line="360" w:lineRule="auto"/>
        <w:ind w:firstLine="420"/>
        <w:rPr>
          <w:rFonts w:ascii="宋体" w:hAnsi="宋体" w:cs="仿宋"/>
          <w:sz w:val="24"/>
        </w:rPr>
      </w:pPr>
    </w:p>
    <w:p w14:paraId="58E3EFDC">
      <w:pPr>
        <w:spacing w:line="360" w:lineRule="auto"/>
        <w:rPr>
          <w:rFonts w:ascii="宋体" w:hAnsi="宋体" w:cs="仿宋"/>
          <w:color w:val="000000"/>
          <w:sz w:val="24"/>
        </w:rPr>
      </w:pPr>
      <w:r>
        <w:rPr>
          <w:rFonts w:hint="eastAsia" w:ascii="宋体" w:hAnsi="宋体" w:cs="仿宋"/>
          <w:color w:val="000000"/>
          <w:sz w:val="24"/>
        </w:rPr>
        <w:t>投标人名称（盖公章）：</w:t>
      </w:r>
    </w:p>
    <w:p w14:paraId="2820B915">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42F437FD">
      <w:pPr>
        <w:rPr>
          <w:rFonts w:ascii="宋体" w:hAnsi="宋体" w:cs="仿宋"/>
          <w:color w:val="000000"/>
          <w:sz w:val="24"/>
        </w:rPr>
      </w:pPr>
      <w:r>
        <w:rPr>
          <w:rFonts w:hint="eastAsia" w:ascii="宋体" w:hAnsi="宋体" w:cs="仿宋"/>
          <w:color w:val="000000"/>
          <w:sz w:val="24"/>
        </w:rPr>
        <w:t>日期：</w:t>
      </w:r>
    </w:p>
    <w:p w14:paraId="4E437CB3">
      <w:pPr>
        <w:rPr>
          <w:rFonts w:ascii="宋体" w:hAnsi="宋体" w:cs="仿宋"/>
          <w:color w:val="000000"/>
          <w:sz w:val="24"/>
        </w:rPr>
      </w:pPr>
    </w:p>
    <w:p w14:paraId="2A803B6A">
      <w:pPr>
        <w:rPr>
          <w:rFonts w:ascii="宋体" w:hAnsi="宋体" w:cs="仿宋"/>
          <w:color w:val="000000"/>
          <w:sz w:val="22"/>
        </w:rPr>
      </w:pPr>
    </w:p>
    <w:p w14:paraId="71FC744D">
      <w:pPr>
        <w:ind w:firstLine="2891" w:firstLineChars="800"/>
        <w:rPr>
          <w:rFonts w:ascii="宋体" w:hAnsi="宋体" w:cs="宋体"/>
          <w:b/>
          <w:bCs/>
          <w:sz w:val="36"/>
          <w:szCs w:val="36"/>
        </w:rPr>
      </w:pPr>
    </w:p>
    <w:p w14:paraId="282EB763">
      <w:pPr>
        <w:ind w:firstLine="2891" w:firstLineChars="800"/>
        <w:rPr>
          <w:rFonts w:ascii="宋体" w:hAnsi="宋体" w:cs="宋体"/>
          <w:b/>
          <w:bCs/>
          <w:sz w:val="36"/>
          <w:szCs w:val="36"/>
        </w:rPr>
      </w:pPr>
    </w:p>
    <w:p w14:paraId="7E4AA307">
      <w:pPr>
        <w:ind w:firstLine="2891" w:firstLineChars="800"/>
        <w:rPr>
          <w:rFonts w:ascii="宋体" w:hAnsi="宋体" w:cs="宋体"/>
          <w:b/>
          <w:bCs/>
          <w:sz w:val="36"/>
          <w:szCs w:val="36"/>
        </w:rPr>
      </w:pPr>
    </w:p>
    <w:p w14:paraId="1B96B9C7">
      <w:pPr>
        <w:rPr>
          <w:rFonts w:ascii="宋体" w:hAnsi="宋体" w:cs="Arial"/>
          <w:color w:val="000000"/>
          <w:sz w:val="30"/>
          <w:szCs w:val="30"/>
        </w:rPr>
      </w:pPr>
    </w:p>
    <w:p w14:paraId="1B172747">
      <w:pPr>
        <w:rPr>
          <w:rFonts w:ascii="宋体" w:hAnsi="宋体" w:cs="Arial"/>
          <w:color w:val="000000"/>
          <w:sz w:val="30"/>
          <w:szCs w:val="30"/>
        </w:rPr>
      </w:pPr>
    </w:p>
    <w:p w14:paraId="2253ABA7">
      <w:pPr>
        <w:rPr>
          <w:rFonts w:ascii="宋体" w:hAnsi="宋体" w:cs="Arial"/>
          <w:color w:val="000000"/>
          <w:sz w:val="30"/>
          <w:szCs w:val="30"/>
        </w:rPr>
      </w:pPr>
    </w:p>
    <w:p w14:paraId="0FAD4D39">
      <w:pPr>
        <w:rPr>
          <w:rFonts w:ascii="宋体" w:hAnsi="宋体" w:cs="Arial"/>
          <w:color w:val="000000"/>
          <w:sz w:val="30"/>
          <w:szCs w:val="30"/>
        </w:rPr>
      </w:pPr>
    </w:p>
    <w:p w14:paraId="6B1E9D67">
      <w:pPr>
        <w:rPr>
          <w:rFonts w:ascii="宋体" w:hAnsi="宋体" w:cs="Arial"/>
          <w:color w:val="000000"/>
          <w:sz w:val="30"/>
          <w:szCs w:val="30"/>
        </w:rPr>
      </w:pPr>
    </w:p>
    <w:p w14:paraId="0E55BEE7">
      <w:pPr>
        <w:rPr>
          <w:rFonts w:ascii="宋体" w:hAnsi="宋体" w:cs="Arial"/>
          <w:color w:val="000000"/>
          <w:sz w:val="30"/>
          <w:szCs w:val="30"/>
        </w:rPr>
      </w:pPr>
    </w:p>
    <w:p w14:paraId="39F3853E">
      <w:pPr>
        <w:rPr>
          <w:rFonts w:ascii="宋体" w:hAnsi="宋体" w:cs="Arial"/>
          <w:color w:val="000000"/>
          <w:sz w:val="30"/>
          <w:szCs w:val="30"/>
        </w:rPr>
      </w:pPr>
    </w:p>
    <w:p w14:paraId="3AA759D8">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6</w:t>
      </w:r>
    </w:p>
    <w:p w14:paraId="06418ABD">
      <w:pPr>
        <w:ind w:firstLine="2891" w:firstLineChars="800"/>
        <w:rPr>
          <w:rFonts w:ascii="宋体" w:hAnsi="宋体" w:cs="宋体"/>
          <w:b/>
          <w:bCs/>
          <w:sz w:val="36"/>
          <w:szCs w:val="36"/>
        </w:rPr>
      </w:pPr>
      <w:r>
        <w:rPr>
          <w:rFonts w:hint="eastAsia" w:ascii="宋体" w:hAnsi="宋体" w:cs="宋体"/>
          <w:b/>
          <w:bCs/>
          <w:sz w:val="36"/>
          <w:szCs w:val="36"/>
        </w:rPr>
        <w:t>投标人资格和文件有效性审查表</w:t>
      </w:r>
    </w:p>
    <w:p w14:paraId="2744D90D">
      <w:pPr>
        <w:ind w:firstLine="2891" w:firstLineChars="800"/>
        <w:rPr>
          <w:rFonts w:ascii="宋体" w:hAnsi="宋体" w:cs="宋体"/>
          <w:b/>
          <w:bCs/>
          <w:sz w:val="36"/>
          <w:szCs w:val="36"/>
        </w:rPr>
      </w:pPr>
    </w:p>
    <w:p w14:paraId="37B8A35C">
      <w:pPr>
        <w:spacing w:line="360" w:lineRule="auto"/>
        <w:rPr>
          <w:rFonts w:hint="default" w:ascii="宋体" w:hAnsi="宋体" w:eastAsia="宋体"/>
          <w:bCs/>
          <w:szCs w:val="21"/>
          <w:lang w:val="en-US" w:eastAsia="zh-CN"/>
        </w:rPr>
      </w:pPr>
      <w:r>
        <w:rPr>
          <w:rFonts w:hint="eastAsia" w:ascii="宋体" w:hAnsi="宋体"/>
          <w:bCs/>
          <w:szCs w:val="21"/>
        </w:rPr>
        <w:t>项目名称：研发管沟B分支、E分支、中环21-23水电仓（共11个仓段）远程监控</w:t>
      </w:r>
      <w:r>
        <w:rPr>
          <w:rFonts w:hint="eastAsia" w:ascii="宋体" w:hAnsi="宋体"/>
          <w:bCs/>
          <w:szCs w:val="21"/>
          <w:lang w:eastAsia="zh-CN"/>
        </w:rPr>
        <w:t>（</w:t>
      </w:r>
      <w:r>
        <w:rPr>
          <w:rFonts w:hint="eastAsia" w:ascii="宋体" w:hAnsi="宋体"/>
          <w:bCs/>
          <w:szCs w:val="21"/>
          <w:lang w:val="en-US" w:eastAsia="zh-CN"/>
        </w:rPr>
        <w:t>第二次）</w:t>
      </w:r>
    </w:p>
    <w:tbl>
      <w:tblPr>
        <w:tblStyle w:val="19"/>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1"/>
        <w:gridCol w:w="7272"/>
        <w:gridCol w:w="1134"/>
      </w:tblGrid>
      <w:tr w14:paraId="2E3F6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12" w:space="0"/>
              <w:left w:val="single" w:color="auto" w:sz="12" w:space="0"/>
              <w:bottom w:val="single" w:color="auto" w:sz="6" w:space="0"/>
              <w:right w:val="single" w:color="auto" w:sz="6" w:space="0"/>
            </w:tcBorders>
            <w:shd w:val="clear" w:color="auto" w:fill="auto"/>
            <w:vAlign w:val="center"/>
          </w:tcPr>
          <w:p w14:paraId="3234CB91">
            <w:pPr>
              <w:rPr>
                <w:rFonts w:ascii="宋体" w:hAnsi="宋体" w:cs="宋体"/>
                <w:bCs/>
                <w:szCs w:val="21"/>
              </w:rPr>
            </w:pPr>
            <w:r>
              <w:rPr>
                <w:rFonts w:hint="eastAsia" w:ascii="宋体" w:hAnsi="宋体" w:cs="宋体"/>
                <w:bCs/>
                <w:szCs w:val="21"/>
              </w:rPr>
              <w:t>序号</w:t>
            </w:r>
          </w:p>
        </w:tc>
        <w:tc>
          <w:tcPr>
            <w:tcW w:w="7272" w:type="dxa"/>
            <w:tcBorders>
              <w:top w:val="single" w:color="auto" w:sz="12" w:space="0"/>
              <w:left w:val="single" w:color="auto" w:sz="6" w:space="0"/>
              <w:bottom w:val="single" w:color="auto" w:sz="6" w:space="0"/>
              <w:right w:val="single" w:color="auto" w:sz="6" w:space="0"/>
            </w:tcBorders>
            <w:shd w:val="clear" w:color="auto" w:fill="auto"/>
            <w:vAlign w:val="center"/>
          </w:tcPr>
          <w:p w14:paraId="0AFED308">
            <w:pPr>
              <w:ind w:firstLine="422"/>
              <w:jc w:val="center"/>
              <w:rPr>
                <w:rFonts w:ascii="宋体" w:hAnsi="宋体" w:cs="宋体"/>
                <w:bCs/>
                <w:szCs w:val="21"/>
              </w:rPr>
            </w:pPr>
            <w:r>
              <w:rPr>
                <w:rFonts w:hint="eastAsia" w:ascii="宋体" w:hAnsi="宋体" w:cs="宋体"/>
                <w:bCs/>
                <w:szCs w:val="21"/>
              </w:rPr>
              <w:t>评审内容</w:t>
            </w:r>
          </w:p>
        </w:tc>
        <w:tc>
          <w:tcPr>
            <w:tcW w:w="1134" w:type="dxa"/>
            <w:tcBorders>
              <w:top w:val="single" w:color="auto" w:sz="12" w:space="0"/>
              <w:left w:val="single" w:color="auto" w:sz="6" w:space="0"/>
              <w:bottom w:val="single" w:color="auto" w:sz="6" w:space="0"/>
              <w:right w:val="single" w:color="auto" w:sz="12" w:space="0"/>
            </w:tcBorders>
            <w:shd w:val="clear" w:color="auto" w:fill="auto"/>
            <w:vAlign w:val="center"/>
          </w:tcPr>
          <w:p w14:paraId="0B2571D9">
            <w:pPr>
              <w:rPr>
                <w:rFonts w:ascii="宋体" w:hAnsi="宋体" w:cs="宋体"/>
                <w:bCs/>
                <w:szCs w:val="21"/>
              </w:rPr>
            </w:pPr>
            <w:r>
              <w:rPr>
                <w:rFonts w:hint="eastAsia" w:ascii="宋体" w:hAnsi="宋体" w:cs="宋体"/>
                <w:bCs/>
                <w:szCs w:val="21"/>
              </w:rPr>
              <w:t>备注</w:t>
            </w:r>
          </w:p>
        </w:tc>
      </w:tr>
      <w:tr w14:paraId="092F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57625AB1">
            <w:pPr>
              <w:rPr>
                <w:rFonts w:ascii="宋体" w:hAnsi="宋体" w:cs="宋体"/>
                <w:bCs/>
                <w:szCs w:val="21"/>
              </w:rPr>
            </w:pPr>
            <w:r>
              <w:rPr>
                <w:rFonts w:hint="eastAsia" w:ascii="宋体" w:hAnsi="宋体" w:cs="宋体"/>
                <w:bCs/>
                <w:szCs w:val="21"/>
              </w:rPr>
              <w:t>1</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5F3525B5">
            <w:pPr>
              <w:jc w:val="left"/>
              <w:rPr>
                <w:rFonts w:ascii="宋体" w:hAnsi="宋体" w:cs="宋体"/>
                <w:bCs/>
                <w:szCs w:val="21"/>
              </w:rPr>
            </w:pPr>
            <w:r>
              <w:rPr>
                <w:rFonts w:hint="eastAsia" w:ascii="宋体" w:hAnsi="宋体" w:cs="宋体"/>
                <w:bCs/>
                <w:szCs w:val="21"/>
              </w:rPr>
              <w:t>必须是在中华人民共和国境内注册的法人或其他组织，具有独立法人资格，持有事业单位登记管理部门核发的事业单位法人证书或工商行政管理部门核发的企业法人营业执照，且在有效期内。</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7088513F">
            <w:pPr>
              <w:rPr>
                <w:rFonts w:ascii="宋体" w:hAnsi="宋体" w:cs="宋体"/>
                <w:bCs/>
                <w:szCs w:val="21"/>
              </w:rPr>
            </w:pPr>
            <w:r>
              <w:rPr>
                <w:rFonts w:hint="eastAsia" w:ascii="宋体" w:hAnsi="宋体" w:cs="宋体"/>
                <w:bCs/>
                <w:szCs w:val="21"/>
              </w:rPr>
              <w:t>　</w:t>
            </w:r>
          </w:p>
        </w:tc>
      </w:tr>
      <w:tr w14:paraId="5B1D3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4460D091">
            <w:pPr>
              <w:rPr>
                <w:rFonts w:ascii="宋体" w:hAnsi="宋体" w:cs="宋体"/>
                <w:bCs/>
                <w:szCs w:val="21"/>
              </w:rPr>
            </w:pPr>
            <w:r>
              <w:rPr>
                <w:rFonts w:hint="eastAsia" w:ascii="宋体" w:hAnsi="宋体" w:cs="宋体"/>
                <w:bCs/>
                <w:szCs w:val="21"/>
              </w:rPr>
              <w:t>2</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0785703D">
            <w:pPr>
              <w:jc w:val="left"/>
              <w:rPr>
                <w:rFonts w:ascii="宋体" w:hAnsi="宋体" w:cs="宋体"/>
                <w:bCs/>
                <w:szCs w:val="21"/>
              </w:rPr>
            </w:pPr>
            <w:r>
              <w:rPr>
                <w:rFonts w:hint="eastAsia" w:ascii="宋体" w:hAnsi="宋体" w:cs="Arial"/>
                <w:color w:val="000000"/>
                <w:szCs w:val="21"/>
              </w:rPr>
              <w:t>投标人未被列入国家企业信用信息公示系统（www.gsxt.gov.cn)中严重违法失信企业名单，且未被列入“信用中国”网站（www.creditchina.gov.cn）失信被执行人名单（附查询结果截图并打印页面加盖公章）。</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16327EA3">
            <w:pPr>
              <w:rPr>
                <w:rFonts w:ascii="宋体" w:hAnsi="宋体" w:cs="宋体"/>
                <w:bCs/>
                <w:szCs w:val="21"/>
              </w:rPr>
            </w:pPr>
            <w:r>
              <w:rPr>
                <w:rFonts w:hint="eastAsia" w:ascii="宋体" w:hAnsi="宋体" w:cs="宋体"/>
                <w:bCs/>
                <w:szCs w:val="21"/>
              </w:rPr>
              <w:t>　</w:t>
            </w:r>
          </w:p>
        </w:tc>
      </w:tr>
      <w:tr w14:paraId="08B04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A88D5DF">
            <w:pPr>
              <w:rPr>
                <w:rFonts w:ascii="宋体" w:hAnsi="宋体" w:cs="宋体"/>
                <w:bCs/>
                <w:szCs w:val="21"/>
              </w:rPr>
            </w:pPr>
            <w:r>
              <w:rPr>
                <w:rFonts w:hint="eastAsia" w:ascii="宋体" w:hAnsi="宋体" w:cs="宋体"/>
                <w:bCs/>
                <w:szCs w:val="21"/>
              </w:rPr>
              <w:t>3</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2BAA8586">
            <w:pPr>
              <w:jc w:val="left"/>
              <w:rPr>
                <w:rFonts w:ascii="宋体" w:hAnsi="宋体" w:cs="宋体"/>
                <w:bCs/>
                <w:szCs w:val="21"/>
              </w:rPr>
            </w:pPr>
            <w:r>
              <w:rPr>
                <w:rFonts w:hint="eastAsia" w:ascii="宋体" w:hAnsi="宋体" w:cs="Arial"/>
                <w:color w:val="000000"/>
                <w:szCs w:val="21"/>
              </w:rPr>
              <w:t>投标人没有处于被责令停业或破产状态，且资产未被重组、接管和冻结，声明在投标活动中</w:t>
            </w:r>
            <w:r>
              <w:rPr>
                <w:rFonts w:ascii="宋体" w:hAnsi="宋体" w:cs="Arial"/>
                <w:color w:val="000000"/>
                <w:szCs w:val="21"/>
              </w:rPr>
              <w:t>3年内没有重大违法活动和涉嫌违规行为（</w:t>
            </w:r>
            <w:r>
              <w:rPr>
                <w:rFonts w:hint="eastAsia" w:ascii="宋体" w:hAnsi="宋体" w:cs="Arial"/>
                <w:color w:val="000000"/>
                <w:szCs w:val="21"/>
              </w:rPr>
              <w:t>附投标声明函</w:t>
            </w:r>
            <w:r>
              <w:rPr>
                <w:rFonts w:ascii="宋体" w:hAnsi="宋体" w:cs="Arial"/>
                <w:color w:val="000000"/>
                <w:szCs w:val="21"/>
              </w:rPr>
              <w:t>）</w:t>
            </w:r>
            <w:r>
              <w:rPr>
                <w:rFonts w:hint="eastAsia" w:ascii="宋体" w:hAnsi="宋体" w:cs="Arial"/>
                <w:color w:val="000000"/>
                <w:szCs w:val="21"/>
              </w:rPr>
              <w:t>。</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4F24F9B2">
            <w:pPr>
              <w:rPr>
                <w:rFonts w:ascii="宋体" w:hAnsi="宋体" w:cs="宋体"/>
                <w:bCs/>
                <w:szCs w:val="21"/>
              </w:rPr>
            </w:pPr>
            <w:r>
              <w:rPr>
                <w:rFonts w:hint="eastAsia" w:ascii="宋体" w:hAnsi="宋体" w:cs="宋体"/>
                <w:bCs/>
                <w:szCs w:val="21"/>
              </w:rPr>
              <w:t>　</w:t>
            </w:r>
          </w:p>
        </w:tc>
      </w:tr>
      <w:tr w14:paraId="133FA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4A71177D">
            <w:pPr>
              <w:rPr>
                <w:rFonts w:ascii="宋体" w:hAnsi="宋体" w:cs="宋体"/>
                <w:bCs/>
                <w:szCs w:val="21"/>
              </w:rPr>
            </w:pPr>
            <w:r>
              <w:rPr>
                <w:rFonts w:hint="eastAsia" w:ascii="宋体" w:hAnsi="宋体" w:cs="宋体"/>
                <w:bCs/>
                <w:szCs w:val="21"/>
              </w:rPr>
              <w:t>4</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433EAAF0">
            <w:pPr>
              <w:jc w:val="left"/>
              <w:rPr>
                <w:rFonts w:ascii="宋体" w:hAnsi="宋体" w:cs="宋体"/>
                <w:bCs/>
                <w:szCs w:val="21"/>
              </w:rPr>
            </w:pPr>
            <w:r>
              <w:rPr>
                <w:rFonts w:hint="eastAsia" w:ascii="宋体" w:hAnsi="宋体"/>
                <w:szCs w:val="21"/>
              </w:rPr>
              <w:t>投标人具备电子与智能化工程专业承包二级资质或以上资质。</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0C20180F">
            <w:pPr>
              <w:rPr>
                <w:rFonts w:ascii="宋体" w:hAnsi="宋体" w:cs="宋体"/>
                <w:bCs/>
                <w:szCs w:val="21"/>
              </w:rPr>
            </w:pPr>
            <w:r>
              <w:rPr>
                <w:rFonts w:hint="eastAsia" w:ascii="宋体" w:hAnsi="宋体" w:cs="宋体"/>
                <w:bCs/>
                <w:szCs w:val="21"/>
              </w:rPr>
              <w:t>　</w:t>
            </w:r>
          </w:p>
        </w:tc>
      </w:tr>
      <w:tr w14:paraId="76608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47D68CBD">
            <w:pPr>
              <w:rPr>
                <w:rFonts w:ascii="宋体" w:hAnsi="宋体" w:cs="宋体"/>
                <w:bCs/>
                <w:szCs w:val="21"/>
              </w:rPr>
            </w:pPr>
            <w:r>
              <w:rPr>
                <w:rFonts w:hint="eastAsia" w:ascii="宋体" w:hAnsi="宋体" w:cs="宋体"/>
                <w:bCs/>
                <w:szCs w:val="21"/>
              </w:rPr>
              <w:t>5</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4E057850">
            <w:pPr>
              <w:jc w:val="left"/>
              <w:rPr>
                <w:rFonts w:ascii="宋体" w:hAnsi="宋体" w:cs="宋体"/>
                <w:bCs/>
                <w:szCs w:val="21"/>
              </w:rPr>
            </w:pPr>
            <w:r>
              <w:rPr>
                <w:rFonts w:hint="eastAsia" w:ascii="宋体" w:hAnsi="宋体"/>
                <w:szCs w:val="21"/>
              </w:rPr>
              <w:t>投标人近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年1月1日至今) 完成过类似的系统采集、数据监控、程序控制业绩（需提供合同和验收记录等相关证明材料复印件）。</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6A48716">
            <w:pPr>
              <w:rPr>
                <w:rFonts w:ascii="宋体" w:hAnsi="宋体" w:cs="宋体"/>
                <w:bCs/>
                <w:szCs w:val="21"/>
              </w:rPr>
            </w:pPr>
            <w:r>
              <w:rPr>
                <w:rFonts w:hint="eastAsia" w:ascii="宋体" w:hAnsi="宋体" w:cs="宋体"/>
                <w:bCs/>
                <w:szCs w:val="21"/>
              </w:rPr>
              <w:t>　</w:t>
            </w:r>
          </w:p>
        </w:tc>
      </w:tr>
      <w:tr w14:paraId="56B01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7EA02D53">
            <w:pPr>
              <w:rPr>
                <w:rFonts w:ascii="宋体" w:hAnsi="宋体" w:cs="宋体"/>
                <w:bCs/>
                <w:szCs w:val="21"/>
              </w:rPr>
            </w:pPr>
            <w:r>
              <w:rPr>
                <w:rFonts w:ascii="宋体" w:hAnsi="宋体" w:cs="宋体"/>
                <w:bCs/>
                <w:szCs w:val="21"/>
              </w:rPr>
              <w:t>6</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1FB0280D">
            <w:pPr>
              <w:jc w:val="left"/>
              <w:rPr>
                <w:rFonts w:ascii="宋体" w:hAnsi="宋体" w:cs="宋体"/>
                <w:bCs/>
                <w:szCs w:val="21"/>
              </w:rPr>
            </w:pPr>
            <w:r>
              <w:rPr>
                <w:rFonts w:hint="eastAsia" w:ascii="宋体" w:hAnsi="宋体" w:cs="宋体"/>
                <w:bCs/>
                <w:szCs w:val="21"/>
              </w:rPr>
              <w:t>投标文件按竞选文件的规定密封、盖章和签署；</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2CEF8183">
            <w:pPr>
              <w:rPr>
                <w:rFonts w:ascii="宋体" w:hAnsi="宋体" w:cs="宋体"/>
                <w:bCs/>
                <w:szCs w:val="21"/>
              </w:rPr>
            </w:pPr>
            <w:r>
              <w:rPr>
                <w:rFonts w:hint="eastAsia" w:ascii="宋体" w:hAnsi="宋体" w:cs="宋体"/>
                <w:bCs/>
                <w:szCs w:val="21"/>
              </w:rPr>
              <w:t>　</w:t>
            </w:r>
          </w:p>
        </w:tc>
      </w:tr>
      <w:tr w14:paraId="198BE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7A7E998B">
            <w:pPr>
              <w:rPr>
                <w:rFonts w:ascii="宋体" w:hAnsi="宋体" w:cs="宋体"/>
                <w:bCs/>
                <w:szCs w:val="21"/>
              </w:rPr>
            </w:pPr>
            <w:r>
              <w:rPr>
                <w:rFonts w:ascii="宋体" w:hAnsi="宋体" w:cs="宋体"/>
                <w:bCs/>
                <w:szCs w:val="21"/>
              </w:rPr>
              <w:t>7</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50E2F3A9">
            <w:pPr>
              <w:jc w:val="left"/>
              <w:rPr>
                <w:rFonts w:ascii="宋体" w:hAnsi="宋体" w:cs="宋体"/>
                <w:bCs/>
                <w:szCs w:val="21"/>
              </w:rPr>
            </w:pPr>
            <w:r>
              <w:rPr>
                <w:rFonts w:hint="eastAsia" w:ascii="宋体" w:hAnsi="宋体" w:cs="宋体"/>
                <w:bCs/>
                <w:szCs w:val="21"/>
              </w:rPr>
              <w:t>投标文件按竞选文件规定的格式填写，内容无不全或关键字迹模糊、无法辩认情形；</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0A6C05FA">
            <w:pPr>
              <w:rPr>
                <w:rFonts w:ascii="宋体" w:hAnsi="宋体" w:cs="宋体"/>
                <w:bCs/>
                <w:szCs w:val="21"/>
              </w:rPr>
            </w:pPr>
            <w:r>
              <w:rPr>
                <w:rFonts w:hint="eastAsia" w:ascii="宋体" w:hAnsi="宋体" w:cs="宋体"/>
                <w:bCs/>
                <w:szCs w:val="21"/>
              </w:rPr>
              <w:t>　</w:t>
            </w:r>
          </w:p>
        </w:tc>
      </w:tr>
      <w:tr w14:paraId="41626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9739148">
            <w:pPr>
              <w:rPr>
                <w:rFonts w:ascii="宋体" w:hAnsi="宋体" w:cs="宋体"/>
                <w:bCs/>
                <w:szCs w:val="21"/>
              </w:rPr>
            </w:pPr>
            <w:r>
              <w:rPr>
                <w:rFonts w:ascii="宋体" w:hAnsi="宋体" w:cs="宋体"/>
                <w:bCs/>
                <w:szCs w:val="21"/>
              </w:rPr>
              <w:t>8</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513204E1">
            <w:pPr>
              <w:jc w:val="left"/>
              <w:rPr>
                <w:rFonts w:ascii="宋体" w:hAnsi="宋体" w:cs="宋体"/>
                <w:bCs/>
                <w:szCs w:val="21"/>
              </w:rPr>
            </w:pPr>
            <w:r>
              <w:rPr>
                <w:rFonts w:hint="eastAsia" w:ascii="宋体" w:hAnsi="宋体" w:cs="宋体"/>
                <w:bCs/>
                <w:szCs w:val="21"/>
              </w:rPr>
              <w:t>对同一竞选项目未出现两个或以上的投标报价，且没声明哪个有效；</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1D48C7E">
            <w:pPr>
              <w:rPr>
                <w:rFonts w:ascii="宋体" w:hAnsi="宋体" w:cs="宋体"/>
                <w:bCs/>
                <w:szCs w:val="21"/>
              </w:rPr>
            </w:pPr>
            <w:r>
              <w:rPr>
                <w:rFonts w:hint="eastAsia" w:ascii="宋体" w:hAnsi="宋体" w:cs="宋体"/>
                <w:bCs/>
                <w:szCs w:val="21"/>
              </w:rPr>
              <w:t>　</w:t>
            </w:r>
          </w:p>
        </w:tc>
      </w:tr>
      <w:tr w14:paraId="434BA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6D53F814">
            <w:pPr>
              <w:rPr>
                <w:rFonts w:ascii="宋体" w:hAnsi="宋体" w:cs="宋体"/>
                <w:bCs/>
                <w:szCs w:val="21"/>
              </w:rPr>
            </w:pPr>
            <w:r>
              <w:rPr>
                <w:rFonts w:ascii="宋体" w:hAnsi="宋体" w:cs="宋体"/>
                <w:bCs/>
                <w:szCs w:val="21"/>
              </w:rPr>
              <w:t>9</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05850F79">
            <w:pPr>
              <w:jc w:val="left"/>
              <w:rPr>
                <w:rFonts w:ascii="宋体" w:hAnsi="宋体" w:cs="宋体"/>
                <w:bCs/>
                <w:szCs w:val="21"/>
              </w:rPr>
            </w:pPr>
            <w:r>
              <w:rPr>
                <w:rFonts w:hint="eastAsia" w:ascii="宋体" w:hAnsi="宋体" w:cs="宋体"/>
                <w:bCs/>
                <w:szCs w:val="21"/>
              </w:rPr>
              <w:t>投标总报价不高于采购限价；</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5766194">
            <w:pPr>
              <w:rPr>
                <w:rFonts w:ascii="宋体" w:hAnsi="宋体" w:cs="宋体"/>
                <w:bCs/>
                <w:szCs w:val="21"/>
              </w:rPr>
            </w:pPr>
            <w:r>
              <w:rPr>
                <w:rFonts w:hint="eastAsia" w:ascii="宋体" w:hAnsi="宋体" w:cs="宋体"/>
                <w:bCs/>
                <w:szCs w:val="21"/>
              </w:rPr>
              <w:t>　</w:t>
            </w:r>
          </w:p>
        </w:tc>
      </w:tr>
      <w:tr w14:paraId="443D1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9ED2C08">
            <w:pPr>
              <w:rPr>
                <w:rFonts w:ascii="宋体" w:hAnsi="宋体" w:cs="宋体"/>
                <w:bCs/>
                <w:szCs w:val="21"/>
              </w:rPr>
            </w:pPr>
            <w:r>
              <w:rPr>
                <w:rFonts w:hint="eastAsia" w:ascii="宋体" w:hAnsi="宋体" w:cs="宋体"/>
                <w:bCs/>
                <w:szCs w:val="21"/>
              </w:rPr>
              <w:t>1</w:t>
            </w:r>
            <w:r>
              <w:rPr>
                <w:rFonts w:ascii="宋体" w:hAnsi="宋体" w:cs="宋体"/>
                <w:bCs/>
                <w:szCs w:val="21"/>
              </w:rPr>
              <w:t>0</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228C3D2C">
            <w:pPr>
              <w:jc w:val="left"/>
              <w:rPr>
                <w:rFonts w:ascii="宋体" w:hAnsi="宋体" w:cs="宋体"/>
                <w:bCs/>
                <w:szCs w:val="21"/>
              </w:rPr>
            </w:pPr>
            <w:r>
              <w:rPr>
                <w:rFonts w:hint="eastAsia" w:ascii="宋体" w:hAnsi="宋体" w:cs="宋体"/>
                <w:bCs/>
                <w:szCs w:val="21"/>
              </w:rPr>
              <w:t>投标总报价不低于企业自身成本；</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846991C">
            <w:pPr>
              <w:rPr>
                <w:rFonts w:ascii="宋体" w:hAnsi="宋体" w:cs="宋体"/>
                <w:bCs/>
                <w:szCs w:val="21"/>
              </w:rPr>
            </w:pPr>
            <w:r>
              <w:rPr>
                <w:rFonts w:hint="eastAsia" w:ascii="宋体" w:hAnsi="宋体" w:cs="宋体"/>
                <w:bCs/>
                <w:szCs w:val="21"/>
              </w:rPr>
              <w:t>　</w:t>
            </w:r>
          </w:p>
        </w:tc>
      </w:tr>
      <w:tr w14:paraId="4A09B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2E3021D8">
            <w:pPr>
              <w:rPr>
                <w:rFonts w:ascii="宋体" w:hAnsi="宋体" w:cs="宋体"/>
                <w:bCs/>
                <w:szCs w:val="21"/>
              </w:rPr>
            </w:pPr>
            <w:r>
              <w:rPr>
                <w:rFonts w:hint="eastAsia" w:ascii="宋体" w:hAnsi="宋体" w:cs="宋体"/>
                <w:bCs/>
                <w:szCs w:val="21"/>
              </w:rPr>
              <w:t>1</w:t>
            </w:r>
            <w:r>
              <w:rPr>
                <w:rFonts w:ascii="宋体" w:hAnsi="宋体" w:cs="宋体"/>
                <w:bCs/>
                <w:szCs w:val="21"/>
              </w:rPr>
              <w:t>1</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30756BA6">
            <w:pPr>
              <w:jc w:val="left"/>
              <w:rPr>
                <w:rFonts w:ascii="宋体" w:hAnsi="宋体" w:cs="宋体"/>
                <w:bCs/>
                <w:szCs w:val="21"/>
              </w:rPr>
            </w:pPr>
            <w:r>
              <w:rPr>
                <w:rFonts w:hint="eastAsia" w:ascii="宋体" w:hAnsi="宋体" w:cs="宋体"/>
                <w:bCs/>
                <w:szCs w:val="21"/>
              </w:rPr>
              <w:t>工期满足竞选文件要求的；</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48236F11">
            <w:pPr>
              <w:rPr>
                <w:rFonts w:ascii="宋体" w:hAnsi="宋体" w:cs="宋体"/>
                <w:bCs/>
                <w:szCs w:val="21"/>
              </w:rPr>
            </w:pPr>
            <w:r>
              <w:rPr>
                <w:rFonts w:hint="eastAsia" w:ascii="宋体" w:hAnsi="宋体" w:cs="宋体"/>
                <w:bCs/>
                <w:szCs w:val="21"/>
              </w:rPr>
              <w:t>　</w:t>
            </w:r>
          </w:p>
        </w:tc>
      </w:tr>
      <w:tr w14:paraId="6B13E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7279328A">
            <w:pPr>
              <w:rPr>
                <w:rFonts w:ascii="宋体" w:hAnsi="宋体" w:cs="宋体"/>
                <w:bCs/>
                <w:szCs w:val="21"/>
              </w:rPr>
            </w:pPr>
            <w:r>
              <w:rPr>
                <w:rFonts w:hint="eastAsia" w:ascii="宋体" w:hAnsi="宋体" w:cs="宋体"/>
                <w:bCs/>
                <w:szCs w:val="21"/>
              </w:rPr>
              <w:t>1</w:t>
            </w:r>
            <w:r>
              <w:rPr>
                <w:rFonts w:ascii="宋体" w:hAnsi="宋体" w:cs="宋体"/>
                <w:bCs/>
                <w:szCs w:val="21"/>
              </w:rPr>
              <w:t>2</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11C248AE">
            <w:pPr>
              <w:jc w:val="left"/>
              <w:rPr>
                <w:rFonts w:ascii="宋体" w:hAnsi="宋体" w:cs="宋体"/>
                <w:bCs/>
                <w:szCs w:val="21"/>
              </w:rPr>
            </w:pPr>
            <w:r>
              <w:rPr>
                <w:rFonts w:hint="eastAsia" w:ascii="宋体" w:hAnsi="宋体" w:cs="宋体"/>
                <w:bCs/>
                <w:szCs w:val="21"/>
              </w:rPr>
              <w:t>投标文件未附有采购人不能接受的条件；</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F8DDA07">
            <w:pPr>
              <w:rPr>
                <w:rFonts w:ascii="宋体" w:hAnsi="宋体" w:cs="宋体"/>
                <w:bCs/>
                <w:szCs w:val="21"/>
              </w:rPr>
            </w:pPr>
            <w:r>
              <w:rPr>
                <w:rFonts w:hint="eastAsia" w:ascii="宋体" w:hAnsi="宋体" w:cs="宋体"/>
                <w:bCs/>
                <w:szCs w:val="21"/>
              </w:rPr>
              <w:t>　</w:t>
            </w:r>
          </w:p>
        </w:tc>
      </w:tr>
      <w:tr w14:paraId="697F7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1069653C">
            <w:pPr>
              <w:rPr>
                <w:rFonts w:ascii="宋体" w:hAnsi="宋体" w:cs="宋体"/>
                <w:bCs/>
                <w:szCs w:val="21"/>
              </w:rPr>
            </w:pPr>
            <w:r>
              <w:rPr>
                <w:rFonts w:hint="eastAsia" w:ascii="宋体" w:hAnsi="宋体" w:cs="宋体"/>
                <w:bCs/>
                <w:szCs w:val="21"/>
              </w:rPr>
              <w:t>1</w:t>
            </w:r>
            <w:r>
              <w:rPr>
                <w:rFonts w:ascii="宋体" w:hAnsi="宋体" w:cs="宋体"/>
                <w:bCs/>
                <w:szCs w:val="21"/>
              </w:rPr>
              <w:t>3</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6585CFD1">
            <w:pPr>
              <w:jc w:val="left"/>
              <w:rPr>
                <w:rFonts w:ascii="宋体" w:hAnsi="宋体" w:cs="宋体"/>
                <w:bCs/>
                <w:szCs w:val="21"/>
              </w:rPr>
            </w:pPr>
            <w:r>
              <w:rPr>
                <w:rFonts w:hint="eastAsia" w:ascii="宋体" w:hAnsi="宋体" w:cs="宋体"/>
                <w:bCs/>
                <w:szCs w:val="21"/>
              </w:rPr>
              <w:t>投标文件未附有不符合竞选文件中规定的其他实质性要求。</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1B15DE8">
            <w:pPr>
              <w:rPr>
                <w:rFonts w:ascii="宋体" w:hAnsi="宋体" w:cs="宋体"/>
                <w:bCs/>
                <w:szCs w:val="21"/>
              </w:rPr>
            </w:pPr>
            <w:r>
              <w:rPr>
                <w:rFonts w:hint="eastAsia" w:ascii="宋体" w:hAnsi="宋体" w:cs="宋体"/>
                <w:bCs/>
                <w:szCs w:val="21"/>
              </w:rPr>
              <w:t>　</w:t>
            </w:r>
          </w:p>
        </w:tc>
      </w:tr>
      <w:tr w14:paraId="5E4DA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B9EBA39">
            <w:pPr>
              <w:rPr>
                <w:rFonts w:ascii="宋体" w:hAnsi="宋体" w:cs="宋体"/>
                <w:bCs/>
                <w:szCs w:val="21"/>
              </w:rPr>
            </w:pPr>
            <w:r>
              <w:rPr>
                <w:rFonts w:ascii="宋体" w:hAnsi="宋体" w:cs="宋体"/>
                <w:bCs/>
                <w:szCs w:val="21"/>
              </w:rPr>
              <w:t>14</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089598EB">
            <w:pPr>
              <w:jc w:val="left"/>
              <w:rPr>
                <w:rFonts w:ascii="宋体" w:hAnsi="宋体" w:cs="宋体"/>
                <w:bCs/>
                <w:szCs w:val="21"/>
              </w:rPr>
            </w:pPr>
            <w:r>
              <w:rPr>
                <w:rFonts w:hint="eastAsia" w:ascii="宋体" w:hAnsi="宋体" w:cs="宋体"/>
                <w:bCs/>
                <w:sz w:val="21"/>
                <w:szCs w:val="21"/>
              </w:rPr>
              <w:t>投标人应具备专职安全员，安全员具有有效的专职安全员资格证</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5A042337">
            <w:pPr>
              <w:rPr>
                <w:rFonts w:ascii="宋体" w:hAnsi="宋体" w:cs="宋体"/>
                <w:bCs/>
                <w:szCs w:val="21"/>
              </w:rPr>
            </w:pPr>
            <w:r>
              <w:rPr>
                <w:rFonts w:hint="eastAsia" w:ascii="宋体" w:hAnsi="宋体" w:cs="宋体"/>
                <w:bCs/>
                <w:szCs w:val="21"/>
              </w:rPr>
              <w:t>　</w:t>
            </w:r>
          </w:p>
        </w:tc>
      </w:tr>
      <w:tr w14:paraId="0212B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651" w:type="dxa"/>
            <w:tcBorders>
              <w:top w:val="single" w:color="auto" w:sz="6" w:space="0"/>
              <w:left w:val="single" w:color="auto" w:sz="12" w:space="0"/>
              <w:bottom w:val="single" w:color="auto" w:sz="12" w:space="0"/>
              <w:right w:val="single" w:color="auto" w:sz="6" w:space="0"/>
            </w:tcBorders>
            <w:shd w:val="clear" w:color="auto" w:fill="auto"/>
            <w:vAlign w:val="center"/>
          </w:tcPr>
          <w:p w14:paraId="4B6AC1D0">
            <w:pPr>
              <w:rPr>
                <w:rFonts w:ascii="宋体" w:hAnsi="宋体" w:cs="宋体"/>
                <w:bCs/>
                <w:szCs w:val="21"/>
              </w:rPr>
            </w:pPr>
            <w:r>
              <w:rPr>
                <w:rFonts w:hint="eastAsia" w:ascii="宋体" w:hAnsi="宋体" w:cs="宋体"/>
                <w:bCs/>
                <w:szCs w:val="21"/>
              </w:rPr>
              <w:t>　</w:t>
            </w:r>
          </w:p>
        </w:tc>
        <w:tc>
          <w:tcPr>
            <w:tcW w:w="7272" w:type="dxa"/>
            <w:tcBorders>
              <w:top w:val="single" w:color="auto" w:sz="6" w:space="0"/>
              <w:left w:val="single" w:color="auto" w:sz="6" w:space="0"/>
              <w:bottom w:val="single" w:color="auto" w:sz="12" w:space="0"/>
              <w:right w:val="single" w:color="auto" w:sz="6" w:space="0"/>
            </w:tcBorders>
            <w:shd w:val="clear" w:color="auto" w:fill="auto"/>
            <w:vAlign w:val="center"/>
          </w:tcPr>
          <w:p w14:paraId="2B999904">
            <w:pPr>
              <w:jc w:val="left"/>
              <w:rPr>
                <w:rFonts w:ascii="宋体" w:hAnsi="宋体" w:cs="宋体"/>
                <w:bCs/>
                <w:szCs w:val="21"/>
              </w:rPr>
            </w:pPr>
            <w:r>
              <w:rPr>
                <w:rFonts w:hint="eastAsia" w:ascii="宋体" w:hAnsi="宋体" w:cs="宋体"/>
                <w:bCs/>
                <w:szCs w:val="21"/>
              </w:rPr>
              <w:t>评审结论（通过/不通过）</w:t>
            </w:r>
          </w:p>
        </w:tc>
        <w:tc>
          <w:tcPr>
            <w:tcW w:w="1134" w:type="dxa"/>
            <w:tcBorders>
              <w:top w:val="single" w:color="auto" w:sz="6" w:space="0"/>
              <w:left w:val="single" w:color="auto" w:sz="6" w:space="0"/>
              <w:bottom w:val="single" w:color="auto" w:sz="12" w:space="0"/>
              <w:right w:val="single" w:color="auto" w:sz="12" w:space="0"/>
            </w:tcBorders>
            <w:shd w:val="clear" w:color="auto" w:fill="auto"/>
            <w:vAlign w:val="center"/>
          </w:tcPr>
          <w:p w14:paraId="0DF85B3A">
            <w:pPr>
              <w:rPr>
                <w:rFonts w:ascii="宋体" w:hAnsi="宋体" w:cs="宋体"/>
                <w:bCs/>
                <w:szCs w:val="21"/>
              </w:rPr>
            </w:pPr>
            <w:r>
              <w:rPr>
                <w:rFonts w:hint="eastAsia" w:ascii="宋体" w:hAnsi="宋体" w:cs="宋体"/>
                <w:bCs/>
                <w:szCs w:val="21"/>
              </w:rPr>
              <w:t>　</w:t>
            </w:r>
          </w:p>
        </w:tc>
      </w:tr>
    </w:tbl>
    <w:p w14:paraId="4636B6F3">
      <w:pPr>
        <w:spacing w:before="120" w:beforeLines="50" w:after="120" w:afterLines="50" w:line="360" w:lineRule="auto"/>
        <w:ind w:firstLine="480" w:firstLineChars="200"/>
        <w:rPr>
          <w:rFonts w:ascii="宋体" w:hAnsi="宋体"/>
          <w:sz w:val="24"/>
        </w:rPr>
      </w:pPr>
      <w:r>
        <w:rPr>
          <w:rFonts w:hint="eastAsia" w:ascii="宋体" w:hAnsi="宋体"/>
          <w:sz w:val="24"/>
        </w:rPr>
        <w:t>注：</w:t>
      </w:r>
    </w:p>
    <w:p w14:paraId="688D9EDD">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14:paraId="06D5DD9C">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14:paraId="14249466">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14:paraId="3AEFDB3E">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14:paraId="2E354C3B">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14:paraId="735AB018">
      <w:pPr>
        <w:spacing w:before="120" w:beforeLines="50" w:after="120" w:afterLines="50" w:line="360" w:lineRule="auto"/>
        <w:ind w:firstLine="480" w:firstLineChars="200"/>
        <w:rPr>
          <w:rFonts w:ascii="宋体" w:hAnsi="宋体"/>
          <w:b/>
          <w:sz w:val="24"/>
        </w:rPr>
      </w:pPr>
      <w:r>
        <w:rPr>
          <w:rFonts w:hint="eastAsia" w:ascii="宋体" w:hAnsi="宋体"/>
          <w:bCs/>
          <w:sz w:val="24"/>
        </w:rPr>
        <w:t>日 期：</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r>
        <w:rPr>
          <w:rFonts w:ascii="仿宋" w:hAnsi="仿宋" w:eastAsia="仿宋" w:cs="仿宋"/>
          <w:szCs w:val="21"/>
        </w:rPr>
        <w:br w:type="page"/>
      </w:r>
    </w:p>
    <w:p w14:paraId="048DF618">
      <w:pPr>
        <w:spacing w:line="360" w:lineRule="auto"/>
        <w:ind w:firstLine="480" w:firstLineChars="200"/>
        <w:jc w:val="center"/>
        <w:rPr>
          <w:rFonts w:ascii="仿宋_GB2312" w:hAnsi="宋体" w:eastAsia="仿宋_GB2312"/>
          <w:b/>
          <w:bCs/>
          <w:sz w:val="36"/>
          <w:szCs w:val="36"/>
        </w:rPr>
      </w:pPr>
      <w:r>
        <w:rPr>
          <w:rFonts w:hint="eastAsia" w:ascii="宋体" w:hAnsi="宋体"/>
          <w:bCs/>
          <w:sz w:val="24"/>
        </w:rPr>
        <w:t>附件</w:t>
      </w:r>
      <w:bookmarkStart w:id="22" w:name="_Toc357690617"/>
      <w:r>
        <w:rPr>
          <w:rFonts w:ascii="宋体" w:hAnsi="宋体"/>
          <w:bCs/>
          <w:sz w:val="24"/>
        </w:rPr>
        <w:t>7</w:t>
      </w:r>
      <w:r>
        <w:rPr>
          <w:rFonts w:hint="eastAsia" w:ascii="仿宋_GB2312" w:hAnsi="宋体" w:eastAsia="仿宋_GB2312"/>
          <w:b/>
          <w:sz w:val="24"/>
          <w:szCs w:val="36"/>
        </w:rPr>
        <w:t>研发管沟</w:t>
      </w:r>
      <w:r>
        <w:rPr>
          <w:rFonts w:ascii="仿宋_GB2312" w:hAnsi="宋体" w:eastAsia="仿宋_GB2312"/>
          <w:b/>
          <w:sz w:val="24"/>
          <w:szCs w:val="36"/>
        </w:rPr>
        <w:t>B分支、E分支、中环21-23水电仓（共11个仓段）远程监控采购需求书</w:t>
      </w:r>
    </w:p>
    <w:p w14:paraId="0F2E27E8">
      <w:pPr>
        <w:numPr>
          <w:ilvl w:val="0"/>
          <w:numId w:val="22"/>
        </w:numPr>
        <w:spacing w:line="120" w:lineRule="atLeast"/>
        <w:outlineLvl w:val="1"/>
        <w:rPr>
          <w:rFonts w:ascii="宋体" w:hAnsi="宋体"/>
          <w:b/>
          <w:szCs w:val="21"/>
        </w:rPr>
      </w:pPr>
      <w:r>
        <w:rPr>
          <w:rFonts w:hint="eastAsia" w:ascii="宋体" w:hAnsi="宋体"/>
          <w:b/>
          <w:szCs w:val="21"/>
        </w:rPr>
        <w:t>工程概况</w:t>
      </w:r>
      <w:bookmarkEnd w:id="22"/>
    </w:p>
    <w:p w14:paraId="4F196EB5">
      <w:pPr>
        <w:numPr>
          <w:ilvl w:val="1"/>
          <w:numId w:val="23"/>
        </w:numPr>
        <w:spacing w:line="360" w:lineRule="auto"/>
        <w:rPr>
          <w:rFonts w:ascii="宋体" w:hAnsi="宋体"/>
          <w:bCs/>
          <w:szCs w:val="21"/>
        </w:rPr>
      </w:pPr>
      <w:r>
        <w:rPr>
          <w:rFonts w:hint="eastAsia" w:ascii="宋体" w:hAnsi="宋体"/>
          <w:szCs w:val="21"/>
        </w:rPr>
        <w:t>工程名称：研发管沟</w:t>
      </w:r>
      <w:r>
        <w:rPr>
          <w:rFonts w:ascii="宋体" w:hAnsi="宋体"/>
          <w:szCs w:val="21"/>
        </w:rPr>
        <w:t>B分支、E分支、中环21-23水电仓（共11个仓段）远程监控</w:t>
      </w:r>
    </w:p>
    <w:p w14:paraId="6F099ADB">
      <w:pPr>
        <w:numPr>
          <w:ilvl w:val="1"/>
          <w:numId w:val="23"/>
        </w:numPr>
        <w:spacing w:line="360" w:lineRule="auto"/>
        <w:rPr>
          <w:rFonts w:ascii="宋体" w:hAnsi="宋体"/>
          <w:szCs w:val="21"/>
        </w:rPr>
      </w:pPr>
      <w:r>
        <w:rPr>
          <w:rFonts w:hint="eastAsia" w:ascii="宋体" w:hAnsi="宋体"/>
          <w:szCs w:val="21"/>
        </w:rPr>
        <w:t>工程地点：广州大学城综合管沟</w:t>
      </w:r>
    </w:p>
    <w:p w14:paraId="5770B124">
      <w:pPr>
        <w:numPr>
          <w:ilvl w:val="1"/>
          <w:numId w:val="23"/>
        </w:numPr>
        <w:spacing w:line="360" w:lineRule="auto"/>
        <w:rPr>
          <w:rFonts w:ascii="宋体" w:hAnsi="宋体"/>
          <w:szCs w:val="21"/>
        </w:rPr>
      </w:pPr>
      <w:r>
        <w:rPr>
          <w:rFonts w:hint="eastAsia" w:ascii="宋体" w:hAnsi="宋体"/>
          <w:szCs w:val="21"/>
        </w:rPr>
        <w:t>工程项目简介：</w:t>
      </w:r>
    </w:p>
    <w:p w14:paraId="2077A8E8">
      <w:pPr>
        <w:pStyle w:val="16"/>
        <w:shd w:val="clear" w:color="auto" w:fill="FFFFFF"/>
        <w:wordWrap w:val="0"/>
        <w:ind w:firstLine="420" w:firstLineChars="200"/>
        <w:rPr>
          <w:color w:val="000000"/>
          <w:sz w:val="21"/>
          <w:szCs w:val="21"/>
        </w:rPr>
      </w:pPr>
      <w:r>
        <w:rPr>
          <w:rFonts w:hint="eastAsia"/>
          <w:color w:val="000000"/>
          <w:sz w:val="21"/>
          <w:szCs w:val="21"/>
        </w:rPr>
        <w:t>管沟</w:t>
      </w:r>
      <w:r>
        <w:rPr>
          <w:color w:val="000000"/>
          <w:sz w:val="21"/>
          <w:szCs w:val="21"/>
        </w:rPr>
        <w:t>B分支、E分支、中环21-23水电仓（共11个仓段），未安装监控监测系统，可能导致漏水不能及时发生，发生财产损失；无气体浓度探测导致人员伤害事故；加之原自控系统自投运至今，因系统工艺变化，环境监测设备有增减，系统存在很多无用的功能块、变量、画面、关联的报警、历史数据等，导致运行的系统软件垃圾文件太多，影响系统的安全稳定运行，目前主要存在以下问题：</w:t>
      </w:r>
    </w:p>
    <w:p w14:paraId="2455648C">
      <w:pPr>
        <w:pStyle w:val="57"/>
        <w:numPr>
          <w:ilvl w:val="0"/>
          <w:numId w:val="24"/>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eastAsia="zh-CN"/>
        </w:rPr>
      </w:pPr>
    </w:p>
    <w:p w14:paraId="7E353CF3">
      <w:pPr>
        <w:pStyle w:val="57"/>
        <w:numPr>
          <w:ilvl w:val="1"/>
          <w:numId w:val="24"/>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eastAsia="zh-CN"/>
        </w:rPr>
      </w:pPr>
    </w:p>
    <w:p w14:paraId="53307E07">
      <w:pPr>
        <w:pStyle w:val="57"/>
        <w:numPr>
          <w:ilvl w:val="1"/>
          <w:numId w:val="24"/>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eastAsia="zh-CN"/>
        </w:rPr>
      </w:pPr>
    </w:p>
    <w:p w14:paraId="34BBDD9C">
      <w:pPr>
        <w:pStyle w:val="57"/>
        <w:numPr>
          <w:ilvl w:val="1"/>
          <w:numId w:val="25"/>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449D6C8">
      <w:pPr>
        <w:pStyle w:val="16"/>
        <w:numPr>
          <w:ilvl w:val="2"/>
          <w:numId w:val="25"/>
        </w:numPr>
        <w:shd w:val="clear" w:color="auto" w:fill="FFFFFF"/>
        <w:tabs>
          <w:tab w:val="left" w:pos="312"/>
        </w:tabs>
        <w:wordWrap w:val="0"/>
        <w:rPr>
          <w:kern w:val="2"/>
          <w:sz w:val="21"/>
          <w:szCs w:val="21"/>
        </w:rPr>
      </w:pPr>
      <w:r>
        <w:rPr>
          <w:rFonts w:hint="eastAsia"/>
          <w:kern w:val="2"/>
          <w:sz w:val="21"/>
          <w:szCs w:val="21"/>
        </w:rPr>
        <w:t>由于无法提前通风，</w:t>
      </w:r>
      <w:r>
        <w:rPr>
          <w:kern w:val="2"/>
          <w:sz w:val="21"/>
          <w:szCs w:val="21"/>
        </w:rPr>
        <w:t>B分支、E分支、中环21-23水电</w:t>
      </w:r>
      <w:r>
        <w:rPr>
          <w:rFonts w:hint="eastAsia"/>
          <w:kern w:val="2"/>
          <w:sz w:val="21"/>
          <w:szCs w:val="21"/>
        </w:rPr>
        <w:t>仓段比其它仓段更潮湿，容易造成电气设备故障。</w:t>
      </w:r>
    </w:p>
    <w:p w14:paraId="54208C55">
      <w:pPr>
        <w:pStyle w:val="16"/>
        <w:numPr>
          <w:ilvl w:val="2"/>
          <w:numId w:val="25"/>
        </w:numPr>
        <w:shd w:val="clear" w:color="auto" w:fill="FFFFFF"/>
        <w:tabs>
          <w:tab w:val="left" w:pos="312"/>
        </w:tabs>
        <w:wordWrap w:val="0"/>
        <w:rPr>
          <w:kern w:val="2"/>
          <w:sz w:val="21"/>
          <w:szCs w:val="21"/>
        </w:rPr>
      </w:pPr>
      <w:r>
        <w:rPr>
          <w:rFonts w:hint="eastAsia"/>
          <w:kern w:val="2"/>
          <w:sz w:val="21"/>
          <w:szCs w:val="21"/>
        </w:rPr>
        <w:t>水泵运行状态不能在线监控，遇故障不能及时发现处理，造成烧坏水泵。</w:t>
      </w:r>
    </w:p>
    <w:p w14:paraId="56DD7C71">
      <w:pPr>
        <w:pStyle w:val="16"/>
        <w:numPr>
          <w:ilvl w:val="2"/>
          <w:numId w:val="25"/>
        </w:numPr>
        <w:shd w:val="clear" w:color="auto" w:fill="FFFFFF"/>
        <w:tabs>
          <w:tab w:val="left" w:pos="312"/>
        </w:tabs>
        <w:wordWrap w:val="0"/>
        <w:rPr>
          <w:kern w:val="2"/>
          <w:sz w:val="21"/>
          <w:szCs w:val="21"/>
        </w:rPr>
      </w:pPr>
      <w:r>
        <w:rPr>
          <w:rFonts w:hint="eastAsia"/>
          <w:kern w:val="2"/>
          <w:sz w:val="21"/>
          <w:szCs w:val="21"/>
        </w:rPr>
        <w:t>值班人员无法及时知道</w:t>
      </w:r>
      <w:r>
        <w:rPr>
          <w:kern w:val="2"/>
          <w:sz w:val="21"/>
          <w:szCs w:val="21"/>
        </w:rPr>
        <w:t>B分支、E分支、中环21-23水电仓仓段水浸情况，不能及时采取有效应急措施。</w:t>
      </w:r>
    </w:p>
    <w:p w14:paraId="15373F5A">
      <w:pPr>
        <w:pStyle w:val="16"/>
        <w:numPr>
          <w:ilvl w:val="2"/>
          <w:numId w:val="25"/>
        </w:numPr>
        <w:shd w:val="clear" w:color="auto" w:fill="FFFFFF"/>
        <w:tabs>
          <w:tab w:val="left" w:pos="312"/>
        </w:tabs>
        <w:wordWrap w:val="0"/>
        <w:rPr>
          <w:kern w:val="2"/>
          <w:sz w:val="21"/>
          <w:szCs w:val="21"/>
        </w:rPr>
      </w:pPr>
      <w:r>
        <w:rPr>
          <w:rFonts w:hint="eastAsia"/>
          <w:kern w:val="2"/>
          <w:sz w:val="21"/>
          <w:szCs w:val="21"/>
        </w:rPr>
        <w:t>环境监测设备停用、设备线路老化造成自控系统误报警增多，存在安全隐患。</w:t>
      </w:r>
    </w:p>
    <w:p w14:paraId="215C7A62">
      <w:pPr>
        <w:pStyle w:val="16"/>
        <w:numPr>
          <w:ilvl w:val="2"/>
          <w:numId w:val="25"/>
        </w:numPr>
        <w:shd w:val="clear" w:color="auto" w:fill="FFFFFF"/>
        <w:tabs>
          <w:tab w:val="left" w:pos="312"/>
        </w:tabs>
        <w:wordWrap w:val="0"/>
        <w:rPr>
          <w:kern w:val="2"/>
          <w:sz w:val="21"/>
          <w:szCs w:val="21"/>
        </w:rPr>
      </w:pPr>
      <w:r>
        <w:rPr>
          <w:rFonts w:hint="eastAsia"/>
          <w:kern w:val="2"/>
          <w:sz w:val="21"/>
          <w:szCs w:val="21"/>
        </w:rPr>
        <w:t>自控系统数据不能远传至枢纽楼。</w:t>
      </w:r>
    </w:p>
    <w:p w14:paraId="68BF3BB8">
      <w:pPr>
        <w:pStyle w:val="16"/>
        <w:numPr>
          <w:ilvl w:val="2"/>
          <w:numId w:val="25"/>
        </w:numPr>
        <w:shd w:val="clear" w:color="auto" w:fill="FFFFFF"/>
        <w:tabs>
          <w:tab w:val="left" w:pos="312"/>
        </w:tabs>
        <w:wordWrap w:val="0"/>
        <w:rPr>
          <w:kern w:val="2"/>
          <w:sz w:val="21"/>
          <w:szCs w:val="21"/>
        </w:rPr>
      </w:pPr>
      <w:r>
        <w:rPr>
          <w:rFonts w:hint="eastAsia"/>
          <w:kern w:val="2"/>
          <w:sz w:val="21"/>
          <w:szCs w:val="21"/>
        </w:rPr>
        <w:t>自控系统上位机软件、</w:t>
      </w:r>
      <w:r>
        <w:rPr>
          <w:kern w:val="2"/>
          <w:sz w:val="21"/>
          <w:szCs w:val="21"/>
        </w:rPr>
        <w:t>PLC</w:t>
      </w:r>
      <w:r>
        <w:rPr>
          <w:rFonts w:hint="eastAsia"/>
          <w:kern w:val="2"/>
          <w:sz w:val="21"/>
          <w:szCs w:val="21"/>
        </w:rPr>
        <w:t>、工控机陈旧版本低，旧系统兼容性问题，导致新的设备、新的仪表等数据采集不到；原有的设备、仪表增减，导致无用通讯连接较多，数据非常杂乱，有效数据难以区分；影响自控系统数据分析、自控系统信息化水平；原有自控系统没有用户管理权限分配、没有系统操作记录、没有操作规程，不能有效的加强自控工作管理。</w:t>
      </w:r>
    </w:p>
    <w:p w14:paraId="3228C3E4">
      <w:pPr>
        <w:pStyle w:val="16"/>
        <w:shd w:val="clear" w:color="auto" w:fill="FFFFFF"/>
        <w:wordWrap w:val="0"/>
        <w:ind w:firstLine="420" w:firstLineChars="200"/>
        <w:rPr>
          <w:color w:val="000000"/>
          <w:sz w:val="21"/>
          <w:szCs w:val="21"/>
        </w:rPr>
      </w:pPr>
      <w:r>
        <w:rPr>
          <w:rFonts w:hint="eastAsia"/>
          <w:color w:val="000000"/>
          <w:sz w:val="21"/>
          <w:szCs w:val="21"/>
        </w:rPr>
        <w:t>为解决上述问题，提高生产效率，我部根据</w:t>
      </w:r>
      <w:r>
        <w:rPr>
          <w:color w:val="000000"/>
          <w:sz w:val="21"/>
          <w:szCs w:val="21"/>
        </w:rPr>
        <w:t>2024年度公司安全生产风险点（公司级隐患）整改计划表第6条：6月1日前完成风险点的整改，并将数据上传至能源中心，提出</w:t>
      </w:r>
      <w:r>
        <w:rPr>
          <w:rFonts w:hint="eastAsia"/>
          <w:color w:val="000000"/>
          <w:sz w:val="21"/>
          <w:szCs w:val="21"/>
        </w:rPr>
        <w:t>研发管沟</w:t>
      </w:r>
      <w:r>
        <w:rPr>
          <w:color w:val="000000"/>
          <w:sz w:val="21"/>
          <w:szCs w:val="21"/>
        </w:rPr>
        <w:t>B分支、E分支、中环21-23水电仓（共11个仓段）的远程监控。</w:t>
      </w:r>
    </w:p>
    <w:p w14:paraId="2D6C95BA">
      <w:pPr>
        <w:numPr>
          <w:ilvl w:val="0"/>
          <w:numId w:val="22"/>
        </w:numPr>
        <w:spacing w:line="120" w:lineRule="atLeast"/>
        <w:outlineLvl w:val="1"/>
        <w:rPr>
          <w:rFonts w:ascii="宋体" w:hAnsi="宋体"/>
          <w:b/>
          <w:szCs w:val="21"/>
        </w:rPr>
      </w:pPr>
      <w:r>
        <w:rPr>
          <w:rFonts w:hint="eastAsia" w:ascii="宋体" w:hAnsi="宋体"/>
          <w:b/>
          <w:szCs w:val="21"/>
        </w:rPr>
        <w:t>项目内容</w:t>
      </w:r>
    </w:p>
    <w:p w14:paraId="3E5AC38A">
      <w:pPr>
        <w:pStyle w:val="57"/>
        <w:widowControl w:val="0"/>
        <w:numPr>
          <w:ilvl w:val="0"/>
          <w:numId w:val="23"/>
        </w:numPr>
        <w:spacing w:line="360" w:lineRule="auto"/>
        <w:ind w:firstLineChars="0"/>
        <w:jc w:val="both"/>
        <w:rPr>
          <w:rFonts w:ascii="宋体" w:hAnsi="宋体" w:eastAsia="宋体"/>
          <w:vanish/>
          <w:kern w:val="2"/>
          <w:sz w:val="21"/>
          <w:szCs w:val="21"/>
          <w:lang w:eastAsia="zh-CN"/>
        </w:rPr>
      </w:pPr>
    </w:p>
    <w:p w14:paraId="29D73617">
      <w:pPr>
        <w:pStyle w:val="57"/>
        <w:widowControl w:val="0"/>
        <w:numPr>
          <w:ilvl w:val="0"/>
          <w:numId w:val="26"/>
        </w:numPr>
        <w:spacing w:line="360" w:lineRule="auto"/>
        <w:ind w:firstLineChars="0"/>
        <w:jc w:val="both"/>
        <w:rPr>
          <w:rFonts w:ascii="宋体" w:hAnsi="宋体" w:eastAsia="宋体"/>
          <w:vanish/>
          <w:kern w:val="2"/>
          <w:sz w:val="21"/>
          <w:szCs w:val="21"/>
          <w:lang w:eastAsia="zh-CN"/>
        </w:rPr>
      </w:pPr>
    </w:p>
    <w:p w14:paraId="503CC9A8">
      <w:pPr>
        <w:pStyle w:val="57"/>
        <w:widowControl w:val="0"/>
        <w:numPr>
          <w:ilvl w:val="0"/>
          <w:numId w:val="26"/>
        </w:numPr>
        <w:spacing w:line="360" w:lineRule="auto"/>
        <w:ind w:firstLineChars="0"/>
        <w:jc w:val="both"/>
        <w:rPr>
          <w:rFonts w:ascii="宋体" w:hAnsi="宋体" w:eastAsia="宋体"/>
          <w:vanish/>
          <w:kern w:val="2"/>
          <w:sz w:val="21"/>
          <w:szCs w:val="21"/>
          <w:lang w:eastAsia="zh-CN"/>
        </w:rPr>
      </w:pPr>
    </w:p>
    <w:p w14:paraId="7D03B9FF">
      <w:pPr>
        <w:numPr>
          <w:ilvl w:val="1"/>
          <w:numId w:val="26"/>
        </w:numPr>
        <w:ind w:left="0" w:firstLine="0"/>
        <w:jc w:val="left"/>
        <w:rPr>
          <w:rFonts w:ascii="宋体" w:hAnsi="宋体"/>
          <w:szCs w:val="21"/>
        </w:rPr>
      </w:pPr>
      <w:r>
        <w:rPr>
          <w:rFonts w:ascii="宋体" w:hAnsi="宋体"/>
          <w:szCs w:val="21"/>
        </w:rPr>
        <w:t>B分支、E分支、中环21-23水电仓的风机、排水泵、照明等设备接入PLC系统集中远程监控，PLC模块预留温度、湿度、氧气含量等通道，整合网络光纤将自控数据传送至枢纽楼；本项目新增8个挂壁式控制柜（I\O点：48DI\32DO\16AI）。具体如下图1、图2：</w:t>
      </w:r>
    </w:p>
    <w:p w14:paraId="6C74D70E">
      <w:pPr>
        <w:jc w:val="left"/>
        <w:rPr>
          <w:rFonts w:ascii="宋体" w:hAnsi="宋体"/>
          <w:szCs w:val="21"/>
        </w:rPr>
      </w:pPr>
      <w:r>
        <w:rPr>
          <w:rFonts w:ascii="宋体" w:hAnsi="宋体"/>
          <w:szCs w:val="21"/>
        </w:rPr>
        <w:drawing>
          <wp:inline distT="0" distB="0" distL="0" distR="0">
            <wp:extent cx="2714625" cy="2296795"/>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35245" cy="2314818"/>
                    </a:xfrm>
                    <a:prstGeom prst="rect">
                      <a:avLst/>
                    </a:prstGeom>
                    <a:noFill/>
                    <a:ln>
                      <a:noFill/>
                    </a:ln>
                  </pic:spPr>
                </pic:pic>
              </a:graphicData>
            </a:graphic>
          </wp:inline>
        </w:drawing>
      </w:r>
    </w:p>
    <w:p w14:paraId="0D299EFD">
      <w:pPr>
        <w:jc w:val="center"/>
        <w:rPr>
          <w:rFonts w:ascii="宋体" w:hAnsi="宋体"/>
          <w:szCs w:val="21"/>
        </w:rPr>
      </w:pPr>
      <w:r>
        <w:rPr>
          <w:rFonts w:hint="eastAsia" w:ascii="宋体" w:hAnsi="宋体"/>
          <w:szCs w:val="21"/>
        </w:rPr>
        <w:t>图</w:t>
      </w:r>
      <w:r>
        <w:rPr>
          <w:rFonts w:ascii="宋体" w:hAnsi="宋体"/>
          <w:szCs w:val="21"/>
        </w:rPr>
        <w:t>1：B</w:t>
      </w:r>
      <w:r>
        <w:rPr>
          <w:rFonts w:hint="eastAsia" w:ascii="宋体" w:hAnsi="宋体"/>
          <w:szCs w:val="21"/>
        </w:rPr>
        <w:t>分支壁挂式控制柜位置示意图</w:t>
      </w:r>
    </w:p>
    <w:p w14:paraId="4037A85A">
      <w:pPr>
        <w:jc w:val="left"/>
        <w:rPr>
          <w:rFonts w:ascii="宋体" w:hAnsi="宋体"/>
          <w:szCs w:val="21"/>
        </w:rPr>
      </w:pPr>
      <w:r>
        <w:rPr>
          <w:rFonts w:ascii="宋体" w:hAnsi="宋体"/>
          <w:szCs w:val="21"/>
        </w:rPr>
        <w:drawing>
          <wp:inline distT="0" distB="0" distL="0" distR="0">
            <wp:extent cx="3686175" cy="2959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711328" cy="2979801"/>
                    </a:xfrm>
                    <a:prstGeom prst="rect">
                      <a:avLst/>
                    </a:prstGeom>
                    <a:noFill/>
                    <a:ln>
                      <a:noFill/>
                    </a:ln>
                  </pic:spPr>
                </pic:pic>
              </a:graphicData>
            </a:graphic>
          </wp:inline>
        </w:drawing>
      </w:r>
    </w:p>
    <w:p w14:paraId="3DBA85C6">
      <w:pPr>
        <w:jc w:val="center"/>
        <w:rPr>
          <w:rFonts w:ascii="宋体" w:hAnsi="宋体"/>
          <w:szCs w:val="21"/>
        </w:rPr>
      </w:pPr>
      <w:r>
        <w:rPr>
          <w:rFonts w:hint="eastAsia" w:ascii="宋体" w:hAnsi="宋体"/>
          <w:szCs w:val="21"/>
        </w:rPr>
        <w:t>图</w:t>
      </w:r>
      <w:r>
        <w:rPr>
          <w:rFonts w:ascii="宋体" w:hAnsi="宋体"/>
          <w:szCs w:val="21"/>
        </w:rPr>
        <w:t>2：E</w:t>
      </w:r>
      <w:r>
        <w:rPr>
          <w:rFonts w:hint="eastAsia" w:ascii="宋体" w:hAnsi="宋体"/>
          <w:szCs w:val="21"/>
        </w:rPr>
        <w:t>分支、中环</w:t>
      </w:r>
      <w:r>
        <w:rPr>
          <w:rFonts w:ascii="宋体" w:hAnsi="宋体"/>
          <w:szCs w:val="21"/>
        </w:rPr>
        <w:t>21-23</w:t>
      </w:r>
      <w:r>
        <w:rPr>
          <w:rFonts w:hint="eastAsia" w:ascii="宋体" w:hAnsi="宋体"/>
          <w:szCs w:val="21"/>
        </w:rPr>
        <w:t>壁挂式控制柜位置示意图</w:t>
      </w:r>
    </w:p>
    <w:p w14:paraId="5BE84E08">
      <w:pPr>
        <w:numPr>
          <w:ilvl w:val="1"/>
          <w:numId w:val="26"/>
        </w:numPr>
        <w:ind w:left="0" w:firstLine="0"/>
        <w:jc w:val="left"/>
        <w:rPr>
          <w:rFonts w:ascii="宋体" w:hAnsi="宋体"/>
          <w:szCs w:val="21"/>
        </w:rPr>
      </w:pPr>
      <w:r>
        <w:rPr>
          <w:rFonts w:hint="eastAsia" w:ascii="宋体" w:hAnsi="宋体"/>
          <w:szCs w:val="21"/>
        </w:rPr>
        <w:t>原智能监控系统软件升级，更新系统和界面（点表名称中文化、上位机界面以电子地图展现每个仓点的状态、上位机界面展示每个仓点光纤的通讯），优化非必要的监控点位。</w:t>
      </w:r>
    </w:p>
    <w:p w14:paraId="11749467">
      <w:pPr>
        <w:numPr>
          <w:ilvl w:val="1"/>
          <w:numId w:val="26"/>
        </w:numPr>
        <w:ind w:left="0" w:firstLine="0"/>
        <w:jc w:val="left"/>
        <w:rPr>
          <w:rFonts w:ascii="宋体" w:hAnsi="宋体"/>
          <w:color w:val="FF0000"/>
          <w:szCs w:val="21"/>
        </w:rPr>
      </w:pPr>
      <w:r>
        <w:rPr>
          <w:rFonts w:hint="eastAsia" w:ascii="宋体" w:hAnsi="宋体"/>
          <w:szCs w:val="21"/>
        </w:rPr>
        <w:t>上位升级后，按技术部划分的</w:t>
      </w:r>
      <w:r>
        <w:rPr>
          <w:rFonts w:ascii="宋体" w:hAnsi="宋体"/>
          <w:szCs w:val="21"/>
        </w:rPr>
        <w:t>IP</w:t>
      </w:r>
      <w:r>
        <w:rPr>
          <w:rFonts w:hint="eastAsia" w:ascii="宋体" w:hAnsi="宋体"/>
          <w:szCs w:val="21"/>
        </w:rPr>
        <w:t>段分配好</w:t>
      </w:r>
      <w:r>
        <w:rPr>
          <w:rFonts w:ascii="宋体" w:hAnsi="宋体"/>
          <w:szCs w:val="21"/>
        </w:rPr>
        <w:t>63个仓和新增8个控制柜的IP地址到PLC。</w:t>
      </w:r>
    </w:p>
    <w:p w14:paraId="426AD4C7">
      <w:pPr>
        <w:numPr>
          <w:ilvl w:val="1"/>
          <w:numId w:val="26"/>
        </w:numPr>
        <w:ind w:left="0" w:firstLine="0"/>
        <w:jc w:val="left"/>
        <w:rPr>
          <w:rFonts w:ascii="宋体" w:hAnsi="宋体"/>
          <w:szCs w:val="21"/>
        </w:rPr>
      </w:pPr>
      <w:r>
        <w:rPr>
          <w:rFonts w:hint="eastAsia" w:ascii="宋体" w:hAnsi="宋体"/>
          <w:szCs w:val="21"/>
        </w:rPr>
        <w:t>通过网关转发数据至枢纽楼并集成到枢纽楼上位机系统，枢纽楼上位机与管沟上位机同步。</w:t>
      </w:r>
    </w:p>
    <w:p w14:paraId="673A349F">
      <w:pPr>
        <w:spacing w:line="120" w:lineRule="atLeast"/>
        <w:outlineLvl w:val="1"/>
        <w:rPr>
          <w:rFonts w:ascii="宋体" w:hAnsi="宋体"/>
          <w:b/>
          <w:szCs w:val="21"/>
        </w:rPr>
      </w:pPr>
    </w:p>
    <w:p w14:paraId="2DE336F1">
      <w:pPr>
        <w:numPr>
          <w:ilvl w:val="0"/>
          <w:numId w:val="22"/>
        </w:numPr>
        <w:spacing w:line="120" w:lineRule="atLeast"/>
        <w:outlineLvl w:val="1"/>
        <w:rPr>
          <w:rFonts w:ascii="宋体" w:hAnsi="宋体"/>
          <w:b/>
          <w:szCs w:val="21"/>
        </w:rPr>
      </w:pPr>
      <w:r>
        <w:rPr>
          <w:rFonts w:hint="eastAsia" w:ascii="宋体" w:hAnsi="宋体"/>
          <w:b/>
          <w:szCs w:val="21"/>
        </w:rPr>
        <w:t>工程量（预算55万）</w:t>
      </w:r>
    </w:p>
    <w:tbl>
      <w:tblPr>
        <w:tblStyle w:val="19"/>
        <w:tblW w:w="9080" w:type="dxa"/>
        <w:tblInd w:w="93" w:type="dxa"/>
        <w:tblLayout w:type="autofit"/>
        <w:tblCellMar>
          <w:top w:w="0" w:type="dxa"/>
          <w:left w:w="108" w:type="dxa"/>
          <w:bottom w:w="0" w:type="dxa"/>
          <w:right w:w="108" w:type="dxa"/>
        </w:tblCellMar>
      </w:tblPr>
      <w:tblGrid>
        <w:gridCol w:w="426"/>
        <w:gridCol w:w="1734"/>
        <w:gridCol w:w="3680"/>
        <w:gridCol w:w="1080"/>
        <w:gridCol w:w="1080"/>
        <w:gridCol w:w="1080"/>
      </w:tblGrid>
      <w:tr w14:paraId="45AFBEC4">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BBB0454">
            <w:pPr>
              <w:widowControl/>
              <w:jc w:val="left"/>
              <w:rPr>
                <w:rFonts w:ascii="宋体" w:hAnsi="宋体" w:cs="Tahoma"/>
                <w:b/>
                <w:bCs/>
                <w:color w:val="000000"/>
                <w:kern w:val="0"/>
                <w:szCs w:val="21"/>
              </w:rPr>
            </w:pPr>
            <w:r>
              <w:rPr>
                <w:rFonts w:hint="eastAsia" w:ascii="宋体" w:hAnsi="宋体" w:cs="Tahoma"/>
                <w:b/>
                <w:bCs/>
                <w:color w:val="000000"/>
                <w:kern w:val="0"/>
                <w:szCs w:val="21"/>
              </w:rPr>
              <w:t>一、控制柜</w:t>
            </w:r>
          </w:p>
        </w:tc>
        <w:tc>
          <w:tcPr>
            <w:tcW w:w="3680" w:type="dxa"/>
            <w:tcBorders>
              <w:top w:val="single" w:color="auto" w:sz="4" w:space="0"/>
              <w:left w:val="nil"/>
              <w:bottom w:val="single" w:color="auto" w:sz="4" w:space="0"/>
              <w:right w:val="single" w:color="auto" w:sz="4" w:space="0"/>
            </w:tcBorders>
            <w:shd w:val="clear" w:color="000000" w:fill="FFFFFF"/>
            <w:noWrap/>
            <w:vAlign w:val="bottom"/>
          </w:tcPr>
          <w:p w14:paraId="3C767EB7">
            <w:pPr>
              <w:widowControl/>
              <w:jc w:val="center"/>
              <w:rPr>
                <w:rFonts w:ascii="宋体" w:hAnsi="宋体" w:cs="Tahoma"/>
                <w:b/>
                <w:bCs/>
                <w:color w:val="000000"/>
                <w:kern w:val="0"/>
                <w:szCs w:val="21"/>
              </w:rPr>
            </w:pPr>
            <w:r>
              <w:rPr>
                <w:rFonts w:hint="eastAsia" w:ascii="宋体" w:hAnsi="宋体" w:cs="Tahoma"/>
                <w:b/>
                <w:bCs/>
                <w:color w:val="000000"/>
                <w:kern w:val="0"/>
                <w:szCs w:val="21"/>
              </w:rPr>
              <w:t>规格需求</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09633F69">
            <w:pPr>
              <w:widowControl/>
              <w:jc w:val="center"/>
              <w:rPr>
                <w:rFonts w:ascii="宋体" w:hAnsi="宋体" w:cs="Tahoma"/>
                <w:b/>
                <w:bCs/>
                <w:color w:val="000000"/>
                <w:kern w:val="0"/>
                <w:szCs w:val="21"/>
              </w:rPr>
            </w:pPr>
            <w:r>
              <w:rPr>
                <w:rFonts w:hint="eastAsia" w:ascii="宋体" w:hAnsi="宋体" w:cs="Tahoma"/>
                <w:b/>
                <w:bCs/>
                <w:color w:val="000000"/>
                <w:kern w:val="0"/>
                <w:szCs w:val="21"/>
              </w:rPr>
              <w:t>品牌</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74F9ADA7">
            <w:pPr>
              <w:widowControl/>
              <w:jc w:val="center"/>
              <w:rPr>
                <w:rFonts w:ascii="宋体" w:hAnsi="宋体" w:cs="Tahoma"/>
                <w:b/>
                <w:bCs/>
                <w:color w:val="000000"/>
                <w:kern w:val="0"/>
                <w:szCs w:val="21"/>
              </w:rPr>
            </w:pPr>
            <w:r>
              <w:rPr>
                <w:rFonts w:hint="eastAsia" w:ascii="宋体" w:hAnsi="宋体" w:cs="Tahoma"/>
                <w:b/>
                <w:bCs/>
                <w:color w:val="000000"/>
                <w:kern w:val="0"/>
                <w:szCs w:val="21"/>
              </w:rPr>
              <w:t>数量</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541663DA">
            <w:pPr>
              <w:widowControl/>
              <w:jc w:val="center"/>
              <w:rPr>
                <w:rFonts w:ascii="宋体" w:hAnsi="宋体" w:cs="Tahoma"/>
                <w:b/>
                <w:bCs/>
                <w:color w:val="000000"/>
                <w:kern w:val="0"/>
                <w:szCs w:val="21"/>
              </w:rPr>
            </w:pPr>
            <w:r>
              <w:rPr>
                <w:rFonts w:hint="eastAsia" w:ascii="宋体" w:hAnsi="宋体" w:cs="Tahoma"/>
                <w:b/>
                <w:bCs/>
                <w:color w:val="000000"/>
                <w:kern w:val="0"/>
                <w:szCs w:val="21"/>
              </w:rPr>
              <w:t>单位</w:t>
            </w:r>
          </w:p>
        </w:tc>
      </w:tr>
      <w:tr w14:paraId="38FC91BA">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0142507F">
            <w:pPr>
              <w:widowControl/>
              <w:jc w:val="center"/>
              <w:rPr>
                <w:rFonts w:ascii="宋体" w:hAnsi="宋体" w:cs="Tahoma"/>
                <w:color w:val="000000"/>
                <w:kern w:val="0"/>
                <w:szCs w:val="21"/>
              </w:rPr>
            </w:pPr>
            <w:r>
              <w:rPr>
                <w:rFonts w:ascii="宋体" w:hAnsi="宋体" w:cs="Tahoma"/>
                <w:color w:val="000000"/>
                <w:kern w:val="0"/>
                <w:szCs w:val="21"/>
              </w:rPr>
              <w:t>1</w:t>
            </w:r>
          </w:p>
        </w:tc>
        <w:tc>
          <w:tcPr>
            <w:tcW w:w="1736" w:type="dxa"/>
            <w:tcBorders>
              <w:top w:val="nil"/>
              <w:left w:val="nil"/>
              <w:bottom w:val="single" w:color="auto" w:sz="4" w:space="0"/>
              <w:right w:val="single" w:color="auto" w:sz="4" w:space="0"/>
            </w:tcBorders>
            <w:shd w:val="clear" w:color="000000" w:fill="FFFFFF"/>
            <w:vAlign w:val="center"/>
          </w:tcPr>
          <w:p w14:paraId="6277C409">
            <w:pPr>
              <w:widowControl/>
              <w:jc w:val="left"/>
              <w:rPr>
                <w:rFonts w:ascii="宋体" w:hAnsi="宋体" w:cs="Tahoma"/>
                <w:color w:val="000000"/>
                <w:kern w:val="0"/>
                <w:szCs w:val="21"/>
              </w:rPr>
            </w:pPr>
            <w:r>
              <w:rPr>
                <w:rFonts w:ascii="宋体" w:hAnsi="宋体" w:cs="Tahoma"/>
                <w:color w:val="000000"/>
                <w:kern w:val="0"/>
                <w:szCs w:val="21"/>
              </w:rPr>
              <w:t>PLC-B-1</w:t>
            </w:r>
          </w:p>
        </w:tc>
        <w:tc>
          <w:tcPr>
            <w:tcW w:w="3680" w:type="dxa"/>
            <w:tcBorders>
              <w:top w:val="nil"/>
              <w:left w:val="nil"/>
              <w:bottom w:val="single" w:color="auto" w:sz="4" w:space="0"/>
              <w:right w:val="single" w:color="auto" w:sz="4" w:space="0"/>
            </w:tcBorders>
            <w:shd w:val="clear" w:color="auto" w:fill="auto"/>
          </w:tcPr>
          <w:p w14:paraId="1F9C85EC">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1DD04CE6">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5CEAD76">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89A40FC">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77B5C771">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004378CA">
            <w:pPr>
              <w:widowControl/>
              <w:jc w:val="center"/>
              <w:rPr>
                <w:rFonts w:ascii="宋体" w:hAnsi="宋体" w:cs="Tahoma"/>
                <w:color w:val="000000"/>
                <w:kern w:val="0"/>
                <w:szCs w:val="21"/>
              </w:rPr>
            </w:pPr>
            <w:r>
              <w:rPr>
                <w:rFonts w:ascii="宋体" w:hAnsi="宋体" w:cs="Tahoma"/>
                <w:color w:val="000000"/>
                <w:kern w:val="0"/>
                <w:szCs w:val="21"/>
              </w:rPr>
              <w:t>2</w:t>
            </w:r>
          </w:p>
        </w:tc>
        <w:tc>
          <w:tcPr>
            <w:tcW w:w="1736" w:type="dxa"/>
            <w:tcBorders>
              <w:top w:val="nil"/>
              <w:left w:val="nil"/>
              <w:bottom w:val="single" w:color="auto" w:sz="4" w:space="0"/>
              <w:right w:val="single" w:color="auto" w:sz="4" w:space="0"/>
            </w:tcBorders>
            <w:shd w:val="clear" w:color="000000" w:fill="FFFFFF"/>
            <w:vAlign w:val="center"/>
          </w:tcPr>
          <w:p w14:paraId="3B95BC83">
            <w:pPr>
              <w:widowControl/>
              <w:jc w:val="left"/>
              <w:rPr>
                <w:rFonts w:ascii="宋体" w:hAnsi="宋体" w:cs="Tahoma"/>
                <w:color w:val="000000"/>
                <w:kern w:val="0"/>
                <w:szCs w:val="21"/>
              </w:rPr>
            </w:pPr>
            <w:r>
              <w:rPr>
                <w:rFonts w:ascii="宋体" w:hAnsi="宋体" w:cs="Tahoma"/>
                <w:color w:val="000000"/>
                <w:kern w:val="0"/>
                <w:szCs w:val="21"/>
              </w:rPr>
              <w:t>PLC-B-2</w:t>
            </w:r>
          </w:p>
        </w:tc>
        <w:tc>
          <w:tcPr>
            <w:tcW w:w="3680" w:type="dxa"/>
            <w:tcBorders>
              <w:top w:val="nil"/>
              <w:left w:val="nil"/>
              <w:bottom w:val="single" w:color="auto" w:sz="4" w:space="0"/>
              <w:right w:val="single" w:color="auto" w:sz="4" w:space="0"/>
            </w:tcBorders>
            <w:shd w:val="clear" w:color="auto" w:fill="auto"/>
          </w:tcPr>
          <w:p w14:paraId="643A0338">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4152C0FA">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A904A98">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384FF4D1">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1D0BA3F3">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03D70499">
            <w:pPr>
              <w:widowControl/>
              <w:jc w:val="center"/>
              <w:rPr>
                <w:rFonts w:ascii="宋体" w:hAnsi="宋体" w:cs="Tahoma"/>
                <w:color w:val="000000"/>
                <w:kern w:val="0"/>
                <w:szCs w:val="21"/>
              </w:rPr>
            </w:pPr>
            <w:r>
              <w:rPr>
                <w:rFonts w:ascii="宋体" w:hAnsi="宋体" w:cs="Tahoma"/>
                <w:color w:val="000000"/>
                <w:kern w:val="0"/>
                <w:szCs w:val="21"/>
              </w:rPr>
              <w:t>3</w:t>
            </w:r>
          </w:p>
        </w:tc>
        <w:tc>
          <w:tcPr>
            <w:tcW w:w="1736" w:type="dxa"/>
            <w:tcBorders>
              <w:top w:val="nil"/>
              <w:left w:val="nil"/>
              <w:bottom w:val="single" w:color="auto" w:sz="4" w:space="0"/>
              <w:right w:val="single" w:color="auto" w:sz="4" w:space="0"/>
            </w:tcBorders>
            <w:shd w:val="clear" w:color="000000" w:fill="FFFFFF"/>
            <w:vAlign w:val="center"/>
          </w:tcPr>
          <w:p w14:paraId="61A04909">
            <w:pPr>
              <w:widowControl/>
              <w:jc w:val="left"/>
              <w:rPr>
                <w:rFonts w:ascii="宋体" w:hAnsi="宋体" w:cs="Tahoma"/>
                <w:color w:val="000000"/>
                <w:kern w:val="0"/>
                <w:szCs w:val="21"/>
              </w:rPr>
            </w:pPr>
            <w:r>
              <w:rPr>
                <w:rFonts w:ascii="宋体" w:hAnsi="宋体" w:cs="Tahoma"/>
                <w:color w:val="000000"/>
                <w:kern w:val="0"/>
                <w:szCs w:val="21"/>
              </w:rPr>
              <w:t>PLC-B-3</w:t>
            </w:r>
          </w:p>
        </w:tc>
        <w:tc>
          <w:tcPr>
            <w:tcW w:w="3680" w:type="dxa"/>
            <w:tcBorders>
              <w:top w:val="nil"/>
              <w:left w:val="nil"/>
              <w:bottom w:val="single" w:color="auto" w:sz="4" w:space="0"/>
              <w:right w:val="single" w:color="auto" w:sz="4" w:space="0"/>
            </w:tcBorders>
            <w:shd w:val="clear" w:color="auto" w:fill="auto"/>
          </w:tcPr>
          <w:p w14:paraId="060CFF97">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4BFFED2">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937B294">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0C2D963">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5BEE38C">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01F5E062">
            <w:pPr>
              <w:widowControl/>
              <w:jc w:val="center"/>
              <w:rPr>
                <w:rFonts w:ascii="宋体" w:hAnsi="宋体" w:cs="Tahoma"/>
                <w:color w:val="000000"/>
                <w:kern w:val="0"/>
                <w:szCs w:val="21"/>
              </w:rPr>
            </w:pPr>
            <w:r>
              <w:rPr>
                <w:rFonts w:ascii="宋体" w:hAnsi="宋体" w:cs="Tahoma"/>
                <w:color w:val="000000"/>
                <w:kern w:val="0"/>
                <w:szCs w:val="21"/>
              </w:rPr>
              <w:t>4</w:t>
            </w:r>
          </w:p>
        </w:tc>
        <w:tc>
          <w:tcPr>
            <w:tcW w:w="1736" w:type="dxa"/>
            <w:tcBorders>
              <w:top w:val="nil"/>
              <w:left w:val="nil"/>
              <w:bottom w:val="single" w:color="auto" w:sz="4" w:space="0"/>
              <w:right w:val="single" w:color="auto" w:sz="4" w:space="0"/>
            </w:tcBorders>
            <w:shd w:val="clear" w:color="000000" w:fill="FFFFFF"/>
            <w:vAlign w:val="center"/>
          </w:tcPr>
          <w:p w14:paraId="0E54C2D1">
            <w:pPr>
              <w:widowControl/>
              <w:jc w:val="left"/>
              <w:rPr>
                <w:rFonts w:ascii="宋体" w:hAnsi="宋体" w:cs="Tahoma"/>
                <w:color w:val="000000"/>
                <w:kern w:val="0"/>
                <w:szCs w:val="21"/>
              </w:rPr>
            </w:pPr>
            <w:r>
              <w:rPr>
                <w:rFonts w:ascii="宋体" w:hAnsi="宋体" w:cs="Tahoma"/>
                <w:color w:val="000000"/>
                <w:kern w:val="0"/>
                <w:szCs w:val="21"/>
              </w:rPr>
              <w:t>PLC-E-1</w:t>
            </w:r>
          </w:p>
        </w:tc>
        <w:tc>
          <w:tcPr>
            <w:tcW w:w="3680" w:type="dxa"/>
            <w:tcBorders>
              <w:top w:val="nil"/>
              <w:left w:val="nil"/>
              <w:bottom w:val="single" w:color="auto" w:sz="4" w:space="0"/>
              <w:right w:val="single" w:color="auto" w:sz="4" w:space="0"/>
            </w:tcBorders>
            <w:shd w:val="clear" w:color="auto" w:fill="auto"/>
          </w:tcPr>
          <w:p w14:paraId="7157B9F5">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02BEE4A">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36B4CC68">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2BC32A3D">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417A68FD">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6D1DC569">
            <w:pPr>
              <w:widowControl/>
              <w:jc w:val="center"/>
              <w:rPr>
                <w:rFonts w:ascii="宋体" w:hAnsi="宋体" w:cs="Tahoma"/>
                <w:color w:val="000000"/>
                <w:kern w:val="0"/>
                <w:szCs w:val="21"/>
              </w:rPr>
            </w:pPr>
            <w:r>
              <w:rPr>
                <w:rFonts w:ascii="宋体" w:hAnsi="宋体" w:cs="Tahoma"/>
                <w:color w:val="000000"/>
                <w:kern w:val="0"/>
                <w:szCs w:val="21"/>
              </w:rPr>
              <w:t>5</w:t>
            </w:r>
          </w:p>
        </w:tc>
        <w:tc>
          <w:tcPr>
            <w:tcW w:w="1736" w:type="dxa"/>
            <w:tcBorders>
              <w:top w:val="nil"/>
              <w:left w:val="nil"/>
              <w:bottom w:val="single" w:color="auto" w:sz="4" w:space="0"/>
              <w:right w:val="single" w:color="auto" w:sz="4" w:space="0"/>
            </w:tcBorders>
            <w:shd w:val="clear" w:color="000000" w:fill="FFFFFF"/>
            <w:vAlign w:val="center"/>
          </w:tcPr>
          <w:p w14:paraId="654C44D3">
            <w:pPr>
              <w:widowControl/>
              <w:jc w:val="left"/>
              <w:rPr>
                <w:rFonts w:ascii="宋体" w:hAnsi="宋体" w:cs="Tahoma"/>
                <w:color w:val="000000"/>
                <w:kern w:val="0"/>
                <w:szCs w:val="21"/>
              </w:rPr>
            </w:pPr>
            <w:r>
              <w:rPr>
                <w:rFonts w:ascii="宋体" w:hAnsi="宋体" w:cs="Tahoma"/>
                <w:color w:val="000000"/>
                <w:kern w:val="0"/>
                <w:szCs w:val="21"/>
              </w:rPr>
              <w:t>PLC-E-2</w:t>
            </w:r>
          </w:p>
        </w:tc>
        <w:tc>
          <w:tcPr>
            <w:tcW w:w="3680" w:type="dxa"/>
            <w:tcBorders>
              <w:top w:val="nil"/>
              <w:left w:val="nil"/>
              <w:bottom w:val="single" w:color="auto" w:sz="4" w:space="0"/>
              <w:right w:val="single" w:color="auto" w:sz="4" w:space="0"/>
            </w:tcBorders>
            <w:shd w:val="clear" w:color="auto" w:fill="auto"/>
          </w:tcPr>
          <w:p w14:paraId="2E5659E9">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25932B98">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E27F0C3">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68AAF94">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2631441F">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5F2DD476">
            <w:pPr>
              <w:widowControl/>
              <w:jc w:val="center"/>
              <w:rPr>
                <w:rFonts w:ascii="宋体" w:hAnsi="宋体" w:cs="Tahoma"/>
                <w:color w:val="000000"/>
                <w:kern w:val="0"/>
                <w:szCs w:val="21"/>
              </w:rPr>
            </w:pPr>
            <w:r>
              <w:rPr>
                <w:rFonts w:ascii="宋体" w:hAnsi="宋体" w:cs="Tahoma"/>
                <w:color w:val="000000"/>
                <w:kern w:val="0"/>
                <w:szCs w:val="21"/>
              </w:rPr>
              <w:t>6</w:t>
            </w:r>
          </w:p>
        </w:tc>
        <w:tc>
          <w:tcPr>
            <w:tcW w:w="1736" w:type="dxa"/>
            <w:tcBorders>
              <w:top w:val="nil"/>
              <w:left w:val="nil"/>
              <w:bottom w:val="single" w:color="auto" w:sz="4" w:space="0"/>
              <w:right w:val="single" w:color="auto" w:sz="4" w:space="0"/>
            </w:tcBorders>
            <w:shd w:val="clear" w:color="000000" w:fill="FFFFFF"/>
            <w:vAlign w:val="center"/>
          </w:tcPr>
          <w:p w14:paraId="21CD68EF">
            <w:pPr>
              <w:widowControl/>
              <w:jc w:val="left"/>
              <w:rPr>
                <w:rFonts w:ascii="宋体" w:hAnsi="宋体" w:cs="Tahoma"/>
                <w:color w:val="000000"/>
                <w:kern w:val="0"/>
                <w:szCs w:val="21"/>
              </w:rPr>
            </w:pPr>
            <w:r>
              <w:rPr>
                <w:rFonts w:ascii="宋体" w:hAnsi="宋体" w:cs="Tahoma"/>
                <w:color w:val="000000"/>
                <w:kern w:val="0"/>
                <w:szCs w:val="21"/>
              </w:rPr>
              <w:t>PLC-A-21</w:t>
            </w:r>
          </w:p>
        </w:tc>
        <w:tc>
          <w:tcPr>
            <w:tcW w:w="3680" w:type="dxa"/>
            <w:tcBorders>
              <w:top w:val="nil"/>
              <w:left w:val="nil"/>
              <w:bottom w:val="single" w:color="auto" w:sz="4" w:space="0"/>
              <w:right w:val="single" w:color="auto" w:sz="4" w:space="0"/>
            </w:tcBorders>
            <w:shd w:val="clear" w:color="auto" w:fill="auto"/>
          </w:tcPr>
          <w:p w14:paraId="69835608">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CA0EF94">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B9383A2">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3EE35F60">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6E48EB4">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6C2C261E">
            <w:pPr>
              <w:widowControl/>
              <w:jc w:val="center"/>
              <w:rPr>
                <w:rFonts w:ascii="宋体" w:hAnsi="宋体" w:cs="Tahoma"/>
                <w:color w:val="000000"/>
                <w:kern w:val="0"/>
                <w:szCs w:val="21"/>
              </w:rPr>
            </w:pPr>
            <w:r>
              <w:rPr>
                <w:rFonts w:ascii="宋体" w:hAnsi="宋体" w:cs="Tahoma"/>
                <w:color w:val="000000"/>
                <w:kern w:val="0"/>
                <w:szCs w:val="21"/>
              </w:rPr>
              <w:t>7</w:t>
            </w:r>
          </w:p>
        </w:tc>
        <w:tc>
          <w:tcPr>
            <w:tcW w:w="1736" w:type="dxa"/>
            <w:tcBorders>
              <w:top w:val="nil"/>
              <w:left w:val="nil"/>
              <w:bottom w:val="single" w:color="auto" w:sz="4" w:space="0"/>
              <w:right w:val="single" w:color="auto" w:sz="4" w:space="0"/>
            </w:tcBorders>
            <w:shd w:val="clear" w:color="000000" w:fill="FFFFFF"/>
            <w:vAlign w:val="center"/>
          </w:tcPr>
          <w:p w14:paraId="7D78DE64">
            <w:pPr>
              <w:widowControl/>
              <w:jc w:val="left"/>
              <w:rPr>
                <w:rFonts w:ascii="宋体" w:hAnsi="宋体" w:cs="Tahoma"/>
                <w:color w:val="000000"/>
                <w:kern w:val="0"/>
                <w:szCs w:val="21"/>
              </w:rPr>
            </w:pPr>
            <w:r>
              <w:rPr>
                <w:rFonts w:ascii="宋体" w:hAnsi="宋体" w:cs="Tahoma"/>
                <w:color w:val="000000"/>
                <w:kern w:val="0"/>
                <w:szCs w:val="21"/>
              </w:rPr>
              <w:t>PLC-A-22</w:t>
            </w:r>
          </w:p>
        </w:tc>
        <w:tc>
          <w:tcPr>
            <w:tcW w:w="3680" w:type="dxa"/>
            <w:tcBorders>
              <w:top w:val="nil"/>
              <w:left w:val="nil"/>
              <w:bottom w:val="single" w:color="auto" w:sz="4" w:space="0"/>
              <w:right w:val="single" w:color="auto" w:sz="4" w:space="0"/>
            </w:tcBorders>
            <w:shd w:val="clear" w:color="auto" w:fill="auto"/>
          </w:tcPr>
          <w:p w14:paraId="484D2A08">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4C3CFC19">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7F308F8">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AA41092">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230CD53">
        <w:tblPrEx>
          <w:tblCellMar>
            <w:top w:w="0" w:type="dxa"/>
            <w:left w:w="108" w:type="dxa"/>
            <w:bottom w:w="0" w:type="dxa"/>
            <w:right w:w="108" w:type="dxa"/>
          </w:tblCellMar>
        </w:tblPrEx>
        <w:trPr>
          <w:trHeight w:val="144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30957A03">
            <w:pPr>
              <w:widowControl/>
              <w:jc w:val="center"/>
              <w:rPr>
                <w:rFonts w:ascii="宋体" w:hAnsi="宋体" w:cs="Tahoma"/>
                <w:color w:val="000000"/>
                <w:kern w:val="0"/>
                <w:szCs w:val="21"/>
              </w:rPr>
            </w:pPr>
            <w:r>
              <w:rPr>
                <w:rFonts w:ascii="宋体" w:hAnsi="宋体" w:cs="Tahoma"/>
                <w:color w:val="000000"/>
                <w:kern w:val="0"/>
                <w:szCs w:val="21"/>
              </w:rPr>
              <w:t>8</w:t>
            </w:r>
          </w:p>
        </w:tc>
        <w:tc>
          <w:tcPr>
            <w:tcW w:w="1736" w:type="dxa"/>
            <w:tcBorders>
              <w:top w:val="nil"/>
              <w:left w:val="nil"/>
              <w:bottom w:val="single" w:color="auto" w:sz="4" w:space="0"/>
              <w:right w:val="single" w:color="auto" w:sz="4" w:space="0"/>
            </w:tcBorders>
            <w:shd w:val="clear" w:color="000000" w:fill="FFFFFF"/>
            <w:vAlign w:val="center"/>
          </w:tcPr>
          <w:p w14:paraId="39C46BF9">
            <w:pPr>
              <w:widowControl/>
              <w:jc w:val="left"/>
              <w:rPr>
                <w:rFonts w:ascii="宋体" w:hAnsi="宋体" w:cs="Tahoma"/>
                <w:color w:val="000000"/>
                <w:kern w:val="0"/>
                <w:szCs w:val="21"/>
              </w:rPr>
            </w:pPr>
            <w:r>
              <w:rPr>
                <w:rFonts w:ascii="宋体" w:hAnsi="宋体" w:cs="Tahoma"/>
                <w:color w:val="000000"/>
                <w:kern w:val="0"/>
                <w:szCs w:val="21"/>
              </w:rPr>
              <w:t>PLC-A-23</w:t>
            </w:r>
          </w:p>
        </w:tc>
        <w:tc>
          <w:tcPr>
            <w:tcW w:w="3680" w:type="dxa"/>
            <w:tcBorders>
              <w:top w:val="nil"/>
              <w:left w:val="nil"/>
              <w:bottom w:val="single" w:color="auto" w:sz="4" w:space="0"/>
              <w:right w:val="single" w:color="auto" w:sz="4" w:space="0"/>
            </w:tcBorders>
            <w:shd w:val="clear" w:color="auto" w:fill="auto"/>
          </w:tcPr>
          <w:p w14:paraId="05F2C1C9">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6D21C50">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7E4BFCDF">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5A36685A">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F9F4598">
        <w:tblPrEx>
          <w:tblCellMar>
            <w:top w:w="0" w:type="dxa"/>
            <w:left w:w="108" w:type="dxa"/>
            <w:bottom w:w="0" w:type="dxa"/>
            <w:right w:w="108" w:type="dxa"/>
          </w:tblCellMar>
        </w:tblPrEx>
        <w:trPr>
          <w:trHeight w:val="285" w:hRule="atLeast"/>
        </w:trPr>
        <w:tc>
          <w:tcPr>
            <w:tcW w:w="584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08CE4E30">
            <w:pPr>
              <w:widowControl/>
              <w:jc w:val="left"/>
              <w:rPr>
                <w:rFonts w:ascii="宋体" w:hAnsi="宋体" w:cs="Tahoma"/>
                <w:b/>
                <w:bCs/>
                <w:color w:val="000000"/>
                <w:kern w:val="0"/>
                <w:szCs w:val="21"/>
              </w:rPr>
            </w:pPr>
            <w:r>
              <w:rPr>
                <w:rFonts w:hint="eastAsia" w:ascii="宋体" w:hAnsi="宋体" w:cs="Tahoma"/>
                <w:b/>
                <w:bCs/>
                <w:color w:val="000000"/>
                <w:kern w:val="0"/>
                <w:szCs w:val="21"/>
              </w:rPr>
              <w:t>二、网络通信柜</w:t>
            </w:r>
          </w:p>
        </w:tc>
        <w:tc>
          <w:tcPr>
            <w:tcW w:w="1080" w:type="dxa"/>
            <w:tcBorders>
              <w:top w:val="nil"/>
              <w:left w:val="nil"/>
              <w:bottom w:val="single" w:color="auto" w:sz="4" w:space="0"/>
              <w:right w:val="single" w:color="auto" w:sz="4" w:space="0"/>
            </w:tcBorders>
            <w:shd w:val="clear" w:color="000000" w:fill="FFFFFF"/>
            <w:noWrap/>
            <w:vAlign w:val="bottom"/>
          </w:tcPr>
          <w:p w14:paraId="2A6B65A2">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1E106688">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61F244A9">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01FDB05C">
        <w:tblPrEx>
          <w:tblCellMar>
            <w:top w:w="0" w:type="dxa"/>
            <w:left w:w="108" w:type="dxa"/>
            <w:bottom w:w="0" w:type="dxa"/>
            <w:right w:w="108" w:type="dxa"/>
          </w:tblCellMar>
        </w:tblPrEx>
        <w:trPr>
          <w:trHeight w:val="76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4C9D2606">
            <w:pPr>
              <w:widowControl/>
              <w:jc w:val="center"/>
              <w:rPr>
                <w:rFonts w:ascii="宋体" w:hAnsi="宋体" w:cs="Tahoma"/>
                <w:color w:val="000000"/>
                <w:kern w:val="0"/>
                <w:szCs w:val="21"/>
              </w:rPr>
            </w:pPr>
            <w:r>
              <w:rPr>
                <w:rFonts w:ascii="宋体" w:hAnsi="宋体" w:cs="Tahoma"/>
                <w:color w:val="000000"/>
                <w:kern w:val="0"/>
                <w:szCs w:val="21"/>
              </w:rPr>
              <w:t>1</w:t>
            </w:r>
          </w:p>
        </w:tc>
        <w:tc>
          <w:tcPr>
            <w:tcW w:w="1736" w:type="dxa"/>
            <w:tcBorders>
              <w:top w:val="nil"/>
              <w:left w:val="nil"/>
              <w:bottom w:val="single" w:color="auto" w:sz="4" w:space="0"/>
              <w:right w:val="single" w:color="auto" w:sz="4" w:space="0"/>
            </w:tcBorders>
            <w:shd w:val="clear" w:color="000000" w:fill="FFFFFF"/>
            <w:vAlign w:val="center"/>
          </w:tcPr>
          <w:p w14:paraId="00012228">
            <w:pPr>
              <w:widowControl/>
              <w:jc w:val="left"/>
              <w:rPr>
                <w:rFonts w:ascii="宋体" w:hAnsi="宋体" w:cs="Tahoma"/>
                <w:color w:val="000000"/>
                <w:kern w:val="0"/>
                <w:szCs w:val="21"/>
              </w:rPr>
            </w:pPr>
            <w:r>
              <w:rPr>
                <w:rFonts w:hint="eastAsia" w:ascii="宋体" w:hAnsi="宋体" w:cs="Tahoma"/>
                <w:color w:val="000000"/>
                <w:kern w:val="0"/>
                <w:szCs w:val="21"/>
              </w:rPr>
              <w:t>控制柜</w:t>
            </w:r>
          </w:p>
        </w:tc>
        <w:tc>
          <w:tcPr>
            <w:tcW w:w="3680" w:type="dxa"/>
            <w:tcBorders>
              <w:top w:val="nil"/>
              <w:left w:val="nil"/>
              <w:bottom w:val="single" w:color="auto" w:sz="4" w:space="0"/>
              <w:right w:val="single" w:color="auto" w:sz="4" w:space="0"/>
            </w:tcBorders>
            <w:shd w:val="clear" w:color="000000" w:fill="FFFFFF"/>
            <w:vAlign w:val="bottom"/>
          </w:tcPr>
          <w:p w14:paraId="73BD7414">
            <w:pPr>
              <w:widowControl/>
              <w:jc w:val="left"/>
              <w:rPr>
                <w:rFonts w:ascii="宋体" w:hAnsi="宋体" w:cs="Tahoma"/>
                <w:color w:val="000000"/>
                <w:kern w:val="0"/>
                <w:szCs w:val="21"/>
              </w:rPr>
            </w:pPr>
            <w:r>
              <w:rPr>
                <w:rFonts w:hint="eastAsia" w:ascii="宋体" w:hAnsi="宋体" w:cs="Tahoma"/>
                <w:color w:val="000000"/>
                <w:kern w:val="0"/>
                <w:szCs w:val="21"/>
              </w:rPr>
              <w:t>含箱体，光纤盒、光纤交换机</w:t>
            </w:r>
            <w:r>
              <w:rPr>
                <w:rFonts w:ascii="宋体" w:hAnsi="宋体" w:cs="Tahoma"/>
                <w:color w:val="000000"/>
                <w:kern w:val="0"/>
                <w:szCs w:val="21"/>
              </w:rPr>
              <w:t>2光8口、光模块、断路器、电源、</w:t>
            </w:r>
            <w:r>
              <w:rPr>
                <w:rFonts w:hint="eastAsia" w:ascii="宋体" w:hAnsi="宋体" w:cs="Tahoma"/>
                <w:color w:val="000000"/>
                <w:kern w:val="0"/>
                <w:szCs w:val="21"/>
              </w:rPr>
              <w:t>快融保险丝、接线排子、及内部接线等控制附件。</w:t>
            </w:r>
          </w:p>
        </w:tc>
        <w:tc>
          <w:tcPr>
            <w:tcW w:w="1080" w:type="dxa"/>
            <w:tcBorders>
              <w:top w:val="nil"/>
              <w:left w:val="nil"/>
              <w:bottom w:val="single" w:color="auto" w:sz="4" w:space="0"/>
              <w:right w:val="single" w:color="auto" w:sz="4" w:space="0"/>
            </w:tcBorders>
            <w:shd w:val="clear" w:color="000000" w:fill="FFFFFF"/>
            <w:noWrap/>
            <w:vAlign w:val="center"/>
          </w:tcPr>
          <w:p w14:paraId="4113DAF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26578B14">
            <w:pPr>
              <w:widowControl/>
              <w:jc w:val="center"/>
              <w:rPr>
                <w:rFonts w:ascii="宋体" w:hAnsi="宋体" w:cs="Tahoma"/>
                <w:color w:val="000000"/>
                <w:kern w:val="0"/>
                <w:szCs w:val="21"/>
              </w:rPr>
            </w:pPr>
            <w:r>
              <w:rPr>
                <w:rFonts w:ascii="宋体" w:hAnsi="宋体" w:cs="Tahoma"/>
                <w:color w:val="000000"/>
                <w:kern w:val="0"/>
                <w:szCs w:val="21"/>
              </w:rPr>
              <w:t>3</w:t>
            </w:r>
          </w:p>
        </w:tc>
        <w:tc>
          <w:tcPr>
            <w:tcW w:w="1080" w:type="dxa"/>
            <w:tcBorders>
              <w:top w:val="nil"/>
              <w:left w:val="nil"/>
              <w:bottom w:val="single" w:color="auto" w:sz="4" w:space="0"/>
              <w:right w:val="single" w:color="auto" w:sz="4" w:space="0"/>
            </w:tcBorders>
            <w:shd w:val="clear" w:color="000000" w:fill="FFFFFF"/>
            <w:noWrap/>
            <w:vAlign w:val="center"/>
          </w:tcPr>
          <w:p w14:paraId="554057B9">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2023DB2A">
        <w:tblPrEx>
          <w:tblCellMar>
            <w:top w:w="0" w:type="dxa"/>
            <w:left w:w="108" w:type="dxa"/>
            <w:bottom w:w="0" w:type="dxa"/>
            <w:right w:w="108" w:type="dxa"/>
          </w:tblCellMar>
        </w:tblPrEx>
        <w:trPr>
          <w:trHeight w:val="285" w:hRule="atLeast"/>
        </w:trPr>
        <w:tc>
          <w:tcPr>
            <w:tcW w:w="584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44861F57">
            <w:pPr>
              <w:widowControl/>
              <w:jc w:val="left"/>
              <w:rPr>
                <w:rFonts w:ascii="宋体" w:hAnsi="宋体" w:cs="Tahoma"/>
                <w:b/>
                <w:bCs/>
                <w:color w:val="000000"/>
                <w:kern w:val="0"/>
                <w:szCs w:val="21"/>
              </w:rPr>
            </w:pPr>
            <w:r>
              <w:rPr>
                <w:rFonts w:hint="eastAsia" w:ascii="宋体" w:hAnsi="宋体" w:cs="Tahoma"/>
                <w:b/>
                <w:bCs/>
                <w:color w:val="000000"/>
                <w:kern w:val="0"/>
                <w:szCs w:val="21"/>
              </w:rPr>
              <w:t>三、通讯网关接口</w:t>
            </w:r>
          </w:p>
        </w:tc>
        <w:tc>
          <w:tcPr>
            <w:tcW w:w="1080" w:type="dxa"/>
            <w:tcBorders>
              <w:top w:val="nil"/>
              <w:left w:val="nil"/>
              <w:bottom w:val="single" w:color="auto" w:sz="4" w:space="0"/>
              <w:right w:val="single" w:color="auto" w:sz="4" w:space="0"/>
            </w:tcBorders>
            <w:shd w:val="clear" w:color="000000" w:fill="FFFFFF"/>
            <w:noWrap/>
            <w:vAlign w:val="bottom"/>
          </w:tcPr>
          <w:p w14:paraId="15F38EFE">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1BB603C2">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575A2AC7">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7051A680">
        <w:tblPrEx>
          <w:tblCellMar>
            <w:top w:w="0" w:type="dxa"/>
            <w:left w:w="108" w:type="dxa"/>
            <w:bottom w:w="0" w:type="dxa"/>
            <w:right w:w="108" w:type="dxa"/>
          </w:tblCellMar>
        </w:tblPrEx>
        <w:trPr>
          <w:trHeight w:val="1275" w:hRule="atLeast"/>
        </w:trPr>
        <w:tc>
          <w:tcPr>
            <w:tcW w:w="424" w:type="dxa"/>
            <w:tcBorders>
              <w:top w:val="nil"/>
              <w:left w:val="single" w:color="auto" w:sz="4" w:space="0"/>
              <w:bottom w:val="single" w:color="auto" w:sz="4" w:space="0"/>
              <w:right w:val="single" w:color="auto" w:sz="4" w:space="0"/>
            </w:tcBorders>
            <w:shd w:val="clear" w:color="auto" w:fill="auto"/>
            <w:noWrap/>
            <w:vAlign w:val="center"/>
          </w:tcPr>
          <w:p w14:paraId="059B4799">
            <w:pPr>
              <w:widowControl/>
              <w:jc w:val="center"/>
              <w:rPr>
                <w:rFonts w:ascii="宋体" w:hAnsi="宋体" w:cs="Tahoma"/>
                <w:color w:val="000000"/>
                <w:kern w:val="0"/>
                <w:szCs w:val="21"/>
              </w:rPr>
            </w:pPr>
            <w:r>
              <w:rPr>
                <w:rFonts w:ascii="宋体" w:hAnsi="宋体" w:cs="Tahoma"/>
                <w:color w:val="000000"/>
                <w:kern w:val="0"/>
                <w:szCs w:val="21"/>
              </w:rPr>
              <w:t>1</w:t>
            </w:r>
          </w:p>
        </w:tc>
        <w:tc>
          <w:tcPr>
            <w:tcW w:w="1736" w:type="dxa"/>
            <w:tcBorders>
              <w:top w:val="nil"/>
              <w:left w:val="nil"/>
              <w:bottom w:val="single" w:color="auto" w:sz="4" w:space="0"/>
              <w:right w:val="single" w:color="auto" w:sz="4" w:space="0"/>
            </w:tcBorders>
            <w:shd w:val="clear" w:color="auto" w:fill="auto"/>
            <w:vAlign w:val="center"/>
          </w:tcPr>
          <w:p w14:paraId="0CCA559A">
            <w:pPr>
              <w:widowControl/>
              <w:jc w:val="left"/>
              <w:rPr>
                <w:rFonts w:ascii="宋体" w:hAnsi="宋体" w:cs="Tahoma"/>
                <w:color w:val="000000"/>
                <w:kern w:val="0"/>
                <w:szCs w:val="21"/>
              </w:rPr>
            </w:pPr>
            <w:r>
              <w:rPr>
                <w:rFonts w:hint="eastAsia" w:ascii="宋体" w:hAnsi="宋体" w:cs="Tahoma"/>
                <w:color w:val="000000"/>
                <w:kern w:val="0"/>
                <w:szCs w:val="21"/>
              </w:rPr>
              <w:t>智能网关</w:t>
            </w:r>
          </w:p>
        </w:tc>
        <w:tc>
          <w:tcPr>
            <w:tcW w:w="3680" w:type="dxa"/>
            <w:tcBorders>
              <w:top w:val="nil"/>
              <w:left w:val="nil"/>
              <w:bottom w:val="single" w:color="auto" w:sz="4" w:space="0"/>
              <w:right w:val="single" w:color="auto" w:sz="4" w:space="0"/>
            </w:tcBorders>
            <w:shd w:val="clear" w:color="auto" w:fill="auto"/>
            <w:vAlign w:val="bottom"/>
          </w:tcPr>
          <w:p w14:paraId="2468A3AC">
            <w:pPr>
              <w:widowControl/>
              <w:jc w:val="left"/>
              <w:rPr>
                <w:rFonts w:ascii="宋体" w:hAnsi="宋体" w:cs="Tahoma"/>
                <w:color w:val="000000"/>
                <w:kern w:val="0"/>
                <w:szCs w:val="21"/>
              </w:rPr>
            </w:pPr>
            <w:r>
              <w:rPr>
                <w:rFonts w:ascii="宋体" w:hAnsi="宋体" w:cs="Tahoma"/>
                <w:color w:val="000000"/>
                <w:kern w:val="0"/>
                <w:szCs w:val="21"/>
              </w:rPr>
              <w:t>4网口（不同网段）以上，10串口（485或232）以上，采集点数5000点以上，不限采集驱动，不限转发驱动，不限转发点数，配套软件编辑平台，网关管理平台，与枢纽楼大屏网关平台兼容</w:t>
            </w:r>
          </w:p>
        </w:tc>
        <w:tc>
          <w:tcPr>
            <w:tcW w:w="1080" w:type="dxa"/>
            <w:tcBorders>
              <w:top w:val="nil"/>
              <w:left w:val="nil"/>
              <w:bottom w:val="single" w:color="auto" w:sz="4" w:space="0"/>
              <w:right w:val="single" w:color="auto" w:sz="4" w:space="0"/>
            </w:tcBorders>
            <w:shd w:val="clear" w:color="auto" w:fill="auto"/>
            <w:noWrap/>
            <w:vAlign w:val="bottom"/>
          </w:tcPr>
          <w:p w14:paraId="6413EE82">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1E59597A">
            <w:pPr>
              <w:widowControl/>
              <w:jc w:val="center"/>
              <w:rPr>
                <w:rFonts w:ascii="宋体" w:hAnsi="宋体" w:cs="Tahoma"/>
                <w:color w:val="000000"/>
                <w:kern w:val="0"/>
                <w:szCs w:val="21"/>
              </w:rPr>
            </w:pPr>
            <w:r>
              <w:rPr>
                <w:rFonts w:ascii="宋体" w:hAnsi="宋体" w:cs="Tahoma"/>
                <w:color w:val="000000"/>
                <w:kern w:val="0"/>
                <w:szCs w:val="21"/>
              </w:rPr>
              <w:t>2</w:t>
            </w:r>
          </w:p>
        </w:tc>
        <w:tc>
          <w:tcPr>
            <w:tcW w:w="1080" w:type="dxa"/>
            <w:tcBorders>
              <w:top w:val="nil"/>
              <w:left w:val="nil"/>
              <w:bottom w:val="single" w:color="auto" w:sz="4" w:space="0"/>
              <w:right w:val="single" w:color="auto" w:sz="4" w:space="0"/>
            </w:tcBorders>
            <w:shd w:val="clear" w:color="auto" w:fill="auto"/>
            <w:noWrap/>
            <w:vAlign w:val="center"/>
          </w:tcPr>
          <w:p w14:paraId="01EF0766">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70F8CA84">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BD25E15">
            <w:pPr>
              <w:widowControl/>
              <w:jc w:val="left"/>
              <w:rPr>
                <w:rFonts w:ascii="宋体" w:hAnsi="宋体" w:cs="Tahoma"/>
                <w:b/>
                <w:bCs/>
                <w:color w:val="000000"/>
                <w:kern w:val="0"/>
                <w:szCs w:val="21"/>
              </w:rPr>
            </w:pPr>
            <w:r>
              <w:rPr>
                <w:rFonts w:hint="eastAsia" w:ascii="宋体" w:hAnsi="宋体" w:cs="Tahoma"/>
                <w:b/>
                <w:bCs/>
                <w:color w:val="000000"/>
                <w:kern w:val="0"/>
                <w:szCs w:val="21"/>
              </w:rPr>
              <w:t>四、施工</w:t>
            </w:r>
          </w:p>
        </w:tc>
        <w:tc>
          <w:tcPr>
            <w:tcW w:w="3680" w:type="dxa"/>
            <w:tcBorders>
              <w:top w:val="nil"/>
              <w:left w:val="nil"/>
              <w:bottom w:val="single" w:color="auto" w:sz="4" w:space="0"/>
              <w:right w:val="single" w:color="auto" w:sz="4" w:space="0"/>
            </w:tcBorders>
            <w:shd w:val="clear" w:color="000000" w:fill="FFFFFF"/>
            <w:noWrap/>
            <w:vAlign w:val="bottom"/>
          </w:tcPr>
          <w:p w14:paraId="26FD2A00">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30DBE42C">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0DEB5FF3">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69457FA3">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13397939">
        <w:tblPrEx>
          <w:tblCellMar>
            <w:top w:w="0" w:type="dxa"/>
            <w:left w:w="108" w:type="dxa"/>
            <w:bottom w:w="0" w:type="dxa"/>
            <w:right w:w="108" w:type="dxa"/>
          </w:tblCellMar>
        </w:tblPrEx>
        <w:trPr>
          <w:trHeight w:val="51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50280851">
            <w:pPr>
              <w:widowControl/>
              <w:jc w:val="center"/>
              <w:rPr>
                <w:rFonts w:ascii="宋体" w:hAnsi="宋体" w:cs="Tahoma"/>
                <w:color w:val="000000"/>
                <w:kern w:val="0"/>
                <w:szCs w:val="21"/>
              </w:rPr>
            </w:pPr>
            <w:r>
              <w:rPr>
                <w:rFonts w:ascii="宋体" w:hAnsi="宋体" w:cs="Tahoma"/>
                <w:color w:val="000000"/>
                <w:kern w:val="0"/>
                <w:szCs w:val="21"/>
              </w:rPr>
              <w:t>1</w:t>
            </w:r>
          </w:p>
        </w:tc>
        <w:tc>
          <w:tcPr>
            <w:tcW w:w="1736" w:type="dxa"/>
            <w:tcBorders>
              <w:top w:val="nil"/>
              <w:left w:val="nil"/>
              <w:bottom w:val="single" w:color="auto" w:sz="4" w:space="0"/>
              <w:right w:val="single" w:color="auto" w:sz="4" w:space="0"/>
            </w:tcBorders>
            <w:shd w:val="clear" w:color="000000" w:fill="FFFFFF"/>
          </w:tcPr>
          <w:p w14:paraId="5CB42D10">
            <w:pPr>
              <w:widowControl/>
              <w:jc w:val="left"/>
              <w:rPr>
                <w:rFonts w:ascii="宋体" w:hAnsi="宋体" w:cs="Tahoma"/>
                <w:color w:val="000000"/>
                <w:kern w:val="0"/>
                <w:szCs w:val="21"/>
              </w:rPr>
            </w:pPr>
            <w:r>
              <w:rPr>
                <w:rFonts w:hint="eastAsia" w:ascii="宋体" w:hAnsi="宋体" w:cs="Tahoma"/>
                <w:color w:val="000000"/>
                <w:kern w:val="0"/>
                <w:szCs w:val="21"/>
              </w:rPr>
              <w:t>工控机</w:t>
            </w:r>
          </w:p>
        </w:tc>
        <w:tc>
          <w:tcPr>
            <w:tcW w:w="3680" w:type="dxa"/>
            <w:tcBorders>
              <w:top w:val="nil"/>
              <w:left w:val="nil"/>
              <w:bottom w:val="single" w:color="auto" w:sz="4" w:space="0"/>
              <w:right w:val="single" w:color="auto" w:sz="4" w:space="0"/>
            </w:tcBorders>
            <w:shd w:val="clear" w:color="000000" w:fill="FFFFFF"/>
          </w:tcPr>
          <w:p w14:paraId="01F9746A">
            <w:pPr>
              <w:widowControl/>
              <w:jc w:val="left"/>
              <w:rPr>
                <w:rFonts w:ascii="宋体" w:hAnsi="宋体" w:cs="Tahoma"/>
                <w:color w:val="000000"/>
                <w:kern w:val="0"/>
                <w:szCs w:val="21"/>
              </w:rPr>
            </w:pPr>
            <w:r>
              <w:rPr>
                <w:rFonts w:hint="eastAsia" w:ascii="宋体" w:hAnsi="宋体" w:cs="Tahoma"/>
                <w:color w:val="000000"/>
                <w:kern w:val="0"/>
                <w:szCs w:val="21"/>
              </w:rPr>
              <w:t>主机</w:t>
            </w:r>
            <w:r>
              <w:rPr>
                <w:rFonts w:ascii="宋体" w:hAnsi="宋体" w:cs="Tahoma"/>
                <w:color w:val="000000"/>
                <w:kern w:val="0"/>
                <w:szCs w:val="21"/>
              </w:rPr>
              <w:t>+23.8英寸显示器，13代i5-1340016G256GSSD+1TB</w:t>
            </w:r>
          </w:p>
        </w:tc>
        <w:tc>
          <w:tcPr>
            <w:tcW w:w="1080" w:type="dxa"/>
            <w:tcBorders>
              <w:top w:val="nil"/>
              <w:left w:val="nil"/>
              <w:bottom w:val="single" w:color="auto" w:sz="4" w:space="0"/>
              <w:right w:val="single" w:color="auto" w:sz="4" w:space="0"/>
            </w:tcBorders>
            <w:shd w:val="clear" w:color="000000" w:fill="FFFFFF"/>
            <w:noWrap/>
            <w:vAlign w:val="bottom"/>
          </w:tcPr>
          <w:p w14:paraId="267E155D">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47752E1">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263FCB0F">
            <w:pPr>
              <w:widowControl/>
              <w:jc w:val="center"/>
              <w:rPr>
                <w:rFonts w:ascii="宋体" w:hAnsi="宋体" w:cs="Tahoma"/>
                <w:color w:val="000000"/>
                <w:kern w:val="0"/>
                <w:szCs w:val="21"/>
              </w:rPr>
            </w:pPr>
            <w:r>
              <w:rPr>
                <w:rFonts w:hint="eastAsia" w:ascii="宋体" w:hAnsi="宋体" w:cs="Tahoma"/>
                <w:color w:val="000000"/>
                <w:kern w:val="0"/>
                <w:szCs w:val="21"/>
              </w:rPr>
              <w:t>台</w:t>
            </w:r>
          </w:p>
        </w:tc>
      </w:tr>
      <w:tr w14:paraId="300A68DA">
        <w:tblPrEx>
          <w:tblCellMar>
            <w:top w:w="0" w:type="dxa"/>
            <w:left w:w="108" w:type="dxa"/>
            <w:bottom w:w="0" w:type="dxa"/>
            <w:right w:w="108" w:type="dxa"/>
          </w:tblCellMar>
        </w:tblPrEx>
        <w:trPr>
          <w:trHeight w:val="28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684335A6">
            <w:pPr>
              <w:widowControl/>
              <w:jc w:val="center"/>
              <w:rPr>
                <w:rFonts w:ascii="宋体" w:hAnsi="宋体" w:cs="Tahoma"/>
                <w:color w:val="000000"/>
                <w:kern w:val="0"/>
                <w:szCs w:val="21"/>
              </w:rPr>
            </w:pPr>
            <w:r>
              <w:rPr>
                <w:rFonts w:ascii="宋体" w:hAnsi="宋体" w:cs="Tahoma"/>
                <w:color w:val="000000"/>
                <w:kern w:val="0"/>
                <w:szCs w:val="21"/>
              </w:rPr>
              <w:t>2</w:t>
            </w:r>
          </w:p>
        </w:tc>
        <w:tc>
          <w:tcPr>
            <w:tcW w:w="1736" w:type="dxa"/>
            <w:tcBorders>
              <w:top w:val="nil"/>
              <w:left w:val="nil"/>
              <w:bottom w:val="single" w:color="auto" w:sz="4" w:space="0"/>
              <w:right w:val="single" w:color="auto" w:sz="4" w:space="0"/>
            </w:tcBorders>
            <w:shd w:val="clear" w:color="000000" w:fill="FFFFFF"/>
            <w:vAlign w:val="bottom"/>
          </w:tcPr>
          <w:p w14:paraId="54CBD1EC">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43708728">
            <w:pPr>
              <w:widowControl/>
              <w:jc w:val="left"/>
              <w:rPr>
                <w:rFonts w:ascii="宋体" w:hAnsi="宋体" w:cs="Tahoma"/>
                <w:color w:val="000000"/>
                <w:kern w:val="0"/>
                <w:szCs w:val="21"/>
              </w:rPr>
            </w:pPr>
            <w:r>
              <w:rPr>
                <w:rFonts w:ascii="宋体" w:hAnsi="宋体" w:cs="Tahoma"/>
                <w:color w:val="000000"/>
                <w:kern w:val="0"/>
                <w:szCs w:val="21"/>
              </w:rPr>
              <w:t>RVV8*1.0</w:t>
            </w:r>
          </w:p>
        </w:tc>
        <w:tc>
          <w:tcPr>
            <w:tcW w:w="1080" w:type="dxa"/>
            <w:tcBorders>
              <w:top w:val="nil"/>
              <w:left w:val="nil"/>
              <w:bottom w:val="single" w:color="auto" w:sz="4" w:space="0"/>
              <w:right w:val="single" w:color="auto" w:sz="4" w:space="0"/>
            </w:tcBorders>
            <w:shd w:val="clear" w:color="000000" w:fill="FFFFFF"/>
            <w:noWrap/>
            <w:vAlign w:val="center"/>
          </w:tcPr>
          <w:p w14:paraId="0EA66BBD">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B203D38">
            <w:pPr>
              <w:widowControl/>
              <w:jc w:val="center"/>
              <w:rPr>
                <w:rFonts w:ascii="宋体" w:hAnsi="宋体" w:cs="Tahoma"/>
                <w:color w:val="000000"/>
                <w:kern w:val="0"/>
                <w:szCs w:val="21"/>
              </w:rPr>
            </w:pPr>
            <w:r>
              <w:rPr>
                <w:rFonts w:ascii="宋体" w:hAnsi="宋体" w:cs="Tahoma"/>
                <w:color w:val="000000"/>
                <w:kern w:val="0"/>
                <w:szCs w:val="21"/>
              </w:rPr>
              <w:t>3000</w:t>
            </w:r>
          </w:p>
        </w:tc>
        <w:tc>
          <w:tcPr>
            <w:tcW w:w="1080" w:type="dxa"/>
            <w:tcBorders>
              <w:top w:val="nil"/>
              <w:left w:val="nil"/>
              <w:bottom w:val="single" w:color="auto" w:sz="4" w:space="0"/>
              <w:right w:val="single" w:color="auto" w:sz="4" w:space="0"/>
            </w:tcBorders>
            <w:shd w:val="clear" w:color="000000" w:fill="FFFFFF"/>
            <w:noWrap/>
            <w:vAlign w:val="center"/>
          </w:tcPr>
          <w:p w14:paraId="5834E6C2">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5FDAD6EC">
        <w:tblPrEx>
          <w:tblCellMar>
            <w:top w:w="0" w:type="dxa"/>
            <w:left w:w="108" w:type="dxa"/>
            <w:bottom w:w="0" w:type="dxa"/>
            <w:right w:w="108" w:type="dxa"/>
          </w:tblCellMar>
        </w:tblPrEx>
        <w:trPr>
          <w:trHeight w:val="28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46E2360B">
            <w:pPr>
              <w:widowControl/>
              <w:jc w:val="center"/>
              <w:rPr>
                <w:rFonts w:ascii="宋体" w:hAnsi="宋体" w:cs="Tahoma"/>
                <w:color w:val="000000"/>
                <w:kern w:val="0"/>
                <w:szCs w:val="21"/>
              </w:rPr>
            </w:pPr>
            <w:r>
              <w:rPr>
                <w:rFonts w:ascii="宋体" w:hAnsi="宋体" w:cs="Tahoma"/>
                <w:color w:val="000000"/>
                <w:kern w:val="0"/>
                <w:szCs w:val="21"/>
              </w:rPr>
              <w:t>3</w:t>
            </w:r>
          </w:p>
        </w:tc>
        <w:tc>
          <w:tcPr>
            <w:tcW w:w="1736" w:type="dxa"/>
            <w:tcBorders>
              <w:top w:val="nil"/>
              <w:left w:val="nil"/>
              <w:bottom w:val="single" w:color="auto" w:sz="4" w:space="0"/>
              <w:right w:val="single" w:color="auto" w:sz="4" w:space="0"/>
            </w:tcBorders>
            <w:shd w:val="clear" w:color="000000" w:fill="FFFFFF"/>
            <w:vAlign w:val="bottom"/>
          </w:tcPr>
          <w:p w14:paraId="0D6F82D4">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1A663FA5">
            <w:pPr>
              <w:widowControl/>
              <w:jc w:val="left"/>
              <w:rPr>
                <w:rFonts w:ascii="宋体" w:hAnsi="宋体" w:cs="Tahoma"/>
                <w:color w:val="000000"/>
                <w:kern w:val="0"/>
                <w:szCs w:val="21"/>
              </w:rPr>
            </w:pPr>
            <w:r>
              <w:rPr>
                <w:rFonts w:ascii="宋体" w:hAnsi="宋体" w:cs="Tahoma"/>
                <w:color w:val="000000"/>
                <w:kern w:val="0"/>
                <w:szCs w:val="21"/>
              </w:rPr>
              <w:t>RVV6*1.0</w:t>
            </w:r>
          </w:p>
        </w:tc>
        <w:tc>
          <w:tcPr>
            <w:tcW w:w="1080" w:type="dxa"/>
            <w:tcBorders>
              <w:top w:val="nil"/>
              <w:left w:val="nil"/>
              <w:bottom w:val="single" w:color="auto" w:sz="4" w:space="0"/>
              <w:right w:val="single" w:color="auto" w:sz="4" w:space="0"/>
            </w:tcBorders>
            <w:shd w:val="clear" w:color="000000" w:fill="FFFFFF"/>
            <w:noWrap/>
            <w:vAlign w:val="center"/>
          </w:tcPr>
          <w:p w14:paraId="0217A090">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72BA2540">
            <w:pPr>
              <w:widowControl/>
              <w:jc w:val="center"/>
              <w:rPr>
                <w:rFonts w:ascii="宋体" w:hAnsi="宋体" w:cs="Tahoma"/>
                <w:color w:val="000000"/>
                <w:kern w:val="0"/>
                <w:szCs w:val="21"/>
              </w:rPr>
            </w:pPr>
            <w:r>
              <w:rPr>
                <w:rFonts w:ascii="宋体" w:hAnsi="宋体" w:cs="Tahoma"/>
                <w:color w:val="000000"/>
                <w:kern w:val="0"/>
                <w:szCs w:val="21"/>
              </w:rPr>
              <w:t>4000</w:t>
            </w:r>
          </w:p>
        </w:tc>
        <w:tc>
          <w:tcPr>
            <w:tcW w:w="1080" w:type="dxa"/>
            <w:tcBorders>
              <w:top w:val="nil"/>
              <w:left w:val="nil"/>
              <w:bottom w:val="single" w:color="auto" w:sz="4" w:space="0"/>
              <w:right w:val="single" w:color="auto" w:sz="4" w:space="0"/>
            </w:tcBorders>
            <w:shd w:val="clear" w:color="000000" w:fill="FFFFFF"/>
            <w:noWrap/>
            <w:vAlign w:val="center"/>
          </w:tcPr>
          <w:p w14:paraId="58219B2F">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306E55F1">
        <w:tblPrEx>
          <w:tblCellMar>
            <w:top w:w="0" w:type="dxa"/>
            <w:left w:w="108" w:type="dxa"/>
            <w:bottom w:w="0" w:type="dxa"/>
            <w:right w:w="108" w:type="dxa"/>
          </w:tblCellMar>
        </w:tblPrEx>
        <w:trPr>
          <w:trHeight w:val="28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0279B980">
            <w:pPr>
              <w:widowControl/>
              <w:jc w:val="center"/>
              <w:rPr>
                <w:rFonts w:ascii="宋体" w:hAnsi="宋体" w:cs="Tahoma"/>
                <w:color w:val="000000"/>
                <w:kern w:val="0"/>
                <w:szCs w:val="21"/>
              </w:rPr>
            </w:pPr>
            <w:r>
              <w:rPr>
                <w:rFonts w:ascii="宋体" w:hAnsi="宋体" w:cs="Tahoma"/>
                <w:color w:val="000000"/>
                <w:kern w:val="0"/>
                <w:szCs w:val="21"/>
              </w:rPr>
              <w:t>4</w:t>
            </w:r>
          </w:p>
        </w:tc>
        <w:tc>
          <w:tcPr>
            <w:tcW w:w="1736" w:type="dxa"/>
            <w:tcBorders>
              <w:top w:val="nil"/>
              <w:left w:val="nil"/>
              <w:bottom w:val="single" w:color="auto" w:sz="4" w:space="0"/>
              <w:right w:val="single" w:color="auto" w:sz="4" w:space="0"/>
            </w:tcBorders>
            <w:shd w:val="clear" w:color="000000" w:fill="FFFFFF"/>
            <w:vAlign w:val="bottom"/>
          </w:tcPr>
          <w:p w14:paraId="1E7FE1AA">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045FE091">
            <w:pPr>
              <w:widowControl/>
              <w:jc w:val="left"/>
              <w:rPr>
                <w:rFonts w:ascii="宋体" w:hAnsi="宋体" w:cs="Tahoma"/>
                <w:color w:val="000000"/>
                <w:kern w:val="0"/>
                <w:szCs w:val="21"/>
              </w:rPr>
            </w:pPr>
            <w:r>
              <w:rPr>
                <w:rFonts w:ascii="宋体" w:hAnsi="宋体" w:cs="Tahoma"/>
                <w:color w:val="000000"/>
                <w:kern w:val="0"/>
                <w:szCs w:val="21"/>
              </w:rPr>
              <w:t>RVV4*1.0</w:t>
            </w:r>
          </w:p>
        </w:tc>
        <w:tc>
          <w:tcPr>
            <w:tcW w:w="1080" w:type="dxa"/>
            <w:tcBorders>
              <w:top w:val="nil"/>
              <w:left w:val="nil"/>
              <w:bottom w:val="single" w:color="auto" w:sz="4" w:space="0"/>
              <w:right w:val="single" w:color="auto" w:sz="4" w:space="0"/>
            </w:tcBorders>
            <w:shd w:val="clear" w:color="000000" w:fill="FFFFFF"/>
            <w:noWrap/>
            <w:vAlign w:val="center"/>
          </w:tcPr>
          <w:p w14:paraId="09FCABF5">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422FB8D1">
            <w:pPr>
              <w:widowControl/>
              <w:jc w:val="center"/>
              <w:rPr>
                <w:rFonts w:ascii="宋体" w:hAnsi="宋体" w:cs="Tahoma"/>
                <w:color w:val="000000"/>
                <w:kern w:val="0"/>
                <w:szCs w:val="21"/>
              </w:rPr>
            </w:pPr>
            <w:r>
              <w:rPr>
                <w:rFonts w:ascii="宋体" w:hAnsi="宋体" w:cs="Tahoma"/>
                <w:color w:val="000000"/>
                <w:kern w:val="0"/>
                <w:szCs w:val="21"/>
              </w:rPr>
              <w:t>2500</w:t>
            </w:r>
          </w:p>
        </w:tc>
        <w:tc>
          <w:tcPr>
            <w:tcW w:w="1080" w:type="dxa"/>
            <w:tcBorders>
              <w:top w:val="nil"/>
              <w:left w:val="nil"/>
              <w:bottom w:val="single" w:color="auto" w:sz="4" w:space="0"/>
              <w:right w:val="single" w:color="auto" w:sz="4" w:space="0"/>
            </w:tcBorders>
            <w:shd w:val="clear" w:color="000000" w:fill="FFFFFF"/>
            <w:noWrap/>
            <w:vAlign w:val="center"/>
          </w:tcPr>
          <w:p w14:paraId="5C890676">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2DCC75D7">
        <w:tblPrEx>
          <w:tblCellMar>
            <w:top w:w="0" w:type="dxa"/>
            <w:left w:w="108" w:type="dxa"/>
            <w:bottom w:w="0" w:type="dxa"/>
            <w:right w:w="108" w:type="dxa"/>
          </w:tblCellMar>
        </w:tblPrEx>
        <w:trPr>
          <w:trHeight w:val="28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2C9F8635">
            <w:pPr>
              <w:widowControl/>
              <w:jc w:val="center"/>
              <w:rPr>
                <w:rFonts w:ascii="宋体" w:hAnsi="宋体" w:cs="Tahoma"/>
                <w:color w:val="000000"/>
                <w:kern w:val="0"/>
                <w:szCs w:val="21"/>
              </w:rPr>
            </w:pPr>
            <w:r>
              <w:rPr>
                <w:rFonts w:ascii="宋体" w:hAnsi="宋体" w:cs="Tahoma"/>
                <w:color w:val="000000"/>
                <w:kern w:val="0"/>
                <w:szCs w:val="21"/>
              </w:rPr>
              <w:t>5</w:t>
            </w:r>
          </w:p>
        </w:tc>
        <w:tc>
          <w:tcPr>
            <w:tcW w:w="1736" w:type="dxa"/>
            <w:tcBorders>
              <w:top w:val="nil"/>
              <w:left w:val="nil"/>
              <w:bottom w:val="single" w:color="auto" w:sz="4" w:space="0"/>
              <w:right w:val="single" w:color="auto" w:sz="4" w:space="0"/>
            </w:tcBorders>
            <w:shd w:val="clear" w:color="000000" w:fill="FFFFFF"/>
            <w:vAlign w:val="bottom"/>
          </w:tcPr>
          <w:p w14:paraId="3FE52E19">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4B5B2C57">
            <w:pPr>
              <w:widowControl/>
              <w:jc w:val="left"/>
              <w:rPr>
                <w:rFonts w:ascii="宋体" w:hAnsi="宋体" w:cs="Tahoma"/>
                <w:color w:val="000000"/>
                <w:kern w:val="0"/>
                <w:szCs w:val="21"/>
              </w:rPr>
            </w:pPr>
            <w:r>
              <w:rPr>
                <w:rFonts w:ascii="宋体" w:hAnsi="宋体" w:cs="Tahoma"/>
                <w:color w:val="000000"/>
                <w:kern w:val="0"/>
                <w:szCs w:val="21"/>
              </w:rPr>
              <w:t>RVV2*1.0</w:t>
            </w:r>
          </w:p>
        </w:tc>
        <w:tc>
          <w:tcPr>
            <w:tcW w:w="1080" w:type="dxa"/>
            <w:tcBorders>
              <w:top w:val="nil"/>
              <w:left w:val="nil"/>
              <w:bottom w:val="single" w:color="auto" w:sz="4" w:space="0"/>
              <w:right w:val="single" w:color="auto" w:sz="4" w:space="0"/>
            </w:tcBorders>
            <w:shd w:val="clear" w:color="000000" w:fill="FFFFFF"/>
            <w:noWrap/>
            <w:vAlign w:val="center"/>
          </w:tcPr>
          <w:p w14:paraId="3884A2EF">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78FF78C9">
            <w:pPr>
              <w:widowControl/>
              <w:jc w:val="center"/>
              <w:rPr>
                <w:rFonts w:ascii="宋体" w:hAnsi="宋体" w:cs="Tahoma"/>
                <w:color w:val="000000"/>
                <w:kern w:val="0"/>
                <w:szCs w:val="21"/>
              </w:rPr>
            </w:pPr>
            <w:r>
              <w:rPr>
                <w:rFonts w:ascii="宋体" w:hAnsi="宋体" w:cs="Tahoma"/>
                <w:color w:val="000000"/>
                <w:kern w:val="0"/>
                <w:szCs w:val="21"/>
              </w:rPr>
              <w:t>1000</w:t>
            </w:r>
          </w:p>
        </w:tc>
        <w:tc>
          <w:tcPr>
            <w:tcW w:w="1080" w:type="dxa"/>
            <w:tcBorders>
              <w:top w:val="nil"/>
              <w:left w:val="nil"/>
              <w:bottom w:val="single" w:color="auto" w:sz="4" w:space="0"/>
              <w:right w:val="single" w:color="auto" w:sz="4" w:space="0"/>
            </w:tcBorders>
            <w:shd w:val="clear" w:color="000000" w:fill="FFFFFF"/>
            <w:noWrap/>
            <w:vAlign w:val="center"/>
          </w:tcPr>
          <w:p w14:paraId="19E4169B">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717DE13A">
        <w:tblPrEx>
          <w:tblCellMar>
            <w:top w:w="0" w:type="dxa"/>
            <w:left w:w="108" w:type="dxa"/>
            <w:bottom w:w="0" w:type="dxa"/>
            <w:right w:w="108" w:type="dxa"/>
          </w:tblCellMar>
        </w:tblPrEx>
        <w:trPr>
          <w:trHeight w:val="28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5665008F">
            <w:pPr>
              <w:widowControl/>
              <w:jc w:val="center"/>
              <w:rPr>
                <w:rFonts w:ascii="宋体" w:hAnsi="宋体" w:cs="Tahoma"/>
                <w:color w:val="000000"/>
                <w:kern w:val="0"/>
                <w:szCs w:val="21"/>
              </w:rPr>
            </w:pPr>
            <w:r>
              <w:rPr>
                <w:rFonts w:ascii="宋体" w:hAnsi="宋体" w:cs="Tahoma"/>
                <w:color w:val="000000"/>
                <w:kern w:val="0"/>
                <w:szCs w:val="21"/>
              </w:rPr>
              <w:t>6</w:t>
            </w:r>
          </w:p>
        </w:tc>
        <w:tc>
          <w:tcPr>
            <w:tcW w:w="1736" w:type="dxa"/>
            <w:tcBorders>
              <w:top w:val="nil"/>
              <w:left w:val="nil"/>
              <w:bottom w:val="single" w:color="auto" w:sz="4" w:space="0"/>
              <w:right w:val="single" w:color="auto" w:sz="4" w:space="0"/>
            </w:tcBorders>
            <w:shd w:val="clear" w:color="000000" w:fill="FFFFFF"/>
            <w:vAlign w:val="bottom"/>
          </w:tcPr>
          <w:p w14:paraId="7838596A">
            <w:pPr>
              <w:widowControl/>
              <w:jc w:val="left"/>
              <w:rPr>
                <w:rFonts w:ascii="宋体" w:hAnsi="宋体" w:cs="Tahoma"/>
                <w:color w:val="000000"/>
                <w:kern w:val="0"/>
                <w:szCs w:val="21"/>
              </w:rPr>
            </w:pPr>
            <w:r>
              <w:rPr>
                <w:rFonts w:hint="eastAsia" w:ascii="宋体" w:hAnsi="宋体" w:cs="Tahoma"/>
                <w:color w:val="000000"/>
                <w:kern w:val="0"/>
                <w:szCs w:val="21"/>
              </w:rPr>
              <w:t>通讯线</w:t>
            </w:r>
          </w:p>
        </w:tc>
        <w:tc>
          <w:tcPr>
            <w:tcW w:w="3680" w:type="dxa"/>
            <w:tcBorders>
              <w:top w:val="nil"/>
              <w:left w:val="nil"/>
              <w:bottom w:val="single" w:color="auto" w:sz="4" w:space="0"/>
              <w:right w:val="single" w:color="auto" w:sz="4" w:space="0"/>
            </w:tcBorders>
            <w:shd w:val="clear" w:color="000000" w:fill="FFFFFF"/>
            <w:noWrap/>
          </w:tcPr>
          <w:p w14:paraId="0209E056">
            <w:pPr>
              <w:widowControl/>
              <w:jc w:val="left"/>
              <w:rPr>
                <w:rFonts w:ascii="宋体" w:hAnsi="宋体" w:cs="Tahoma"/>
                <w:color w:val="000000"/>
                <w:kern w:val="0"/>
                <w:szCs w:val="21"/>
              </w:rPr>
            </w:pPr>
            <w:r>
              <w:rPr>
                <w:rFonts w:ascii="宋体" w:hAnsi="宋体" w:cs="Tahoma"/>
                <w:color w:val="000000"/>
                <w:kern w:val="0"/>
                <w:szCs w:val="21"/>
              </w:rPr>
              <w:t>8芯光纤</w:t>
            </w:r>
          </w:p>
        </w:tc>
        <w:tc>
          <w:tcPr>
            <w:tcW w:w="1080" w:type="dxa"/>
            <w:tcBorders>
              <w:top w:val="nil"/>
              <w:left w:val="nil"/>
              <w:bottom w:val="single" w:color="auto" w:sz="4" w:space="0"/>
              <w:right w:val="single" w:color="auto" w:sz="4" w:space="0"/>
            </w:tcBorders>
            <w:shd w:val="clear" w:color="000000" w:fill="FFFFFF"/>
            <w:noWrap/>
            <w:vAlign w:val="center"/>
          </w:tcPr>
          <w:p w14:paraId="01A0AF39">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169CEA8B">
            <w:pPr>
              <w:widowControl/>
              <w:jc w:val="center"/>
              <w:rPr>
                <w:rFonts w:ascii="宋体" w:hAnsi="宋体" w:cs="Tahoma"/>
                <w:color w:val="000000"/>
                <w:kern w:val="0"/>
                <w:szCs w:val="21"/>
              </w:rPr>
            </w:pPr>
            <w:r>
              <w:rPr>
                <w:rFonts w:ascii="宋体" w:hAnsi="宋体" w:cs="Tahoma"/>
                <w:color w:val="000000"/>
                <w:kern w:val="0"/>
                <w:szCs w:val="21"/>
              </w:rPr>
              <w:t>8000</w:t>
            </w:r>
          </w:p>
        </w:tc>
        <w:tc>
          <w:tcPr>
            <w:tcW w:w="1080" w:type="dxa"/>
            <w:tcBorders>
              <w:top w:val="nil"/>
              <w:left w:val="nil"/>
              <w:bottom w:val="single" w:color="auto" w:sz="4" w:space="0"/>
              <w:right w:val="single" w:color="auto" w:sz="4" w:space="0"/>
            </w:tcBorders>
            <w:shd w:val="clear" w:color="000000" w:fill="FFFFFF"/>
            <w:noWrap/>
            <w:vAlign w:val="center"/>
          </w:tcPr>
          <w:p w14:paraId="1002A573">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23C9F209">
        <w:tblPrEx>
          <w:tblCellMar>
            <w:top w:w="0" w:type="dxa"/>
            <w:left w:w="108" w:type="dxa"/>
            <w:bottom w:w="0" w:type="dxa"/>
            <w:right w:w="108" w:type="dxa"/>
          </w:tblCellMar>
        </w:tblPrEx>
        <w:trPr>
          <w:trHeight w:val="28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661AEEE4">
            <w:pPr>
              <w:widowControl/>
              <w:jc w:val="center"/>
              <w:rPr>
                <w:rFonts w:ascii="宋体" w:hAnsi="宋体" w:cs="Tahoma"/>
                <w:color w:val="000000"/>
                <w:kern w:val="0"/>
                <w:szCs w:val="21"/>
              </w:rPr>
            </w:pPr>
            <w:r>
              <w:rPr>
                <w:rFonts w:ascii="宋体" w:hAnsi="宋体" w:cs="Tahoma"/>
                <w:color w:val="000000"/>
                <w:kern w:val="0"/>
                <w:szCs w:val="21"/>
              </w:rPr>
              <w:t>7</w:t>
            </w:r>
          </w:p>
        </w:tc>
        <w:tc>
          <w:tcPr>
            <w:tcW w:w="1736" w:type="dxa"/>
            <w:tcBorders>
              <w:top w:val="nil"/>
              <w:left w:val="nil"/>
              <w:bottom w:val="single" w:color="auto" w:sz="4" w:space="0"/>
              <w:right w:val="single" w:color="auto" w:sz="4" w:space="0"/>
            </w:tcBorders>
            <w:shd w:val="clear" w:color="000000" w:fill="FFFFFF"/>
            <w:vAlign w:val="bottom"/>
          </w:tcPr>
          <w:p w14:paraId="2C3EF666">
            <w:pPr>
              <w:widowControl/>
              <w:jc w:val="left"/>
              <w:rPr>
                <w:rFonts w:ascii="宋体" w:hAnsi="宋体" w:cs="Tahoma"/>
                <w:color w:val="000000"/>
                <w:kern w:val="0"/>
                <w:szCs w:val="21"/>
              </w:rPr>
            </w:pPr>
            <w:r>
              <w:rPr>
                <w:rFonts w:hint="eastAsia" w:ascii="宋体" w:hAnsi="宋体" w:cs="Tahoma"/>
                <w:color w:val="000000"/>
                <w:kern w:val="0"/>
                <w:szCs w:val="21"/>
              </w:rPr>
              <w:t>通讯网线</w:t>
            </w:r>
          </w:p>
        </w:tc>
        <w:tc>
          <w:tcPr>
            <w:tcW w:w="3680" w:type="dxa"/>
            <w:tcBorders>
              <w:top w:val="nil"/>
              <w:left w:val="nil"/>
              <w:bottom w:val="single" w:color="auto" w:sz="4" w:space="0"/>
              <w:right w:val="single" w:color="auto" w:sz="4" w:space="0"/>
            </w:tcBorders>
            <w:shd w:val="clear" w:color="000000" w:fill="FFFFFF"/>
            <w:noWrap/>
          </w:tcPr>
          <w:p w14:paraId="12AECEE2">
            <w:pPr>
              <w:widowControl/>
              <w:jc w:val="left"/>
              <w:rPr>
                <w:rFonts w:ascii="宋体" w:hAnsi="宋体" w:cs="Tahoma"/>
                <w:color w:val="000000"/>
                <w:kern w:val="0"/>
                <w:szCs w:val="21"/>
              </w:rPr>
            </w:pPr>
            <w:r>
              <w:rPr>
                <w:rFonts w:hint="eastAsia" w:ascii="宋体" w:hAnsi="宋体" w:cs="Tahoma"/>
                <w:color w:val="000000"/>
                <w:kern w:val="0"/>
                <w:szCs w:val="21"/>
              </w:rPr>
              <w:t>六类网线</w:t>
            </w:r>
          </w:p>
        </w:tc>
        <w:tc>
          <w:tcPr>
            <w:tcW w:w="1080" w:type="dxa"/>
            <w:tcBorders>
              <w:top w:val="nil"/>
              <w:left w:val="nil"/>
              <w:bottom w:val="single" w:color="auto" w:sz="4" w:space="0"/>
              <w:right w:val="single" w:color="auto" w:sz="4" w:space="0"/>
            </w:tcBorders>
            <w:shd w:val="clear" w:color="000000" w:fill="FFFFFF"/>
            <w:noWrap/>
            <w:vAlign w:val="center"/>
          </w:tcPr>
          <w:p w14:paraId="6D7346CB">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1295F0ED">
            <w:pPr>
              <w:widowControl/>
              <w:jc w:val="center"/>
              <w:rPr>
                <w:rFonts w:ascii="宋体" w:hAnsi="宋体" w:cs="Tahoma"/>
                <w:color w:val="000000"/>
                <w:kern w:val="0"/>
                <w:szCs w:val="21"/>
              </w:rPr>
            </w:pPr>
            <w:r>
              <w:rPr>
                <w:rFonts w:ascii="宋体" w:hAnsi="宋体" w:cs="Tahoma"/>
                <w:color w:val="000000"/>
                <w:kern w:val="0"/>
                <w:szCs w:val="21"/>
              </w:rPr>
              <w:t>500</w:t>
            </w:r>
          </w:p>
        </w:tc>
        <w:tc>
          <w:tcPr>
            <w:tcW w:w="1080" w:type="dxa"/>
            <w:tcBorders>
              <w:top w:val="nil"/>
              <w:left w:val="nil"/>
              <w:bottom w:val="single" w:color="auto" w:sz="4" w:space="0"/>
              <w:right w:val="single" w:color="auto" w:sz="4" w:space="0"/>
            </w:tcBorders>
            <w:shd w:val="clear" w:color="000000" w:fill="FFFFFF"/>
            <w:noWrap/>
            <w:vAlign w:val="center"/>
          </w:tcPr>
          <w:p w14:paraId="6881A5B7">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02F64FDB">
        <w:tblPrEx>
          <w:tblCellMar>
            <w:top w:w="0" w:type="dxa"/>
            <w:left w:w="108" w:type="dxa"/>
            <w:bottom w:w="0" w:type="dxa"/>
            <w:right w:w="108" w:type="dxa"/>
          </w:tblCellMar>
        </w:tblPrEx>
        <w:trPr>
          <w:trHeight w:val="51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7BE32CC0">
            <w:pPr>
              <w:widowControl/>
              <w:jc w:val="center"/>
              <w:rPr>
                <w:rFonts w:ascii="宋体" w:hAnsi="宋体" w:cs="Tahoma"/>
                <w:color w:val="000000"/>
                <w:kern w:val="0"/>
                <w:szCs w:val="21"/>
              </w:rPr>
            </w:pPr>
            <w:r>
              <w:rPr>
                <w:rFonts w:ascii="宋体" w:hAnsi="宋体" w:cs="Tahoma"/>
                <w:color w:val="000000"/>
                <w:kern w:val="0"/>
                <w:szCs w:val="21"/>
              </w:rPr>
              <w:t>8</w:t>
            </w:r>
          </w:p>
        </w:tc>
        <w:tc>
          <w:tcPr>
            <w:tcW w:w="1736" w:type="dxa"/>
            <w:tcBorders>
              <w:top w:val="nil"/>
              <w:left w:val="nil"/>
              <w:bottom w:val="single" w:color="auto" w:sz="4" w:space="0"/>
              <w:right w:val="single" w:color="auto" w:sz="4" w:space="0"/>
            </w:tcBorders>
            <w:shd w:val="clear" w:color="000000" w:fill="FFFFFF"/>
          </w:tcPr>
          <w:p w14:paraId="37019E9B">
            <w:pPr>
              <w:widowControl/>
              <w:jc w:val="left"/>
              <w:rPr>
                <w:rFonts w:ascii="宋体" w:hAnsi="宋体" w:cs="Tahoma"/>
                <w:color w:val="000000"/>
                <w:kern w:val="0"/>
                <w:szCs w:val="21"/>
              </w:rPr>
            </w:pPr>
            <w:r>
              <w:rPr>
                <w:rFonts w:hint="eastAsia" w:ascii="宋体" w:hAnsi="宋体" w:cs="Tahoma"/>
                <w:color w:val="000000"/>
                <w:kern w:val="0"/>
                <w:szCs w:val="21"/>
              </w:rPr>
              <w:t>线管支架及其他辅材</w:t>
            </w:r>
          </w:p>
        </w:tc>
        <w:tc>
          <w:tcPr>
            <w:tcW w:w="3680" w:type="dxa"/>
            <w:tcBorders>
              <w:top w:val="nil"/>
              <w:left w:val="nil"/>
              <w:bottom w:val="single" w:color="auto" w:sz="4" w:space="0"/>
              <w:right w:val="single" w:color="auto" w:sz="4" w:space="0"/>
            </w:tcBorders>
            <w:shd w:val="clear" w:color="000000" w:fill="FFFFFF"/>
            <w:noWrap/>
          </w:tcPr>
          <w:p w14:paraId="3FF06D15">
            <w:pPr>
              <w:widowControl/>
              <w:jc w:val="left"/>
              <w:rPr>
                <w:rFonts w:ascii="宋体" w:hAnsi="宋体" w:cs="Tahoma"/>
                <w:color w:val="000000"/>
                <w:kern w:val="0"/>
                <w:szCs w:val="21"/>
              </w:rPr>
            </w:pPr>
            <w:r>
              <w:rPr>
                <w:rFonts w:ascii="宋体" w:hAnsi="宋体" w:cs="Tahoma"/>
                <w:color w:val="000000"/>
                <w:kern w:val="0"/>
                <w:szCs w:val="21"/>
              </w:rPr>
              <w:t>DN20、DN25、辅材等</w:t>
            </w:r>
          </w:p>
        </w:tc>
        <w:tc>
          <w:tcPr>
            <w:tcW w:w="1080" w:type="dxa"/>
            <w:tcBorders>
              <w:top w:val="nil"/>
              <w:left w:val="nil"/>
              <w:bottom w:val="single" w:color="auto" w:sz="4" w:space="0"/>
              <w:right w:val="single" w:color="auto" w:sz="4" w:space="0"/>
            </w:tcBorders>
            <w:shd w:val="clear" w:color="000000" w:fill="FFFFFF"/>
            <w:noWrap/>
            <w:vAlign w:val="center"/>
          </w:tcPr>
          <w:p w14:paraId="15731DA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5EA6F699">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0B7752A">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2D664C50">
        <w:tblPrEx>
          <w:tblCellMar>
            <w:top w:w="0" w:type="dxa"/>
            <w:left w:w="108" w:type="dxa"/>
            <w:bottom w:w="0" w:type="dxa"/>
            <w:right w:w="108" w:type="dxa"/>
          </w:tblCellMar>
        </w:tblPrEx>
        <w:trPr>
          <w:trHeight w:val="76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663F1C1F">
            <w:pPr>
              <w:widowControl/>
              <w:jc w:val="center"/>
              <w:rPr>
                <w:rFonts w:ascii="宋体" w:hAnsi="宋体" w:cs="Tahoma"/>
                <w:color w:val="000000"/>
                <w:kern w:val="0"/>
                <w:szCs w:val="21"/>
              </w:rPr>
            </w:pPr>
            <w:r>
              <w:rPr>
                <w:rFonts w:ascii="宋体" w:hAnsi="宋体" w:cs="Tahoma"/>
                <w:color w:val="000000"/>
                <w:kern w:val="0"/>
                <w:szCs w:val="21"/>
              </w:rPr>
              <w:t>9</w:t>
            </w:r>
          </w:p>
        </w:tc>
        <w:tc>
          <w:tcPr>
            <w:tcW w:w="1736" w:type="dxa"/>
            <w:tcBorders>
              <w:top w:val="nil"/>
              <w:left w:val="nil"/>
              <w:bottom w:val="single" w:color="auto" w:sz="4" w:space="0"/>
              <w:right w:val="single" w:color="auto" w:sz="4" w:space="0"/>
            </w:tcBorders>
            <w:shd w:val="clear" w:color="000000" w:fill="FFFFFF"/>
          </w:tcPr>
          <w:p w14:paraId="0AAE7D3B">
            <w:pPr>
              <w:widowControl/>
              <w:jc w:val="left"/>
              <w:rPr>
                <w:rFonts w:ascii="宋体" w:hAnsi="宋体" w:cs="Tahoma"/>
                <w:color w:val="000000"/>
                <w:kern w:val="0"/>
                <w:szCs w:val="21"/>
              </w:rPr>
            </w:pPr>
            <w:r>
              <w:rPr>
                <w:rFonts w:hint="eastAsia" w:ascii="宋体" w:hAnsi="宋体" w:cs="Tahoma"/>
                <w:color w:val="000000"/>
                <w:kern w:val="0"/>
                <w:szCs w:val="21"/>
              </w:rPr>
              <w:t>机电设备柜内改造</w:t>
            </w:r>
          </w:p>
        </w:tc>
        <w:tc>
          <w:tcPr>
            <w:tcW w:w="3680" w:type="dxa"/>
            <w:tcBorders>
              <w:top w:val="nil"/>
              <w:left w:val="nil"/>
              <w:bottom w:val="single" w:color="auto" w:sz="4" w:space="0"/>
              <w:right w:val="single" w:color="auto" w:sz="4" w:space="0"/>
            </w:tcBorders>
            <w:shd w:val="clear" w:color="000000" w:fill="FFFFFF"/>
          </w:tcPr>
          <w:p w14:paraId="44CCF0E2">
            <w:pPr>
              <w:widowControl/>
              <w:jc w:val="left"/>
              <w:rPr>
                <w:rFonts w:ascii="宋体" w:hAnsi="宋体" w:cs="Tahoma"/>
                <w:color w:val="000000"/>
                <w:kern w:val="0"/>
                <w:szCs w:val="21"/>
              </w:rPr>
            </w:pPr>
            <w:r>
              <w:rPr>
                <w:rFonts w:hint="eastAsia" w:ascii="宋体" w:hAnsi="宋体" w:cs="Tahoma"/>
                <w:color w:val="000000"/>
                <w:kern w:val="0"/>
                <w:szCs w:val="21"/>
              </w:rPr>
              <w:t>新增分支段关联的风机、水泵、照明等控制柜电路，增加二次回路端子给</w:t>
            </w:r>
            <w:r>
              <w:rPr>
                <w:rFonts w:ascii="宋体" w:hAnsi="宋体" w:cs="Tahoma"/>
                <w:color w:val="000000"/>
                <w:kern w:val="0"/>
                <w:szCs w:val="21"/>
              </w:rPr>
              <w:t>PLC控制柜监控，出CAD原理图</w:t>
            </w:r>
          </w:p>
        </w:tc>
        <w:tc>
          <w:tcPr>
            <w:tcW w:w="1080" w:type="dxa"/>
            <w:tcBorders>
              <w:top w:val="nil"/>
              <w:left w:val="nil"/>
              <w:bottom w:val="single" w:color="auto" w:sz="4" w:space="0"/>
              <w:right w:val="single" w:color="auto" w:sz="4" w:space="0"/>
            </w:tcBorders>
            <w:shd w:val="clear" w:color="000000" w:fill="FFFFFF"/>
            <w:noWrap/>
            <w:vAlign w:val="center"/>
          </w:tcPr>
          <w:p w14:paraId="69366EFD">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0B12F56C">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7748B01A">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646A8C33">
        <w:tblPrEx>
          <w:tblCellMar>
            <w:top w:w="0" w:type="dxa"/>
            <w:left w:w="108" w:type="dxa"/>
            <w:bottom w:w="0" w:type="dxa"/>
            <w:right w:w="108" w:type="dxa"/>
          </w:tblCellMar>
        </w:tblPrEx>
        <w:trPr>
          <w:trHeight w:val="76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468B5D22">
            <w:pPr>
              <w:widowControl/>
              <w:jc w:val="center"/>
              <w:rPr>
                <w:rFonts w:ascii="宋体" w:hAnsi="宋体" w:cs="Tahoma"/>
                <w:color w:val="000000"/>
                <w:kern w:val="0"/>
                <w:szCs w:val="21"/>
              </w:rPr>
            </w:pPr>
            <w:r>
              <w:rPr>
                <w:rFonts w:ascii="宋体" w:hAnsi="宋体" w:cs="Tahoma"/>
                <w:color w:val="000000"/>
                <w:kern w:val="0"/>
                <w:szCs w:val="21"/>
              </w:rPr>
              <w:t>10</w:t>
            </w:r>
          </w:p>
        </w:tc>
        <w:tc>
          <w:tcPr>
            <w:tcW w:w="1736" w:type="dxa"/>
            <w:tcBorders>
              <w:top w:val="nil"/>
              <w:left w:val="nil"/>
              <w:bottom w:val="single" w:color="auto" w:sz="4" w:space="0"/>
              <w:right w:val="single" w:color="auto" w:sz="4" w:space="0"/>
            </w:tcBorders>
            <w:shd w:val="clear" w:color="000000" w:fill="FFFFFF"/>
          </w:tcPr>
          <w:p w14:paraId="6679B010">
            <w:pPr>
              <w:widowControl/>
              <w:jc w:val="left"/>
              <w:rPr>
                <w:rFonts w:ascii="宋体" w:hAnsi="宋体" w:cs="Tahoma"/>
                <w:color w:val="000000"/>
                <w:kern w:val="0"/>
                <w:szCs w:val="21"/>
              </w:rPr>
            </w:pPr>
            <w:r>
              <w:rPr>
                <w:rFonts w:hint="eastAsia" w:ascii="宋体" w:hAnsi="宋体" w:cs="Tahoma"/>
                <w:color w:val="000000"/>
                <w:kern w:val="0"/>
                <w:szCs w:val="21"/>
              </w:rPr>
              <w:t>系统调试</w:t>
            </w:r>
          </w:p>
        </w:tc>
        <w:tc>
          <w:tcPr>
            <w:tcW w:w="3680" w:type="dxa"/>
            <w:tcBorders>
              <w:top w:val="nil"/>
              <w:left w:val="nil"/>
              <w:bottom w:val="single" w:color="auto" w:sz="4" w:space="0"/>
              <w:right w:val="single" w:color="auto" w:sz="4" w:space="0"/>
            </w:tcBorders>
            <w:shd w:val="clear" w:color="000000" w:fill="FFFFFF"/>
          </w:tcPr>
          <w:p w14:paraId="7769E6B0">
            <w:pPr>
              <w:widowControl/>
              <w:jc w:val="left"/>
              <w:rPr>
                <w:rFonts w:ascii="宋体" w:hAnsi="宋体" w:cs="Tahoma"/>
                <w:color w:val="000000"/>
                <w:kern w:val="0"/>
                <w:szCs w:val="21"/>
              </w:rPr>
            </w:pPr>
            <w:r>
              <w:rPr>
                <w:rFonts w:hint="eastAsia" w:ascii="宋体" w:hAnsi="宋体" w:cs="Tahoma"/>
                <w:color w:val="000000"/>
                <w:kern w:val="0"/>
                <w:szCs w:val="21"/>
              </w:rPr>
              <w:t>新增的</w:t>
            </w:r>
            <w:r>
              <w:rPr>
                <w:rFonts w:ascii="宋体" w:hAnsi="宋体" w:cs="Tahoma"/>
                <w:color w:val="000000"/>
                <w:kern w:val="0"/>
                <w:szCs w:val="21"/>
              </w:rPr>
              <w:t>PLC控制柜，原系统故障点排查，原系统PLC物理地址分配IP地址，网络故障排查等，绘制CAD网络图，系统稳定运行</w:t>
            </w:r>
          </w:p>
        </w:tc>
        <w:tc>
          <w:tcPr>
            <w:tcW w:w="1080" w:type="dxa"/>
            <w:tcBorders>
              <w:top w:val="nil"/>
              <w:left w:val="nil"/>
              <w:bottom w:val="single" w:color="auto" w:sz="4" w:space="0"/>
              <w:right w:val="single" w:color="auto" w:sz="4" w:space="0"/>
            </w:tcBorders>
            <w:shd w:val="clear" w:color="000000" w:fill="FFFFFF"/>
            <w:noWrap/>
            <w:vAlign w:val="center"/>
          </w:tcPr>
          <w:p w14:paraId="1B27A05A">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46B6D53">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E86CC29">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68630674">
        <w:tblPrEx>
          <w:tblCellMar>
            <w:top w:w="0" w:type="dxa"/>
            <w:left w:w="108" w:type="dxa"/>
            <w:bottom w:w="0" w:type="dxa"/>
            <w:right w:w="108" w:type="dxa"/>
          </w:tblCellMar>
        </w:tblPrEx>
        <w:trPr>
          <w:trHeight w:val="1530"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52183B3D">
            <w:pPr>
              <w:widowControl/>
              <w:jc w:val="center"/>
              <w:rPr>
                <w:rFonts w:ascii="宋体" w:hAnsi="宋体" w:cs="Tahoma"/>
                <w:color w:val="000000"/>
                <w:kern w:val="0"/>
                <w:szCs w:val="21"/>
              </w:rPr>
            </w:pPr>
            <w:r>
              <w:rPr>
                <w:rFonts w:ascii="宋体" w:hAnsi="宋体" w:cs="Tahoma"/>
                <w:color w:val="000000"/>
                <w:kern w:val="0"/>
                <w:szCs w:val="21"/>
              </w:rPr>
              <w:t>11</w:t>
            </w:r>
          </w:p>
        </w:tc>
        <w:tc>
          <w:tcPr>
            <w:tcW w:w="1736" w:type="dxa"/>
            <w:tcBorders>
              <w:top w:val="nil"/>
              <w:left w:val="nil"/>
              <w:bottom w:val="single" w:color="auto" w:sz="4" w:space="0"/>
              <w:right w:val="single" w:color="auto" w:sz="4" w:space="0"/>
            </w:tcBorders>
            <w:shd w:val="clear" w:color="000000" w:fill="FFFFFF"/>
          </w:tcPr>
          <w:p w14:paraId="2667F389">
            <w:pPr>
              <w:widowControl/>
              <w:jc w:val="left"/>
              <w:rPr>
                <w:rFonts w:ascii="宋体" w:hAnsi="宋体" w:cs="Tahoma"/>
                <w:color w:val="000000"/>
                <w:kern w:val="0"/>
                <w:szCs w:val="21"/>
              </w:rPr>
            </w:pPr>
            <w:r>
              <w:rPr>
                <w:rFonts w:hint="eastAsia" w:ascii="宋体" w:hAnsi="宋体" w:cs="Tahoma"/>
                <w:color w:val="000000"/>
                <w:kern w:val="0"/>
                <w:szCs w:val="21"/>
              </w:rPr>
              <w:t>上位机软件升级改造</w:t>
            </w:r>
          </w:p>
        </w:tc>
        <w:tc>
          <w:tcPr>
            <w:tcW w:w="3680" w:type="dxa"/>
            <w:tcBorders>
              <w:top w:val="nil"/>
              <w:left w:val="nil"/>
              <w:bottom w:val="single" w:color="auto" w:sz="4" w:space="0"/>
              <w:right w:val="single" w:color="auto" w:sz="4" w:space="0"/>
            </w:tcBorders>
            <w:shd w:val="clear" w:color="000000" w:fill="FFFFFF"/>
          </w:tcPr>
          <w:p w14:paraId="2D82E0AB">
            <w:pPr>
              <w:widowControl/>
              <w:jc w:val="left"/>
              <w:rPr>
                <w:rFonts w:ascii="宋体" w:hAnsi="宋体" w:cs="Tahoma"/>
                <w:color w:val="000000"/>
                <w:kern w:val="0"/>
                <w:szCs w:val="21"/>
              </w:rPr>
            </w:pPr>
            <w:r>
              <w:rPr>
                <w:rFonts w:ascii="宋体" w:hAnsi="宋体" w:cs="Tahoma"/>
                <w:color w:val="000000"/>
                <w:kern w:val="0"/>
                <w:szCs w:val="21"/>
              </w:rPr>
              <w:t>Wincc6.3升级到与冷站自控系统同版本Wincc7.5，原程序优化，与冷站风格一致、WINCC变量名称中文化，与冷站自控系统格式一致、界面美工，参照</w:t>
            </w:r>
            <w:r>
              <w:rPr>
                <w:rFonts w:hint="eastAsia" w:ascii="宋体" w:hAnsi="宋体" w:cs="Tahoma"/>
                <w:color w:val="000000"/>
                <w:kern w:val="0"/>
                <w:szCs w:val="21"/>
              </w:rPr>
              <w:t>制备站自控系统风格，约有</w:t>
            </w:r>
            <w:r>
              <w:rPr>
                <w:rFonts w:ascii="宋体" w:hAnsi="宋体" w:cs="Tahoma"/>
                <w:color w:val="000000"/>
                <w:kern w:val="0"/>
                <w:szCs w:val="21"/>
              </w:rPr>
              <w:t>5000个点位，Wincc</w:t>
            </w:r>
            <w:r>
              <w:rPr>
                <w:rFonts w:hint="eastAsia" w:ascii="宋体" w:hAnsi="宋体" w:cs="Tahoma"/>
                <w:color w:val="000000"/>
                <w:kern w:val="0"/>
                <w:szCs w:val="21"/>
              </w:rPr>
              <w:t>与</w:t>
            </w:r>
            <w:r>
              <w:rPr>
                <w:rFonts w:ascii="宋体" w:hAnsi="宋体" w:cs="Tahoma"/>
                <w:color w:val="000000"/>
                <w:kern w:val="0"/>
                <w:szCs w:val="21"/>
              </w:rPr>
              <w:t>PLC直连不经任何中转</w:t>
            </w:r>
          </w:p>
        </w:tc>
        <w:tc>
          <w:tcPr>
            <w:tcW w:w="1080" w:type="dxa"/>
            <w:tcBorders>
              <w:top w:val="nil"/>
              <w:left w:val="nil"/>
              <w:bottom w:val="single" w:color="auto" w:sz="4" w:space="0"/>
              <w:right w:val="single" w:color="auto" w:sz="4" w:space="0"/>
            </w:tcBorders>
            <w:shd w:val="clear" w:color="000000" w:fill="FFFFFF"/>
            <w:noWrap/>
            <w:vAlign w:val="center"/>
          </w:tcPr>
          <w:p w14:paraId="2C0CEEA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E3C8E34">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25E7965A">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325D5289">
        <w:tblPrEx>
          <w:tblCellMar>
            <w:top w:w="0" w:type="dxa"/>
            <w:left w:w="108" w:type="dxa"/>
            <w:bottom w:w="0" w:type="dxa"/>
            <w:right w:w="108" w:type="dxa"/>
          </w:tblCellMar>
        </w:tblPrEx>
        <w:trPr>
          <w:trHeight w:val="765" w:hRule="atLeast"/>
        </w:trPr>
        <w:tc>
          <w:tcPr>
            <w:tcW w:w="424" w:type="dxa"/>
            <w:tcBorders>
              <w:top w:val="nil"/>
              <w:left w:val="single" w:color="auto" w:sz="4" w:space="0"/>
              <w:bottom w:val="single" w:color="auto" w:sz="4" w:space="0"/>
              <w:right w:val="single" w:color="auto" w:sz="4" w:space="0"/>
            </w:tcBorders>
            <w:shd w:val="clear" w:color="000000" w:fill="FFFFFF"/>
            <w:noWrap/>
            <w:vAlign w:val="center"/>
          </w:tcPr>
          <w:p w14:paraId="206F322B">
            <w:pPr>
              <w:widowControl/>
              <w:jc w:val="center"/>
              <w:rPr>
                <w:rFonts w:ascii="宋体" w:hAnsi="宋体" w:cs="Tahoma"/>
                <w:color w:val="000000"/>
                <w:kern w:val="0"/>
                <w:szCs w:val="21"/>
              </w:rPr>
            </w:pPr>
            <w:r>
              <w:rPr>
                <w:rFonts w:ascii="宋体" w:hAnsi="宋体" w:cs="Tahoma"/>
                <w:color w:val="000000"/>
                <w:kern w:val="0"/>
                <w:szCs w:val="21"/>
              </w:rPr>
              <w:t>12</w:t>
            </w:r>
          </w:p>
        </w:tc>
        <w:tc>
          <w:tcPr>
            <w:tcW w:w="1736" w:type="dxa"/>
            <w:tcBorders>
              <w:top w:val="nil"/>
              <w:left w:val="nil"/>
              <w:bottom w:val="single" w:color="auto" w:sz="4" w:space="0"/>
              <w:right w:val="single" w:color="auto" w:sz="4" w:space="0"/>
            </w:tcBorders>
            <w:shd w:val="clear" w:color="000000" w:fill="FFFFFF"/>
          </w:tcPr>
          <w:p w14:paraId="159324E1">
            <w:pPr>
              <w:widowControl/>
              <w:jc w:val="left"/>
              <w:rPr>
                <w:rFonts w:ascii="宋体" w:hAnsi="宋体" w:cs="Tahoma"/>
                <w:color w:val="000000"/>
                <w:kern w:val="0"/>
                <w:szCs w:val="21"/>
              </w:rPr>
            </w:pPr>
            <w:r>
              <w:rPr>
                <w:rFonts w:hint="eastAsia" w:ascii="宋体" w:hAnsi="宋体" w:cs="Tahoma"/>
                <w:color w:val="000000"/>
                <w:kern w:val="0"/>
                <w:szCs w:val="21"/>
              </w:rPr>
              <w:t>数据传送至枢纽楼</w:t>
            </w:r>
          </w:p>
        </w:tc>
        <w:tc>
          <w:tcPr>
            <w:tcW w:w="3680" w:type="dxa"/>
            <w:tcBorders>
              <w:top w:val="nil"/>
              <w:left w:val="nil"/>
              <w:bottom w:val="single" w:color="auto" w:sz="4" w:space="0"/>
              <w:right w:val="single" w:color="auto" w:sz="4" w:space="0"/>
            </w:tcBorders>
            <w:shd w:val="clear" w:color="000000" w:fill="FFFFFF"/>
          </w:tcPr>
          <w:p w14:paraId="0C80DF85">
            <w:pPr>
              <w:widowControl/>
              <w:jc w:val="left"/>
              <w:rPr>
                <w:rFonts w:ascii="宋体" w:hAnsi="宋体" w:cs="Tahoma"/>
                <w:color w:val="000000"/>
                <w:kern w:val="0"/>
                <w:szCs w:val="21"/>
              </w:rPr>
            </w:pPr>
            <w:r>
              <w:rPr>
                <w:rFonts w:hint="eastAsia" w:ascii="宋体" w:hAnsi="宋体" w:cs="Tahoma"/>
                <w:color w:val="000000"/>
                <w:kern w:val="0"/>
                <w:szCs w:val="21"/>
              </w:rPr>
              <w:t>通过网关转发数据至枢纽楼并集成到枢纽楼上位机系统，枢纽楼上位机与管沟上位机同步</w:t>
            </w:r>
          </w:p>
        </w:tc>
        <w:tc>
          <w:tcPr>
            <w:tcW w:w="1080" w:type="dxa"/>
            <w:tcBorders>
              <w:top w:val="nil"/>
              <w:left w:val="nil"/>
              <w:bottom w:val="single" w:color="auto" w:sz="4" w:space="0"/>
              <w:right w:val="single" w:color="auto" w:sz="4" w:space="0"/>
            </w:tcBorders>
            <w:shd w:val="clear" w:color="000000" w:fill="FFFFFF"/>
            <w:noWrap/>
            <w:vAlign w:val="center"/>
          </w:tcPr>
          <w:p w14:paraId="722FBA6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060187DD">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15EF4F8">
            <w:pPr>
              <w:widowControl/>
              <w:jc w:val="center"/>
              <w:rPr>
                <w:rFonts w:ascii="宋体" w:hAnsi="宋体" w:cs="Tahoma"/>
                <w:color w:val="000000"/>
                <w:kern w:val="0"/>
                <w:szCs w:val="21"/>
              </w:rPr>
            </w:pPr>
            <w:r>
              <w:rPr>
                <w:rFonts w:hint="eastAsia" w:ascii="宋体" w:hAnsi="宋体" w:cs="Tahoma"/>
                <w:color w:val="000000"/>
                <w:kern w:val="0"/>
                <w:szCs w:val="21"/>
              </w:rPr>
              <w:t>项</w:t>
            </w:r>
          </w:p>
        </w:tc>
      </w:tr>
    </w:tbl>
    <w:p w14:paraId="6A1C9533">
      <w:pPr>
        <w:pStyle w:val="57"/>
        <w:widowControl w:val="0"/>
        <w:numPr>
          <w:ilvl w:val="0"/>
          <w:numId w:val="27"/>
        </w:numPr>
        <w:ind w:firstLineChars="0"/>
        <w:rPr>
          <w:rFonts w:ascii="宋体" w:hAnsi="宋体" w:eastAsia="宋体"/>
          <w:vanish/>
          <w:color w:val="000000"/>
          <w:kern w:val="2"/>
          <w:sz w:val="21"/>
          <w:szCs w:val="21"/>
          <w:lang w:eastAsia="zh-CN"/>
        </w:rPr>
      </w:pPr>
    </w:p>
    <w:p w14:paraId="6AF5C23F">
      <w:pPr>
        <w:pStyle w:val="57"/>
        <w:widowControl w:val="0"/>
        <w:numPr>
          <w:ilvl w:val="0"/>
          <w:numId w:val="27"/>
        </w:numPr>
        <w:ind w:firstLineChars="0"/>
        <w:rPr>
          <w:rFonts w:ascii="宋体" w:hAnsi="宋体" w:eastAsia="宋体"/>
          <w:vanish/>
          <w:color w:val="000000"/>
          <w:kern w:val="2"/>
          <w:sz w:val="21"/>
          <w:szCs w:val="21"/>
          <w:lang w:eastAsia="zh-CN"/>
        </w:rPr>
      </w:pPr>
    </w:p>
    <w:p w14:paraId="51F3CB2A">
      <w:pPr>
        <w:pStyle w:val="57"/>
        <w:widowControl w:val="0"/>
        <w:numPr>
          <w:ilvl w:val="0"/>
          <w:numId w:val="27"/>
        </w:numPr>
        <w:ind w:firstLineChars="0"/>
        <w:rPr>
          <w:rFonts w:ascii="宋体" w:hAnsi="宋体" w:eastAsia="宋体"/>
          <w:vanish/>
          <w:color w:val="000000"/>
          <w:kern w:val="2"/>
          <w:sz w:val="21"/>
          <w:szCs w:val="21"/>
          <w:lang w:eastAsia="zh-CN"/>
        </w:rPr>
      </w:pPr>
    </w:p>
    <w:p w14:paraId="109426D4">
      <w:pPr>
        <w:pStyle w:val="57"/>
        <w:widowControl w:val="0"/>
        <w:numPr>
          <w:ilvl w:val="0"/>
          <w:numId w:val="27"/>
        </w:numPr>
        <w:ind w:firstLineChars="0"/>
        <w:rPr>
          <w:rFonts w:ascii="宋体" w:hAnsi="宋体" w:eastAsia="宋体"/>
          <w:vanish/>
          <w:color w:val="000000"/>
          <w:kern w:val="2"/>
          <w:sz w:val="21"/>
          <w:szCs w:val="21"/>
          <w:lang w:eastAsia="zh-CN"/>
        </w:rPr>
      </w:pPr>
    </w:p>
    <w:p w14:paraId="5D783575">
      <w:pPr>
        <w:numPr>
          <w:ilvl w:val="0"/>
          <w:numId w:val="22"/>
        </w:numPr>
        <w:spacing w:line="120" w:lineRule="atLeast"/>
        <w:outlineLvl w:val="1"/>
        <w:rPr>
          <w:rFonts w:ascii="宋体" w:hAnsi="宋体"/>
          <w:b/>
          <w:szCs w:val="21"/>
        </w:rPr>
      </w:pPr>
      <w:r>
        <w:rPr>
          <w:rFonts w:hint="eastAsia" w:ascii="宋体" w:hAnsi="宋体"/>
          <w:b/>
          <w:szCs w:val="21"/>
        </w:rPr>
        <w:t>技术要求</w:t>
      </w:r>
    </w:p>
    <w:p w14:paraId="29A02B63">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23D21D19">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42EBC1F2">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04C8AFC">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0FE9F6B7">
      <w:pPr>
        <w:pStyle w:val="16"/>
        <w:numPr>
          <w:ilvl w:val="1"/>
          <w:numId w:val="28"/>
        </w:numPr>
        <w:shd w:val="clear" w:color="auto" w:fill="FFFFFF"/>
        <w:wordWrap w:val="0"/>
        <w:rPr>
          <w:kern w:val="2"/>
          <w:sz w:val="21"/>
          <w:szCs w:val="21"/>
        </w:rPr>
      </w:pPr>
      <w:r>
        <w:rPr>
          <w:rFonts w:hint="eastAsia"/>
          <w:kern w:val="2"/>
          <w:sz w:val="21"/>
          <w:szCs w:val="21"/>
        </w:rPr>
        <w:t>接线端子排及附件要按图纸安装完整，编号无缺失、所有紧固螺丝要拧紧，力矩合适，无松动或滑丝，线缆两端要按图纸套号码管，号码管长度，方向要一致，使用合适的字号，所有线缆接线端要压线卡，线卡无松动，变形，控制柜内无杂物，器件上无铁屑，控制柜的附件齐全，人机界面的工艺流程画面要与实际一致，</w:t>
      </w:r>
      <w:r>
        <w:rPr>
          <w:kern w:val="2"/>
          <w:sz w:val="21"/>
          <w:szCs w:val="21"/>
        </w:rPr>
        <w:t>人机界面的布局设计根据人体工程学的要求应该实现简洁、平衡和风格一致</w:t>
      </w:r>
      <w:r>
        <w:rPr>
          <w:rFonts w:hint="eastAsia"/>
          <w:kern w:val="2"/>
          <w:sz w:val="21"/>
          <w:szCs w:val="21"/>
        </w:rPr>
        <w:t>，</w:t>
      </w:r>
      <w:r>
        <w:rPr>
          <w:kern w:val="2"/>
          <w:sz w:val="21"/>
          <w:szCs w:val="21"/>
        </w:rPr>
        <w:t>综合管沟的人机界面画面要同步集成到枢纽楼10楼自控系统电脑。</w:t>
      </w:r>
    </w:p>
    <w:p w14:paraId="6F5DC2B6">
      <w:pPr>
        <w:pStyle w:val="16"/>
        <w:numPr>
          <w:ilvl w:val="1"/>
          <w:numId w:val="28"/>
        </w:numPr>
        <w:shd w:val="clear" w:color="auto" w:fill="FFFFFF"/>
        <w:wordWrap w:val="0"/>
        <w:rPr>
          <w:kern w:val="2"/>
          <w:sz w:val="21"/>
          <w:szCs w:val="21"/>
        </w:rPr>
      </w:pPr>
      <w:r>
        <w:rPr>
          <w:rFonts w:hint="eastAsia"/>
          <w:kern w:val="2"/>
          <w:sz w:val="21"/>
          <w:szCs w:val="21"/>
        </w:rPr>
        <w:t>光缆部分</w:t>
      </w:r>
    </w:p>
    <w:p w14:paraId="6ACB35BC">
      <w:pPr>
        <w:pStyle w:val="16"/>
        <w:numPr>
          <w:ilvl w:val="2"/>
          <w:numId w:val="28"/>
        </w:numPr>
        <w:shd w:val="clear" w:color="auto" w:fill="FFFFFF"/>
        <w:wordWrap w:val="0"/>
        <w:rPr>
          <w:kern w:val="2"/>
          <w:sz w:val="21"/>
          <w:szCs w:val="21"/>
        </w:rPr>
      </w:pPr>
      <w:r>
        <w:rPr>
          <w:rFonts w:hint="eastAsia"/>
          <w:kern w:val="2"/>
          <w:sz w:val="21"/>
          <w:szCs w:val="21"/>
        </w:rPr>
        <w:t>新光缆安装按施工深化图纸路由敷设，不可擅自改变，如有特殊情况确需改变，需向业主呈报方案，并经业主同意后方可实施。</w:t>
      </w:r>
    </w:p>
    <w:p w14:paraId="780DE576">
      <w:pPr>
        <w:pStyle w:val="16"/>
        <w:numPr>
          <w:ilvl w:val="2"/>
          <w:numId w:val="28"/>
        </w:numPr>
        <w:shd w:val="clear" w:color="auto" w:fill="FFFFFF"/>
        <w:wordWrap w:val="0"/>
        <w:rPr>
          <w:kern w:val="2"/>
          <w:sz w:val="21"/>
          <w:szCs w:val="21"/>
        </w:rPr>
      </w:pPr>
      <w:r>
        <w:rPr>
          <w:rFonts w:hint="eastAsia"/>
          <w:kern w:val="2"/>
          <w:sz w:val="21"/>
          <w:szCs w:val="21"/>
        </w:rPr>
        <w:t>光纤弯曲时，弯曲半径应大于</w:t>
      </w:r>
      <w:r>
        <w:rPr>
          <w:kern w:val="2"/>
          <w:sz w:val="21"/>
          <w:szCs w:val="21"/>
        </w:rPr>
        <w:t>50mm。</w:t>
      </w:r>
    </w:p>
    <w:p w14:paraId="78227D3B">
      <w:pPr>
        <w:pStyle w:val="16"/>
        <w:numPr>
          <w:ilvl w:val="2"/>
          <w:numId w:val="28"/>
        </w:numPr>
        <w:shd w:val="clear" w:color="auto" w:fill="FFFFFF"/>
        <w:wordWrap w:val="0"/>
        <w:rPr>
          <w:kern w:val="2"/>
          <w:sz w:val="21"/>
          <w:szCs w:val="21"/>
        </w:rPr>
      </w:pPr>
      <w:r>
        <w:rPr>
          <w:rFonts w:hint="eastAsia"/>
          <w:kern w:val="2"/>
          <w:sz w:val="21"/>
          <w:szCs w:val="21"/>
        </w:rPr>
        <w:t>余量段必须用尼龙扎带将其绑扎成环状，牢靠固定，弯曲半径应大于</w:t>
      </w:r>
      <w:r>
        <w:rPr>
          <w:kern w:val="2"/>
          <w:sz w:val="21"/>
          <w:szCs w:val="21"/>
        </w:rPr>
        <w:t>50mm。</w:t>
      </w:r>
    </w:p>
    <w:p w14:paraId="15305F8D">
      <w:pPr>
        <w:pStyle w:val="16"/>
        <w:numPr>
          <w:ilvl w:val="2"/>
          <w:numId w:val="28"/>
        </w:numPr>
        <w:shd w:val="clear" w:color="auto" w:fill="FFFFFF"/>
        <w:wordWrap w:val="0"/>
        <w:rPr>
          <w:kern w:val="2"/>
          <w:sz w:val="21"/>
          <w:szCs w:val="21"/>
        </w:rPr>
      </w:pPr>
      <w:r>
        <w:rPr>
          <w:rFonts w:hint="eastAsia"/>
          <w:kern w:val="2"/>
          <w:sz w:val="21"/>
          <w:szCs w:val="21"/>
        </w:rPr>
        <w:t>同一光通道所有折断处、有明显损伤处必须熔接。</w:t>
      </w:r>
    </w:p>
    <w:p w14:paraId="0886196A">
      <w:pPr>
        <w:pStyle w:val="16"/>
        <w:numPr>
          <w:ilvl w:val="2"/>
          <w:numId w:val="28"/>
        </w:numPr>
        <w:shd w:val="clear" w:color="auto" w:fill="FFFFFF"/>
        <w:wordWrap w:val="0"/>
        <w:rPr>
          <w:kern w:val="2"/>
          <w:sz w:val="21"/>
          <w:szCs w:val="21"/>
        </w:rPr>
      </w:pPr>
      <w:r>
        <w:rPr>
          <w:rFonts w:hint="eastAsia"/>
          <w:kern w:val="2"/>
          <w:sz w:val="21"/>
          <w:szCs w:val="21"/>
        </w:rPr>
        <w:t>光纤接头处应使用光缆接续盒保护，光缆接续盒、终端保护盒防护等级应达到或高于</w:t>
      </w:r>
      <w:r>
        <w:rPr>
          <w:kern w:val="2"/>
          <w:sz w:val="21"/>
          <w:szCs w:val="21"/>
        </w:rPr>
        <w:t>IP65。光缆接续盒应固定在墙壁或支架上。</w:t>
      </w:r>
    </w:p>
    <w:p w14:paraId="6508D0C1">
      <w:pPr>
        <w:pStyle w:val="16"/>
        <w:numPr>
          <w:ilvl w:val="2"/>
          <w:numId w:val="28"/>
        </w:numPr>
        <w:shd w:val="clear" w:color="auto" w:fill="FFFFFF"/>
        <w:wordWrap w:val="0"/>
        <w:rPr>
          <w:kern w:val="2"/>
          <w:sz w:val="21"/>
          <w:szCs w:val="21"/>
        </w:rPr>
      </w:pPr>
      <w:r>
        <w:rPr>
          <w:rFonts w:hint="eastAsia"/>
          <w:kern w:val="2"/>
          <w:sz w:val="21"/>
          <w:szCs w:val="21"/>
        </w:rPr>
        <w:t>光纤连接应采用专用设备，连接后必须对光纤进行测试，单个接头熔接损耗不得大于</w:t>
      </w:r>
      <w:r>
        <w:rPr>
          <w:kern w:val="2"/>
          <w:sz w:val="21"/>
          <w:szCs w:val="21"/>
        </w:rPr>
        <w:t>0.2dB。</w:t>
      </w:r>
    </w:p>
    <w:p w14:paraId="0A8032F2">
      <w:pPr>
        <w:pStyle w:val="16"/>
        <w:numPr>
          <w:ilvl w:val="2"/>
          <w:numId w:val="28"/>
        </w:numPr>
        <w:shd w:val="clear" w:color="auto" w:fill="FFFFFF"/>
        <w:wordWrap w:val="0"/>
        <w:rPr>
          <w:kern w:val="2"/>
          <w:sz w:val="21"/>
          <w:szCs w:val="21"/>
        </w:rPr>
      </w:pPr>
      <w:r>
        <w:rPr>
          <w:rFonts w:hint="eastAsia"/>
          <w:kern w:val="2"/>
          <w:sz w:val="21"/>
          <w:szCs w:val="21"/>
        </w:rPr>
        <w:t>每段光缆应编号并记录、贴好现场标识</w:t>
      </w:r>
    </w:p>
    <w:p w14:paraId="3E4593C5">
      <w:pPr>
        <w:pStyle w:val="16"/>
        <w:numPr>
          <w:ilvl w:val="2"/>
          <w:numId w:val="28"/>
        </w:numPr>
        <w:shd w:val="clear" w:color="auto" w:fill="FFFFFF"/>
        <w:wordWrap w:val="0"/>
        <w:rPr>
          <w:kern w:val="2"/>
          <w:sz w:val="21"/>
          <w:szCs w:val="21"/>
        </w:rPr>
      </w:pPr>
      <w:r>
        <w:rPr>
          <w:rFonts w:hint="eastAsia"/>
          <w:kern w:val="2"/>
          <w:sz w:val="21"/>
          <w:szCs w:val="21"/>
        </w:rPr>
        <w:t>每段光缆的安装位置（起点和终点）应作记录。</w:t>
      </w:r>
    </w:p>
    <w:p w14:paraId="289C193E">
      <w:pPr>
        <w:pStyle w:val="16"/>
        <w:numPr>
          <w:ilvl w:val="2"/>
          <w:numId w:val="28"/>
        </w:numPr>
        <w:shd w:val="clear" w:color="auto" w:fill="FFFFFF"/>
        <w:wordWrap w:val="0"/>
        <w:rPr>
          <w:kern w:val="2"/>
          <w:sz w:val="21"/>
          <w:szCs w:val="21"/>
        </w:rPr>
      </w:pPr>
      <w:r>
        <w:rPr>
          <w:rFonts w:hint="eastAsia"/>
          <w:kern w:val="2"/>
          <w:sz w:val="21"/>
          <w:szCs w:val="21"/>
        </w:rPr>
        <w:t>光缆安装完成后，需对每段连续的光缆进行测光，形成测试记录。</w:t>
      </w:r>
    </w:p>
    <w:p w14:paraId="54453A12">
      <w:pPr>
        <w:pStyle w:val="16"/>
        <w:numPr>
          <w:ilvl w:val="1"/>
          <w:numId w:val="28"/>
        </w:numPr>
        <w:shd w:val="clear" w:color="auto" w:fill="FFFFFF"/>
        <w:wordWrap w:val="0"/>
        <w:rPr>
          <w:kern w:val="2"/>
          <w:sz w:val="21"/>
          <w:szCs w:val="21"/>
        </w:rPr>
      </w:pPr>
      <w:r>
        <w:rPr>
          <w:rFonts w:hint="eastAsia"/>
          <w:kern w:val="2"/>
          <w:sz w:val="21"/>
          <w:szCs w:val="21"/>
        </w:rPr>
        <w:t>监控设备及数据采样、传输方式</w:t>
      </w:r>
    </w:p>
    <w:p w14:paraId="6C5BD353">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5F06CBB4">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60E271C1">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184DF3CC">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50FD5E8A">
      <w:pPr>
        <w:pStyle w:val="57"/>
        <w:widowControl w:val="0"/>
        <w:numPr>
          <w:ilvl w:val="1"/>
          <w:numId w:val="8"/>
        </w:numPr>
        <w:spacing w:line="360" w:lineRule="auto"/>
        <w:ind w:firstLineChars="0"/>
        <w:jc w:val="both"/>
        <w:rPr>
          <w:rFonts w:ascii="宋体" w:hAnsi="宋体" w:eastAsia="宋体"/>
          <w:vanish/>
          <w:kern w:val="2"/>
          <w:sz w:val="21"/>
          <w:szCs w:val="21"/>
          <w:lang w:eastAsia="zh-CN"/>
        </w:rPr>
      </w:pPr>
    </w:p>
    <w:p w14:paraId="08F8A436">
      <w:pPr>
        <w:pStyle w:val="57"/>
        <w:widowControl w:val="0"/>
        <w:numPr>
          <w:ilvl w:val="1"/>
          <w:numId w:val="8"/>
        </w:numPr>
        <w:spacing w:line="360" w:lineRule="auto"/>
        <w:ind w:firstLineChars="0"/>
        <w:jc w:val="both"/>
        <w:rPr>
          <w:rFonts w:ascii="宋体" w:hAnsi="宋体" w:eastAsia="宋体"/>
          <w:vanish/>
          <w:kern w:val="2"/>
          <w:sz w:val="21"/>
          <w:szCs w:val="21"/>
          <w:lang w:eastAsia="zh-CN"/>
        </w:rPr>
      </w:pPr>
    </w:p>
    <w:p w14:paraId="5D95D23D">
      <w:pPr>
        <w:pStyle w:val="57"/>
        <w:widowControl w:val="0"/>
        <w:numPr>
          <w:ilvl w:val="1"/>
          <w:numId w:val="8"/>
        </w:numPr>
        <w:spacing w:line="360" w:lineRule="auto"/>
        <w:ind w:firstLineChars="0"/>
        <w:jc w:val="both"/>
        <w:rPr>
          <w:rFonts w:ascii="宋体" w:hAnsi="宋体" w:eastAsia="宋体"/>
          <w:vanish/>
          <w:kern w:val="2"/>
          <w:sz w:val="21"/>
          <w:szCs w:val="21"/>
          <w:lang w:eastAsia="zh-CN"/>
        </w:rPr>
      </w:pPr>
    </w:p>
    <w:p w14:paraId="1F62B8F8">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控制柜、箱及附件、电器元件防护等级为</w:t>
      </w:r>
      <w:r>
        <w:rPr>
          <w:rFonts w:ascii="宋体" w:hAnsi="宋体" w:eastAsia="宋体"/>
          <w:kern w:val="2"/>
          <w:sz w:val="21"/>
          <w:szCs w:val="21"/>
          <w:lang w:eastAsia="zh-CN"/>
        </w:rPr>
        <w:t>IP55、环境温度60</w:t>
      </w:r>
      <w:r>
        <w:rPr>
          <w:rFonts w:hint="eastAsia" w:ascii="宋体" w:hAnsi="宋体" w:eastAsia="宋体"/>
          <w:kern w:val="2"/>
          <w:sz w:val="21"/>
          <w:szCs w:val="21"/>
          <w:lang w:eastAsia="zh-CN"/>
        </w:rPr>
        <w:t>℃以上。风机、温度、水位、压力、环境监测、水泵等监控采用硬接线方式接入控制柜，方便设备维护。</w:t>
      </w:r>
    </w:p>
    <w:p w14:paraId="7AB6A27E">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通过</w:t>
      </w:r>
      <w:r>
        <w:rPr>
          <w:rFonts w:ascii="宋体" w:hAnsi="宋体" w:eastAsia="宋体"/>
          <w:kern w:val="2"/>
          <w:sz w:val="21"/>
          <w:szCs w:val="21"/>
          <w:lang w:eastAsia="zh-CN"/>
        </w:rPr>
        <w:t>PLC控制柜将设备运行数据传送至控制室。</w:t>
      </w:r>
    </w:p>
    <w:p w14:paraId="696DA137">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sz w:val="21"/>
          <w:szCs w:val="21"/>
          <w:lang w:eastAsia="zh-CN"/>
        </w:rPr>
        <w:t>辅助设备系统的数据，采用</w:t>
      </w:r>
      <w:r>
        <w:rPr>
          <w:rFonts w:ascii="宋体" w:hAnsi="宋体" w:eastAsia="宋体"/>
          <w:sz w:val="21"/>
          <w:szCs w:val="21"/>
          <w:lang w:eastAsia="zh-CN"/>
        </w:rPr>
        <w:t>MODBUSRTU总线通讯方式集成入网关内，同时为今后的通讯设备扩充提供接口，传送枢纽楼采用MODBUSTCP总线通讯方式。</w:t>
      </w:r>
    </w:p>
    <w:p w14:paraId="2B6D9CFD">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sz w:val="21"/>
          <w:szCs w:val="21"/>
          <w:lang w:eastAsia="zh-CN"/>
        </w:rPr>
        <w:t>所有数据、工艺集成到上位机及触摸屏。</w:t>
      </w:r>
    </w:p>
    <w:p w14:paraId="345DCB5F">
      <w:pPr>
        <w:pStyle w:val="16"/>
        <w:numPr>
          <w:ilvl w:val="1"/>
          <w:numId w:val="28"/>
        </w:numPr>
        <w:shd w:val="clear" w:color="auto" w:fill="FFFFFF"/>
        <w:wordWrap w:val="0"/>
        <w:rPr>
          <w:kern w:val="2"/>
          <w:sz w:val="21"/>
          <w:szCs w:val="21"/>
        </w:rPr>
      </w:pPr>
      <w:r>
        <w:rPr>
          <w:rFonts w:hint="eastAsia"/>
          <w:kern w:val="2"/>
          <w:sz w:val="21"/>
          <w:szCs w:val="21"/>
        </w:rPr>
        <w:t>控制柜配置规格要求</w:t>
      </w:r>
    </w:p>
    <w:p w14:paraId="3A8B6265">
      <w:pPr>
        <w:pStyle w:val="16"/>
        <w:shd w:val="clear" w:color="auto" w:fill="FFFFFF"/>
        <w:wordWrap w:val="0"/>
        <w:ind w:firstLine="420" w:firstLineChars="200"/>
        <w:rPr>
          <w:kern w:val="2"/>
          <w:sz w:val="21"/>
          <w:szCs w:val="21"/>
        </w:rPr>
      </w:pPr>
      <w:r>
        <w:rPr>
          <w:rFonts w:hint="eastAsia"/>
          <w:kern w:val="2"/>
          <w:sz w:val="21"/>
          <w:szCs w:val="21"/>
        </w:rPr>
        <w:t>投标书技术文件必须包含控制柜的设计图纸，包括柜内配置图，接线图和点表清单。中标单位签订合同后</w:t>
      </w:r>
      <w:r>
        <w:rPr>
          <w:kern w:val="2"/>
          <w:sz w:val="21"/>
          <w:szCs w:val="21"/>
        </w:rPr>
        <w:t>7</w:t>
      </w:r>
      <w:r>
        <w:rPr>
          <w:rFonts w:hint="eastAsia"/>
          <w:kern w:val="2"/>
          <w:sz w:val="21"/>
          <w:szCs w:val="21"/>
        </w:rPr>
        <w:t>日内完成控制柜的最终优化设计，优化设计通过业主审核后进行组装、测试。实现</w:t>
      </w:r>
      <w:r>
        <w:rPr>
          <w:kern w:val="2"/>
          <w:sz w:val="21"/>
          <w:szCs w:val="21"/>
        </w:rPr>
        <w:t>CPU/</w:t>
      </w:r>
      <w:r>
        <w:rPr>
          <w:rFonts w:hint="eastAsia"/>
          <w:kern w:val="2"/>
          <w:sz w:val="21"/>
          <w:szCs w:val="21"/>
        </w:rPr>
        <w:t>网关控制柜与</w:t>
      </w:r>
      <w:r>
        <w:rPr>
          <w:kern w:val="2"/>
          <w:sz w:val="21"/>
          <w:szCs w:val="21"/>
        </w:rPr>
        <w:t>IO</w:t>
      </w:r>
      <w:r>
        <w:rPr>
          <w:rFonts w:hint="eastAsia"/>
          <w:kern w:val="2"/>
          <w:sz w:val="21"/>
          <w:szCs w:val="21"/>
        </w:rPr>
        <w:t>控制柜的通讯，编写测试软件，利用信号发生器完成模拟测试，能模拟电动阀门的开关动作和状态反馈，模拟温度、水位、压力、环境监测信号，模拟水泵的状态及控制信号。测试通过后提交</w:t>
      </w:r>
      <w:r>
        <w:rPr>
          <w:kern w:val="2"/>
          <w:sz w:val="21"/>
          <w:szCs w:val="21"/>
        </w:rPr>
        <w:t>IO</w:t>
      </w:r>
      <w:r>
        <w:rPr>
          <w:rFonts w:hint="eastAsia"/>
          <w:kern w:val="2"/>
          <w:sz w:val="21"/>
          <w:szCs w:val="21"/>
        </w:rPr>
        <w:t>点的测试报告，业主审核后再送至业主指定地点，由乙方完成机柜安装和现场设备的接线、调试工作。控制柜内电线颜色必须满足，</w:t>
      </w:r>
      <w:r>
        <w:rPr>
          <w:kern w:val="2"/>
          <w:sz w:val="21"/>
          <w:szCs w:val="21"/>
        </w:rPr>
        <w:t>24V-</w:t>
      </w:r>
      <w:r>
        <w:rPr>
          <w:rFonts w:hint="eastAsia"/>
          <w:kern w:val="2"/>
          <w:sz w:val="21"/>
          <w:szCs w:val="21"/>
        </w:rPr>
        <w:t>红色，</w:t>
      </w:r>
      <w:r>
        <w:rPr>
          <w:kern w:val="2"/>
          <w:sz w:val="21"/>
          <w:szCs w:val="21"/>
        </w:rPr>
        <w:t>0V-</w:t>
      </w:r>
      <w:r>
        <w:rPr>
          <w:rFonts w:hint="eastAsia"/>
          <w:kern w:val="2"/>
          <w:sz w:val="21"/>
          <w:szCs w:val="21"/>
        </w:rPr>
        <w:t>黑色，</w:t>
      </w:r>
      <w:r>
        <w:rPr>
          <w:kern w:val="2"/>
          <w:sz w:val="21"/>
          <w:szCs w:val="21"/>
        </w:rPr>
        <w:t>DI-</w:t>
      </w:r>
      <w:r>
        <w:rPr>
          <w:rFonts w:hint="eastAsia"/>
          <w:kern w:val="2"/>
          <w:sz w:val="21"/>
          <w:szCs w:val="21"/>
        </w:rPr>
        <w:t>橙色，</w:t>
      </w:r>
      <w:r>
        <w:rPr>
          <w:kern w:val="2"/>
          <w:sz w:val="21"/>
          <w:szCs w:val="21"/>
        </w:rPr>
        <w:t>DO-</w:t>
      </w:r>
      <w:r>
        <w:rPr>
          <w:rFonts w:hint="eastAsia"/>
          <w:kern w:val="2"/>
          <w:sz w:val="21"/>
          <w:szCs w:val="21"/>
        </w:rPr>
        <w:t>黄色，</w:t>
      </w:r>
      <w:r>
        <w:rPr>
          <w:kern w:val="2"/>
          <w:sz w:val="21"/>
          <w:szCs w:val="21"/>
        </w:rPr>
        <w:t>AI-</w:t>
      </w:r>
      <w:r>
        <w:rPr>
          <w:rFonts w:hint="eastAsia"/>
          <w:kern w:val="2"/>
          <w:sz w:val="21"/>
          <w:szCs w:val="21"/>
        </w:rPr>
        <w:t>粉色，</w:t>
      </w:r>
      <w:r>
        <w:rPr>
          <w:kern w:val="2"/>
          <w:sz w:val="21"/>
          <w:szCs w:val="21"/>
        </w:rPr>
        <w:t>AO-</w:t>
      </w:r>
      <w:r>
        <w:rPr>
          <w:rFonts w:hint="eastAsia"/>
          <w:kern w:val="2"/>
          <w:sz w:val="21"/>
          <w:szCs w:val="21"/>
        </w:rPr>
        <w:t>紫色，</w:t>
      </w:r>
      <w:r>
        <w:rPr>
          <w:kern w:val="2"/>
          <w:sz w:val="21"/>
          <w:szCs w:val="21"/>
        </w:rPr>
        <w:t>485</w:t>
      </w:r>
      <w:r>
        <w:rPr>
          <w:rFonts w:hint="eastAsia"/>
          <w:kern w:val="2"/>
          <w:sz w:val="21"/>
          <w:szCs w:val="21"/>
        </w:rPr>
        <w:t>通讯线</w:t>
      </w:r>
      <w:r>
        <w:rPr>
          <w:kern w:val="2"/>
          <w:sz w:val="21"/>
          <w:szCs w:val="21"/>
        </w:rPr>
        <w:t>-</w:t>
      </w:r>
      <w:r>
        <w:rPr>
          <w:rFonts w:hint="eastAsia"/>
          <w:kern w:val="2"/>
          <w:sz w:val="21"/>
          <w:szCs w:val="21"/>
        </w:rPr>
        <w:t>白色。</w:t>
      </w:r>
    </w:p>
    <w:p w14:paraId="2472EB0A">
      <w:pPr>
        <w:pStyle w:val="16"/>
        <w:numPr>
          <w:ilvl w:val="1"/>
          <w:numId w:val="28"/>
        </w:numPr>
        <w:shd w:val="clear" w:color="auto" w:fill="FFFFFF"/>
        <w:wordWrap w:val="0"/>
        <w:rPr>
          <w:kern w:val="2"/>
          <w:sz w:val="21"/>
          <w:szCs w:val="21"/>
        </w:rPr>
      </w:pPr>
      <w:r>
        <w:rPr>
          <w:rFonts w:hint="eastAsia"/>
          <w:kern w:val="2"/>
          <w:sz w:val="21"/>
          <w:szCs w:val="21"/>
        </w:rPr>
        <w:t>控制柜安装位置和高度</w:t>
      </w:r>
    </w:p>
    <w:p w14:paraId="6F38DF19">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61423AE9">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59B043E2">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33715F96">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75EC2325">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0E3C95C8">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7DEC9458">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0BF691CF">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319124EF">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5A09C7F1">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控制</w:t>
      </w:r>
      <w:r>
        <w:rPr>
          <w:rFonts w:hint="eastAsia" w:ascii="宋体" w:hAnsi="宋体" w:eastAsia="宋体"/>
          <w:kern w:val="2"/>
          <w:sz w:val="21"/>
          <w:szCs w:val="21"/>
          <w:lang w:eastAsia="zh-CN"/>
        </w:rPr>
        <w:t>柜</w:t>
      </w:r>
      <w:r>
        <w:rPr>
          <w:rFonts w:hint="eastAsia" w:ascii="宋体" w:hAnsi="宋体" w:eastAsia="宋体" w:cs="仿宋"/>
          <w:kern w:val="2"/>
          <w:sz w:val="21"/>
          <w:szCs w:val="21"/>
          <w:lang w:eastAsia="zh-CN"/>
        </w:rPr>
        <w:t>应安装在便于操作和维护的位置，</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同时考虑到安全和方便维修的原则。</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壁挂式控制</w:t>
      </w:r>
      <w:r>
        <w:rPr>
          <w:rFonts w:hint="eastAsia" w:ascii="宋体" w:hAnsi="宋体" w:eastAsia="宋体"/>
          <w:kern w:val="2"/>
          <w:sz w:val="21"/>
          <w:szCs w:val="21"/>
          <w:lang w:eastAsia="zh-CN"/>
        </w:rPr>
        <w:t>柜</w:t>
      </w:r>
      <w:r>
        <w:rPr>
          <w:rFonts w:hint="eastAsia" w:ascii="宋体" w:hAnsi="宋体" w:eastAsia="宋体" w:cs="仿宋"/>
          <w:kern w:val="2"/>
          <w:sz w:val="21"/>
          <w:szCs w:val="21"/>
          <w:lang w:eastAsia="zh-CN"/>
        </w:rPr>
        <w:t>的安装高度宜为</w:t>
      </w:r>
      <w:r>
        <w:rPr>
          <w:rFonts w:ascii="宋体" w:hAnsi="宋体" w:eastAsia="宋体"/>
          <w:kern w:val="2"/>
          <w:sz w:val="21"/>
          <w:szCs w:val="21"/>
          <w:lang w:eastAsia="zh-CN"/>
        </w:rPr>
        <w:t>1.3~1.5</w:t>
      </w:r>
      <w:r>
        <w:rPr>
          <w:rFonts w:hint="eastAsia" w:ascii="宋体" w:hAnsi="宋体" w:eastAsia="宋体"/>
          <w:kern w:val="2"/>
          <w:sz w:val="21"/>
          <w:szCs w:val="21"/>
          <w:lang w:eastAsia="zh-CN"/>
        </w:rPr>
        <w:t>米，</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这样既可以保证操作人员可以方便地查看和控制，</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又能确保安全操作距离</w:t>
      </w:r>
      <w:r>
        <w:rPr>
          <w:rFonts w:hint="eastAsia" w:ascii="宋体" w:hAnsi="宋体" w:eastAsia="宋体"/>
          <w:kern w:val="2"/>
          <w:sz w:val="21"/>
          <w:szCs w:val="21"/>
          <w:lang w:eastAsia="zh-CN"/>
        </w:rPr>
        <w:t>。</w:t>
      </w:r>
    </w:p>
    <w:p w14:paraId="3BAFE026">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固定和稳定性：</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控制柜应牢固地安装在墙上，</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确保不会因外部力量而移动或摇晃。</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安装时应遵循横平竖直的原则，</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以保持控制柜的稳定性和美观性，固定方式根据现场情况编写到实施方案中。</w:t>
      </w:r>
      <w:r>
        <w:rPr>
          <w:rFonts w:ascii="MS Mincho" w:hAnsi="MS Mincho" w:eastAsia="MS Mincho" w:cs="MS Mincho"/>
          <w:kern w:val="2"/>
          <w:sz w:val="21"/>
          <w:szCs w:val="21"/>
          <w:lang w:eastAsia="zh-CN"/>
        </w:rPr>
        <w:t>‌</w:t>
      </w:r>
    </w:p>
    <w:p w14:paraId="29D011FD">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电源线和电缆管理：</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电源线和电缆的进出应通过线槽或线管进行保护，</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避免直接暴露在外，</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以增加安全性和延长电缆使用寿命。</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插板应安装在配电箱侧面或下面，</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电线必须穿管防护，</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确保安装牢固。</w:t>
      </w:r>
    </w:p>
    <w:p w14:paraId="5A303D78">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安全标识：</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配电箱正面应粘贴当心触电的标示，</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以提醒操作人员注意安全。</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此外，</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对于控制柜内的电气元件，</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应明确标识其用途和操作方法，</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避免误操作。</w:t>
      </w:r>
      <w:r>
        <w:rPr>
          <w:rFonts w:ascii="MS Mincho" w:hAnsi="MS Mincho" w:eastAsia="MS Mincho" w:cs="MS Mincho"/>
          <w:kern w:val="2"/>
          <w:sz w:val="21"/>
          <w:szCs w:val="21"/>
          <w:lang w:eastAsia="zh-CN"/>
        </w:rPr>
        <w:t>‌</w:t>
      </w:r>
    </w:p>
    <w:p w14:paraId="6BE7D812">
      <w:pPr>
        <w:pStyle w:val="16"/>
        <w:numPr>
          <w:ilvl w:val="1"/>
          <w:numId w:val="28"/>
        </w:numPr>
        <w:shd w:val="clear" w:color="auto" w:fill="FFFFFF"/>
        <w:wordWrap w:val="0"/>
        <w:rPr>
          <w:kern w:val="2"/>
          <w:sz w:val="21"/>
          <w:szCs w:val="21"/>
        </w:rPr>
      </w:pPr>
      <w:r>
        <w:rPr>
          <w:rFonts w:hint="eastAsia"/>
          <w:kern w:val="2"/>
          <w:sz w:val="21"/>
          <w:szCs w:val="21"/>
        </w:rPr>
        <w:t>供电与接地</w:t>
      </w:r>
    </w:p>
    <w:p w14:paraId="01FB3136">
      <w:pPr>
        <w:pStyle w:val="16"/>
        <w:shd w:val="clear" w:color="auto" w:fill="FFFFFF"/>
        <w:wordWrap w:val="0"/>
        <w:ind w:firstLine="420" w:firstLineChars="200"/>
        <w:rPr>
          <w:kern w:val="2"/>
          <w:sz w:val="21"/>
          <w:szCs w:val="21"/>
        </w:rPr>
      </w:pPr>
      <w:r>
        <w:rPr>
          <w:rFonts w:hint="eastAsia"/>
          <w:kern w:val="2"/>
          <w:sz w:val="21"/>
          <w:szCs w:val="21"/>
        </w:rPr>
        <w:t>系统供电应采用</w:t>
      </w:r>
      <w:r>
        <w:rPr>
          <w:kern w:val="2"/>
          <w:sz w:val="21"/>
          <w:szCs w:val="21"/>
        </w:rPr>
        <w:t>220VAC，50HZ的单相交流电，并配专用配电回路。当电源经常波动超过5%~10%时，应当设置稳压电源装置。稳压电源功率不小于系统使用功率的1.5倍。系统的接地宜采用一点接地方式。接地母线应采用铜质线，接地线不得与强电的零线相接。系统采用专用接地装置时，其接地电阻不得大于4Ω;采用综合接地时，其接地电阻不得大于1Ω。</w:t>
      </w:r>
    </w:p>
    <w:p w14:paraId="2E5E9460">
      <w:pPr>
        <w:pStyle w:val="16"/>
        <w:numPr>
          <w:ilvl w:val="1"/>
          <w:numId w:val="28"/>
        </w:numPr>
        <w:shd w:val="clear" w:color="auto" w:fill="FFFFFF"/>
        <w:wordWrap w:val="0"/>
        <w:rPr>
          <w:kern w:val="2"/>
          <w:sz w:val="21"/>
          <w:szCs w:val="21"/>
        </w:rPr>
      </w:pPr>
      <w:r>
        <w:rPr>
          <w:rFonts w:hint="eastAsia"/>
          <w:kern w:val="2"/>
          <w:sz w:val="21"/>
          <w:szCs w:val="21"/>
        </w:rPr>
        <w:t>其他要求</w:t>
      </w:r>
    </w:p>
    <w:p w14:paraId="0BAC9CDC">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3AC4F096">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3EC61866">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530A2589">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0E527FCD">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7F5798C7">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2E1517E1">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7C684BC5">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291E0E44">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0C3E258C">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12F43221">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716AE609">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供货商负责供货、调试，工艺满足原设计要求、满足使用要求；</w:t>
      </w:r>
    </w:p>
    <w:p w14:paraId="54E7E296">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随时提供技术咨询或现场培训；</w:t>
      </w:r>
    </w:p>
    <w:p w14:paraId="2B98B5E0">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供货单位熟悉</w:t>
      </w:r>
      <w:r>
        <w:rPr>
          <w:rFonts w:ascii="宋体" w:hAnsi="宋体" w:eastAsia="宋体"/>
          <w:kern w:val="2"/>
          <w:sz w:val="21"/>
          <w:szCs w:val="21"/>
          <w:lang w:eastAsia="zh-CN"/>
        </w:rPr>
        <w:t>PLC</w:t>
      </w:r>
      <w:r>
        <w:rPr>
          <w:rFonts w:hint="eastAsia" w:ascii="宋体" w:hAnsi="宋体" w:eastAsia="宋体"/>
          <w:kern w:val="2"/>
          <w:sz w:val="21"/>
          <w:szCs w:val="21"/>
          <w:lang w:eastAsia="zh-CN"/>
        </w:rPr>
        <w:t>系统及编程软件，按要求设计机柜图，并提供设计安装图纸</w:t>
      </w:r>
    </w:p>
    <w:p w14:paraId="291B1AB0">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控制柜设计工艺要求必须满足仓点要求，及控制逻辑、启动条件、故障报警等控制工艺保持一致性。</w:t>
      </w:r>
    </w:p>
    <w:p w14:paraId="1B17BC4F">
      <w:pPr>
        <w:numPr>
          <w:ilvl w:val="0"/>
          <w:numId w:val="22"/>
        </w:numPr>
        <w:spacing w:line="120" w:lineRule="atLeast"/>
        <w:outlineLvl w:val="1"/>
        <w:rPr>
          <w:rFonts w:ascii="宋体" w:hAnsi="宋体"/>
          <w:b/>
          <w:szCs w:val="21"/>
        </w:rPr>
      </w:pPr>
      <w:bookmarkStart w:id="23" w:name="_Toc357690618"/>
      <w:r>
        <w:rPr>
          <w:rFonts w:hint="eastAsia" w:ascii="宋体" w:hAnsi="宋体"/>
          <w:b/>
          <w:szCs w:val="21"/>
        </w:rPr>
        <w:t>施工</w:t>
      </w:r>
      <w:bookmarkEnd w:id="23"/>
      <w:r>
        <w:rPr>
          <w:rFonts w:hint="eastAsia" w:ascii="宋体" w:hAnsi="宋体"/>
          <w:b/>
          <w:szCs w:val="21"/>
        </w:rPr>
        <w:t>要求</w:t>
      </w:r>
    </w:p>
    <w:p w14:paraId="45C35189">
      <w:pPr>
        <w:pStyle w:val="57"/>
        <w:widowControl w:val="0"/>
        <w:numPr>
          <w:ilvl w:val="0"/>
          <w:numId w:val="29"/>
        </w:numPr>
        <w:ind w:firstLineChars="0"/>
        <w:rPr>
          <w:rFonts w:ascii="宋体" w:hAnsi="宋体" w:eastAsia="宋体"/>
          <w:vanish/>
          <w:color w:val="000000"/>
          <w:kern w:val="2"/>
          <w:sz w:val="21"/>
          <w:szCs w:val="21"/>
          <w:lang w:eastAsia="zh-CN"/>
        </w:rPr>
      </w:pPr>
    </w:p>
    <w:p w14:paraId="4F3C1735">
      <w:pPr>
        <w:numPr>
          <w:ilvl w:val="1"/>
          <w:numId w:val="29"/>
        </w:numPr>
        <w:jc w:val="left"/>
        <w:rPr>
          <w:rFonts w:ascii="宋体" w:hAnsi="宋体"/>
          <w:color w:val="000000"/>
          <w:szCs w:val="21"/>
        </w:rPr>
      </w:pPr>
      <w:r>
        <w:rPr>
          <w:rFonts w:hint="eastAsia" w:ascii="宋体" w:hAnsi="宋体"/>
          <w:color w:val="000000"/>
          <w:szCs w:val="21"/>
        </w:rPr>
        <w:t>本项目工期总日历天数为</w:t>
      </w:r>
      <w:r>
        <w:rPr>
          <w:rFonts w:ascii="宋体" w:hAnsi="宋体"/>
          <w:color w:val="000000"/>
          <w:szCs w:val="21"/>
        </w:rPr>
        <w:t>60天（包括法定节假日在内连续计算），自我司发出开工指令的次日起算。</w:t>
      </w:r>
    </w:p>
    <w:p w14:paraId="0CA63961">
      <w:pPr>
        <w:numPr>
          <w:ilvl w:val="1"/>
          <w:numId w:val="29"/>
        </w:numPr>
        <w:jc w:val="left"/>
        <w:rPr>
          <w:rFonts w:ascii="宋体" w:hAnsi="宋体"/>
          <w:color w:val="000000"/>
          <w:szCs w:val="21"/>
        </w:rPr>
      </w:pPr>
      <w:r>
        <w:rPr>
          <w:rFonts w:hint="eastAsia" w:ascii="宋体" w:hAnsi="宋体"/>
          <w:color w:val="000000"/>
          <w:szCs w:val="21"/>
        </w:rPr>
        <w:t>安全第一，执行甲方的安全管理规章制度，办票作业。</w:t>
      </w:r>
    </w:p>
    <w:p w14:paraId="6EB8F213">
      <w:pPr>
        <w:numPr>
          <w:ilvl w:val="1"/>
          <w:numId w:val="29"/>
        </w:numPr>
        <w:jc w:val="left"/>
        <w:rPr>
          <w:rFonts w:ascii="宋体" w:hAnsi="宋体"/>
          <w:color w:val="000000"/>
          <w:szCs w:val="21"/>
        </w:rPr>
      </w:pPr>
      <w:r>
        <w:rPr>
          <w:rFonts w:hint="eastAsia" w:ascii="宋体" w:hAnsi="宋体"/>
          <w:color w:val="000000"/>
          <w:szCs w:val="21"/>
        </w:rPr>
        <w:t>施工方应充分察勘现场，对影响施工质量的潜在风险进行评估，施工时注意成品保护，必要时采取围护、覆盖等有效措施，施工方应充分考虑成品保护措施费。</w:t>
      </w:r>
    </w:p>
    <w:p w14:paraId="5AEA1218">
      <w:pPr>
        <w:numPr>
          <w:ilvl w:val="1"/>
          <w:numId w:val="29"/>
        </w:numPr>
        <w:jc w:val="left"/>
        <w:rPr>
          <w:rFonts w:ascii="宋体" w:hAnsi="宋体"/>
          <w:color w:val="000000"/>
          <w:szCs w:val="21"/>
        </w:rPr>
      </w:pPr>
      <w:r>
        <w:rPr>
          <w:rFonts w:hint="eastAsia" w:ascii="宋体" w:hAnsi="宋体"/>
          <w:color w:val="000000"/>
          <w:szCs w:val="21"/>
        </w:rPr>
        <w:t>项目经理或安全员到场管理，且人证合一。</w:t>
      </w:r>
    </w:p>
    <w:p w14:paraId="06220C9F">
      <w:pPr>
        <w:numPr>
          <w:ilvl w:val="1"/>
          <w:numId w:val="29"/>
        </w:numPr>
        <w:jc w:val="left"/>
        <w:rPr>
          <w:rFonts w:ascii="宋体" w:hAnsi="宋体"/>
          <w:color w:val="000000"/>
          <w:szCs w:val="21"/>
        </w:rPr>
      </w:pPr>
      <w:r>
        <w:rPr>
          <w:rFonts w:hint="eastAsia" w:ascii="宋体" w:hAnsi="宋体"/>
          <w:color w:val="000000"/>
          <w:szCs w:val="21"/>
        </w:rPr>
        <w:t>本采购要求供货商包采购、包送货、包安装调试、包质量、包使用培训、包税费、质保期服务和完成这些工作所需的材料、工器具以及其他相关服务等。供货商必须提供全新的货物。</w:t>
      </w:r>
    </w:p>
    <w:p w14:paraId="3B4A24E8">
      <w:pPr>
        <w:numPr>
          <w:ilvl w:val="1"/>
          <w:numId w:val="29"/>
        </w:numPr>
        <w:jc w:val="left"/>
        <w:rPr>
          <w:rFonts w:ascii="宋体" w:hAnsi="宋体"/>
          <w:color w:val="000000"/>
          <w:szCs w:val="21"/>
        </w:rPr>
      </w:pPr>
      <w:r>
        <w:rPr>
          <w:rFonts w:hint="eastAsia" w:ascii="宋体" w:hAnsi="宋体"/>
          <w:color w:val="000000"/>
          <w:szCs w:val="21"/>
        </w:rPr>
        <w:t>布管布线要求做到横平竖直</w:t>
      </w:r>
      <w:r>
        <w:rPr>
          <w:rFonts w:ascii="宋体" w:hAnsi="宋体"/>
          <w:color w:val="000000"/>
          <w:szCs w:val="21"/>
        </w:rPr>
        <w:t>,工艺美观,质量符合要求，线管内不允许有接头，室外及地面必须采用金属管穿线开挖填埋，做到防腐防水，金属管外壳必须与防雷接地系统可靠连接，管廊内布线按业主指定位置敷设。</w:t>
      </w:r>
    </w:p>
    <w:p w14:paraId="4ABE6E6F">
      <w:pPr>
        <w:numPr>
          <w:ilvl w:val="1"/>
          <w:numId w:val="29"/>
        </w:numPr>
        <w:jc w:val="left"/>
        <w:rPr>
          <w:rFonts w:ascii="宋体" w:hAnsi="宋体"/>
          <w:color w:val="000000"/>
          <w:szCs w:val="21"/>
        </w:rPr>
      </w:pPr>
      <w:r>
        <w:rPr>
          <w:rFonts w:hint="eastAsia" w:ascii="宋体" w:hAnsi="宋体"/>
          <w:color w:val="000000"/>
          <w:szCs w:val="21"/>
        </w:rPr>
        <w:t>现场了解清楚综合管沟工艺、设备运行情况、</w:t>
      </w:r>
      <w:r>
        <w:rPr>
          <w:rFonts w:ascii="宋体" w:hAnsi="宋体"/>
          <w:color w:val="000000"/>
          <w:szCs w:val="21"/>
        </w:rPr>
        <w:t>PLC控制柜模块、电气布线、运行情况、中控监控系统运行情况等。</w:t>
      </w:r>
    </w:p>
    <w:p w14:paraId="5CB62786">
      <w:pPr>
        <w:numPr>
          <w:ilvl w:val="1"/>
          <w:numId w:val="29"/>
        </w:numPr>
        <w:jc w:val="left"/>
        <w:rPr>
          <w:rFonts w:ascii="宋体" w:hAnsi="宋体"/>
          <w:color w:val="000000"/>
          <w:szCs w:val="21"/>
        </w:rPr>
      </w:pPr>
      <w:r>
        <w:rPr>
          <w:rFonts w:hint="eastAsia" w:ascii="宋体" w:hAnsi="宋体"/>
          <w:color w:val="000000"/>
          <w:szCs w:val="21"/>
        </w:rPr>
        <w:t>施工前，供应商根据业主要求，现场情况，确定安装位置及要求，实施方案、安装图纸、机柜布置图、接线图、深化设计图、必须得到业主认可。</w:t>
      </w:r>
    </w:p>
    <w:p w14:paraId="5D9605E4">
      <w:pPr>
        <w:numPr>
          <w:ilvl w:val="0"/>
          <w:numId w:val="22"/>
        </w:numPr>
        <w:spacing w:line="120" w:lineRule="atLeast"/>
        <w:outlineLvl w:val="1"/>
        <w:rPr>
          <w:rFonts w:ascii="宋体" w:hAnsi="宋体"/>
          <w:b/>
          <w:szCs w:val="21"/>
        </w:rPr>
      </w:pPr>
      <w:r>
        <w:rPr>
          <w:rFonts w:hint="eastAsia" w:ascii="宋体" w:hAnsi="宋体"/>
          <w:b/>
          <w:szCs w:val="21"/>
        </w:rPr>
        <w:t>服务</w:t>
      </w:r>
    </w:p>
    <w:p w14:paraId="1D87BD3E">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C3C5E8D">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C115062">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2430993">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478051C6">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27F9B32">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03FDB555">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5D820BFC">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96CFD8E">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544FC7A">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26F8987">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9A90314">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1701524F">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568BBAD5">
      <w:pPr>
        <w:pStyle w:val="16"/>
        <w:numPr>
          <w:ilvl w:val="1"/>
          <w:numId w:val="31"/>
        </w:numPr>
        <w:shd w:val="clear" w:color="auto" w:fill="FFFFFF"/>
        <w:wordWrap w:val="0"/>
        <w:rPr>
          <w:kern w:val="2"/>
          <w:sz w:val="21"/>
          <w:szCs w:val="21"/>
        </w:rPr>
      </w:pPr>
      <w:r>
        <w:rPr>
          <w:rFonts w:hint="eastAsia"/>
          <w:kern w:val="2"/>
          <w:sz w:val="21"/>
          <w:szCs w:val="21"/>
        </w:rPr>
        <w:t>供货商负责对业主进行设备使用培训，供货商必须派有经验的工程技术人员对业主技术及操作人员进行设备的运行、维护方面的培训和指导；</w:t>
      </w:r>
      <w:r>
        <w:rPr>
          <w:kern w:val="2"/>
          <w:sz w:val="21"/>
          <w:szCs w:val="21"/>
        </w:rPr>
        <w:t>在工程现场进行实际操作示范，让参加培训人员</w:t>
      </w:r>
      <w:r>
        <w:rPr>
          <w:rFonts w:hint="eastAsia"/>
          <w:kern w:val="2"/>
          <w:sz w:val="21"/>
          <w:szCs w:val="21"/>
        </w:rPr>
        <w:t>对设备充分了解，达到更好的</w:t>
      </w:r>
      <w:r>
        <w:rPr>
          <w:kern w:val="2"/>
          <w:sz w:val="21"/>
          <w:szCs w:val="21"/>
        </w:rPr>
        <w:t>操作和维护设备的</w:t>
      </w:r>
      <w:r>
        <w:rPr>
          <w:rFonts w:hint="eastAsia"/>
          <w:kern w:val="2"/>
          <w:sz w:val="21"/>
          <w:szCs w:val="21"/>
        </w:rPr>
        <w:t>目的。</w:t>
      </w:r>
    </w:p>
    <w:p w14:paraId="4111C2B1">
      <w:pPr>
        <w:pStyle w:val="16"/>
        <w:numPr>
          <w:ilvl w:val="1"/>
          <w:numId w:val="31"/>
        </w:numPr>
        <w:shd w:val="clear" w:color="auto" w:fill="FFFFFF"/>
        <w:wordWrap w:val="0"/>
        <w:rPr>
          <w:kern w:val="2"/>
          <w:sz w:val="21"/>
          <w:szCs w:val="21"/>
        </w:rPr>
      </w:pPr>
      <w:r>
        <w:rPr>
          <w:rFonts w:hint="eastAsia"/>
          <w:kern w:val="2"/>
          <w:sz w:val="21"/>
          <w:szCs w:val="21"/>
        </w:rPr>
        <w:t>设备验收合格并交付业主前，供货商应自行保管设备材料，并自行承担这些设备材料损坏、丢失的风险。</w:t>
      </w:r>
    </w:p>
    <w:p w14:paraId="48383C09">
      <w:pPr>
        <w:pStyle w:val="16"/>
        <w:numPr>
          <w:ilvl w:val="1"/>
          <w:numId w:val="31"/>
        </w:numPr>
        <w:shd w:val="clear" w:color="auto" w:fill="FFFFFF"/>
        <w:wordWrap w:val="0"/>
        <w:rPr>
          <w:kern w:val="2"/>
          <w:sz w:val="21"/>
          <w:szCs w:val="21"/>
        </w:rPr>
      </w:pPr>
      <w:r>
        <w:rPr>
          <w:rFonts w:hint="eastAsia"/>
          <w:kern w:val="2"/>
          <w:sz w:val="21"/>
          <w:szCs w:val="21"/>
        </w:rPr>
        <w:t>本项目现场施工和调试运行期间，必须保证综合管沟正常生产运行，设备调试指导及调试，供货商必须按要求协商提供调试方案，开展调试运行工作，做好调试和测试记录。</w:t>
      </w:r>
    </w:p>
    <w:p w14:paraId="4E2B0B0C">
      <w:pPr>
        <w:pStyle w:val="16"/>
        <w:numPr>
          <w:ilvl w:val="1"/>
          <w:numId w:val="31"/>
        </w:numPr>
        <w:shd w:val="clear" w:color="auto" w:fill="FFFFFF"/>
        <w:wordWrap w:val="0"/>
        <w:rPr>
          <w:kern w:val="2"/>
          <w:sz w:val="21"/>
          <w:szCs w:val="21"/>
        </w:rPr>
      </w:pPr>
      <w:r>
        <w:rPr>
          <w:rFonts w:hint="eastAsia"/>
          <w:kern w:val="2"/>
          <w:sz w:val="21"/>
          <w:szCs w:val="21"/>
        </w:rPr>
        <w:t>派专门技术人员现场指导并负责所供设备的安装工作，负责安装完毕后的单机调试和联动调试工作。安装完成时，进行检查，提交安装完毕及质量合格的证明。</w:t>
      </w:r>
    </w:p>
    <w:p w14:paraId="0B41AF23">
      <w:pPr>
        <w:pStyle w:val="16"/>
        <w:numPr>
          <w:ilvl w:val="1"/>
          <w:numId w:val="31"/>
        </w:numPr>
        <w:shd w:val="clear" w:color="auto" w:fill="FFFFFF"/>
        <w:wordWrap w:val="0"/>
        <w:rPr>
          <w:kern w:val="2"/>
          <w:sz w:val="21"/>
          <w:szCs w:val="21"/>
        </w:rPr>
      </w:pPr>
      <w:r>
        <w:rPr>
          <w:rFonts w:hint="eastAsia"/>
          <w:kern w:val="2"/>
          <w:sz w:val="21"/>
          <w:szCs w:val="21"/>
        </w:rPr>
        <w:t>供货商负责系统试运行的全过程，试运行是考核整个系统的质量和可靠性的重要步骤，在试运行满足要求后，验收才能进行。</w:t>
      </w:r>
    </w:p>
    <w:p w14:paraId="4582B20B">
      <w:pPr>
        <w:pStyle w:val="16"/>
        <w:numPr>
          <w:ilvl w:val="1"/>
          <w:numId w:val="31"/>
        </w:numPr>
        <w:shd w:val="clear" w:color="auto" w:fill="FFFFFF"/>
        <w:wordWrap w:val="0"/>
        <w:rPr>
          <w:kern w:val="2"/>
          <w:sz w:val="21"/>
          <w:szCs w:val="21"/>
        </w:rPr>
      </w:pPr>
      <w:r>
        <w:rPr>
          <w:rFonts w:hint="eastAsia"/>
          <w:kern w:val="2"/>
          <w:sz w:val="21"/>
          <w:szCs w:val="21"/>
        </w:rPr>
        <w:t>提供所有设备的规格及说明书、合格证、配件、图纸。</w:t>
      </w:r>
    </w:p>
    <w:p w14:paraId="4F85AC79">
      <w:pPr>
        <w:pStyle w:val="16"/>
        <w:numPr>
          <w:ilvl w:val="1"/>
          <w:numId w:val="31"/>
        </w:numPr>
        <w:shd w:val="clear" w:color="auto" w:fill="FFFFFF"/>
        <w:wordWrap w:val="0"/>
        <w:rPr>
          <w:kern w:val="2"/>
          <w:sz w:val="21"/>
          <w:szCs w:val="21"/>
        </w:rPr>
      </w:pPr>
      <w:r>
        <w:rPr>
          <w:rFonts w:hint="eastAsia"/>
          <w:kern w:val="2"/>
          <w:sz w:val="21"/>
          <w:szCs w:val="21"/>
        </w:rPr>
        <w:t>质保期的服务：供货商必须为设备提供</w:t>
      </w:r>
      <w:r>
        <w:rPr>
          <w:kern w:val="2"/>
          <w:sz w:val="21"/>
          <w:szCs w:val="21"/>
        </w:rPr>
        <w:t>2年的免费维修保养和缺陷保修，时间从安装调试验收合格之日算起。要求维修维护服务24小时服务，在接到要求维护维修通知四小时内</w:t>
      </w:r>
      <w:r>
        <w:rPr>
          <w:rFonts w:hint="eastAsia"/>
          <w:kern w:val="2"/>
          <w:sz w:val="21"/>
          <w:szCs w:val="21"/>
        </w:rPr>
        <w:t>作出响应，</w:t>
      </w:r>
      <w:r>
        <w:rPr>
          <w:kern w:val="2"/>
          <w:sz w:val="21"/>
          <w:szCs w:val="21"/>
        </w:rPr>
        <w:t>12小时内赶到现场服务，直到问题得到妥善解决。保修期内由于设备本身质量原因造成的任何损伤或损坏，供货商必须免费负责修理或更换。</w:t>
      </w:r>
    </w:p>
    <w:p w14:paraId="56CE9174">
      <w:pPr>
        <w:numPr>
          <w:ilvl w:val="0"/>
          <w:numId w:val="22"/>
        </w:numPr>
        <w:spacing w:line="120" w:lineRule="atLeast"/>
        <w:outlineLvl w:val="1"/>
        <w:rPr>
          <w:rFonts w:ascii="宋体" w:hAnsi="宋体"/>
          <w:b/>
          <w:szCs w:val="21"/>
        </w:rPr>
      </w:pPr>
      <w:r>
        <w:rPr>
          <w:rFonts w:hint="eastAsia" w:ascii="宋体" w:hAnsi="宋体"/>
          <w:b/>
          <w:szCs w:val="21"/>
        </w:rPr>
        <w:t>验收</w:t>
      </w:r>
    </w:p>
    <w:p w14:paraId="3CBA0176">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17DB8860">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43B2CD54">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5971941A">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0D48777A">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3FF42A24">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4555113C">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11B9632A">
      <w:pPr>
        <w:numPr>
          <w:ilvl w:val="1"/>
          <w:numId w:val="32"/>
        </w:numPr>
        <w:spacing w:line="120" w:lineRule="atLeast"/>
        <w:outlineLvl w:val="1"/>
        <w:rPr>
          <w:rFonts w:ascii="宋体" w:hAnsi="宋体"/>
          <w:szCs w:val="21"/>
        </w:rPr>
      </w:pPr>
      <w:r>
        <w:rPr>
          <w:rFonts w:hint="eastAsia" w:ascii="宋体" w:hAnsi="宋体"/>
          <w:szCs w:val="21"/>
        </w:rPr>
        <w:t>质量验收标准：《人机界面标志标识的基本和安全规则操作规则》GB</w:t>
      </w:r>
      <w:r>
        <w:rPr>
          <w:rFonts w:ascii="宋体" w:hAnsi="宋体"/>
          <w:szCs w:val="21"/>
        </w:rPr>
        <w:t>/T4205-2010</w:t>
      </w:r>
      <w:r>
        <w:rPr>
          <w:rFonts w:hint="eastAsia" w:ascii="宋体" w:hAnsi="宋体"/>
          <w:szCs w:val="21"/>
        </w:rPr>
        <w:t>、</w:t>
      </w:r>
      <w:r>
        <w:rPr>
          <w:rFonts w:hint="eastAsia" w:ascii="宋体" w:hAnsi="宋体"/>
          <w:szCs w:val="21"/>
          <w:shd w:val="clear" w:color="auto" w:fill="FFFFFF"/>
        </w:rPr>
        <w:t>《综合布线系统工程设计规范》</w:t>
      </w:r>
      <w:r>
        <w:rPr>
          <w:rFonts w:ascii="宋体" w:hAnsi="宋体"/>
          <w:szCs w:val="21"/>
          <w:shd w:val="clear" w:color="auto" w:fill="FFFFFF"/>
        </w:rPr>
        <w:t>GB50311-2016、《计算机房设计规范》GB/T29467-2017、《电气和电子设备机械结构符合英制系列和公制系列机柜的热管理》GB_T40815.5-2022</w:t>
      </w:r>
      <w:r>
        <w:rPr>
          <w:rFonts w:hint="eastAsia" w:ascii="宋体" w:hAnsi="宋体"/>
          <w:szCs w:val="21"/>
        </w:rPr>
        <w:t>及其它相关验收规范。</w:t>
      </w:r>
    </w:p>
    <w:p w14:paraId="2539895B">
      <w:pPr>
        <w:numPr>
          <w:ilvl w:val="1"/>
          <w:numId w:val="32"/>
        </w:numPr>
        <w:spacing w:line="120" w:lineRule="atLeast"/>
        <w:outlineLvl w:val="1"/>
        <w:rPr>
          <w:rFonts w:ascii="宋体" w:hAnsi="宋体"/>
          <w:szCs w:val="21"/>
        </w:rPr>
      </w:pPr>
      <w:r>
        <w:rPr>
          <w:rFonts w:hint="eastAsia" w:ascii="宋体" w:hAnsi="宋体"/>
          <w:szCs w:val="21"/>
        </w:rPr>
        <w:t>工程竣工验收完毕，施工单位需提交竣工图一式六份及相关设备使用说明书、出厂合格证明等相关资料</w:t>
      </w:r>
    </w:p>
    <w:p w14:paraId="03A9A1FE">
      <w:pPr>
        <w:numPr>
          <w:ilvl w:val="0"/>
          <w:numId w:val="22"/>
        </w:numPr>
        <w:spacing w:line="120" w:lineRule="atLeast"/>
        <w:outlineLvl w:val="1"/>
        <w:rPr>
          <w:rFonts w:ascii="宋体" w:hAnsi="宋体"/>
          <w:b/>
          <w:szCs w:val="21"/>
        </w:rPr>
      </w:pPr>
      <w:r>
        <w:rPr>
          <w:rFonts w:hint="eastAsia" w:ascii="宋体" w:hAnsi="宋体"/>
          <w:b/>
          <w:szCs w:val="21"/>
        </w:rPr>
        <w:t>其它</w:t>
      </w:r>
    </w:p>
    <w:p w14:paraId="21757FB9">
      <w:pPr>
        <w:pStyle w:val="16"/>
        <w:shd w:val="clear" w:color="auto" w:fill="FFFFFF"/>
        <w:wordWrap w:val="0"/>
        <w:ind w:firstLine="420" w:firstLineChars="200"/>
        <w:rPr>
          <w:kern w:val="2"/>
          <w:sz w:val="21"/>
          <w:szCs w:val="21"/>
        </w:rPr>
      </w:pPr>
      <w:r>
        <w:rPr>
          <w:kern w:val="2"/>
          <w:sz w:val="21"/>
          <w:szCs w:val="21"/>
        </w:rPr>
        <w:t>2021年1月1日至今，至少1个完成过质量合格的PLC系列系统或与此相当的系统采集</w:t>
      </w:r>
      <w:r>
        <w:rPr>
          <w:rFonts w:hint="eastAsia"/>
          <w:kern w:val="2"/>
          <w:sz w:val="21"/>
          <w:szCs w:val="21"/>
        </w:rPr>
        <w:t>、</w:t>
      </w:r>
      <w:r>
        <w:rPr>
          <w:kern w:val="2"/>
          <w:sz w:val="21"/>
          <w:szCs w:val="21"/>
        </w:rPr>
        <w:t>数据监控</w:t>
      </w:r>
      <w:r>
        <w:rPr>
          <w:rFonts w:hint="eastAsia"/>
          <w:kern w:val="2"/>
          <w:sz w:val="21"/>
          <w:szCs w:val="21"/>
        </w:rPr>
        <w:t>、程序控制</w:t>
      </w:r>
      <w:r>
        <w:rPr>
          <w:kern w:val="2"/>
          <w:sz w:val="21"/>
          <w:szCs w:val="21"/>
        </w:rPr>
        <w:t>的供货业绩，提供合同和验收等证明材料复印件并加盖公章。</w:t>
      </w:r>
    </w:p>
    <w:p w14:paraId="4A5AF54F">
      <w:pPr>
        <w:numPr>
          <w:ilvl w:val="0"/>
          <w:numId w:val="22"/>
        </w:numPr>
        <w:spacing w:line="120" w:lineRule="atLeast"/>
        <w:outlineLvl w:val="1"/>
        <w:rPr>
          <w:rFonts w:ascii="宋体" w:hAnsi="宋体"/>
          <w:b/>
          <w:szCs w:val="21"/>
        </w:rPr>
      </w:pPr>
      <w:r>
        <w:rPr>
          <w:rFonts w:hint="eastAsia" w:ascii="宋体" w:hAnsi="宋体"/>
          <w:b/>
          <w:szCs w:val="21"/>
        </w:rPr>
        <w:t>附件</w:t>
      </w:r>
    </w:p>
    <w:p w14:paraId="6B8E31EC">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C695860">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2C7C4374">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0F444DE2">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4CBAE805">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12456C30">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13F02351">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68C8B487">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24B7F42D">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4BCF9A7">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1FD00DA">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1：综合管沟原系统单个控制柜IO点表</w:t>
      </w:r>
    </w:p>
    <w:p w14:paraId="7EA66B5D">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2：综合管沟原系统上位机监控画面样图</w:t>
      </w:r>
    </w:p>
    <w:p w14:paraId="5CEEF061">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3：综合管沟管廊平面图</w:t>
      </w:r>
    </w:p>
    <w:p w14:paraId="6085DB1D">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4：综合管沟新控制柜的设备监控IO信号类型</w:t>
      </w:r>
    </w:p>
    <w:p w14:paraId="071173E6">
      <w:pPr>
        <w:spacing w:before="120" w:beforeLines="50" w:after="120" w:afterLines="50" w:line="360" w:lineRule="auto"/>
        <w:ind w:left="5940" w:leftChars="200" w:hanging="5520" w:hangingChars="2300"/>
        <w:rPr>
          <w:rFonts w:ascii="宋体" w:hAnsi="宋体"/>
          <w:bCs/>
          <w:sz w:val="24"/>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B2735A"/>
    <w:multiLevelType w:val="multilevel"/>
    <w:tmpl w:val="0EB2735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4">
    <w:nsid w:val="17EA1890"/>
    <w:multiLevelType w:val="multilevel"/>
    <w:tmpl w:val="17EA1890"/>
    <w:lvl w:ilvl="0" w:tentative="0">
      <w:start w:val="1"/>
      <w:numFmt w:val="decimal"/>
      <w:lvlText w:val="%1."/>
      <w:lvlJc w:val="left"/>
      <w:pPr>
        <w:ind w:left="425" w:hanging="425"/>
      </w:pPr>
    </w:lvl>
    <w:lvl w:ilvl="1" w:tentative="0">
      <w:start w:val="1"/>
      <w:numFmt w:val="decimal"/>
      <w:lvlText w:val="%1.%2."/>
      <w:lvlJc w:val="left"/>
      <w:pPr>
        <w:ind w:left="567" w:hanging="567"/>
      </w:pPr>
      <w:rPr>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19452716"/>
    <w:multiLevelType w:val="multilevel"/>
    <w:tmpl w:val="19452716"/>
    <w:lvl w:ilvl="0" w:tentative="0">
      <w:start w:val="2"/>
      <w:numFmt w:val="decimal"/>
      <w:lvlText w:val="%1."/>
      <w:lvlJc w:val="left"/>
      <w:pPr>
        <w:ind w:left="360" w:hanging="360"/>
      </w:pPr>
      <w:rPr>
        <w:rFonts w:hint="default"/>
      </w:rPr>
    </w:lvl>
    <w:lvl w:ilvl="1" w:tentative="0">
      <w:start w:val="1"/>
      <w:numFmt w:val="decimal"/>
      <w:lvlText w:val="%2、"/>
      <w:lvlJc w:val="left"/>
      <w:pPr>
        <w:ind w:left="840" w:hanging="360"/>
      </w:pPr>
      <w:rPr>
        <w:rFonts w:eastAsia="宋体" w:cs="Arial" w:asciiTheme="minorEastAsia" w:hAnsiTheme="minor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6">
    <w:nsid w:val="19BA3ACA"/>
    <w:multiLevelType w:val="multilevel"/>
    <w:tmpl w:val="19BA3ACA"/>
    <w:lvl w:ilvl="0" w:tentative="0">
      <w:start w:val="2"/>
      <w:numFmt w:val="decimal"/>
      <w:lvlText w:val="%1、"/>
      <w:lvlJc w:val="left"/>
      <w:pPr>
        <w:ind w:left="720" w:hanging="720"/>
      </w:pPr>
      <w:rPr>
        <w:rFonts w:hint="default"/>
      </w:rPr>
    </w:lvl>
    <w:lvl w:ilvl="1" w:tentative="0">
      <w:start w:val="1"/>
      <w:numFmt w:val="decimal"/>
      <w:lvlText w:val="%2."/>
      <w:lvlJc w:val="left"/>
      <w:pPr>
        <w:ind w:left="840" w:hanging="420"/>
      </w:pPr>
    </w:lvl>
    <w:lvl w:ilvl="2" w:tentative="0">
      <w:start w:val="1"/>
      <w:numFmt w:val="decimal"/>
      <w:lvlText w:val="（%3）"/>
      <w:lvlJc w:val="left"/>
      <w:pPr>
        <w:ind w:left="1260" w:hanging="420"/>
      </w:pPr>
      <w:rPr>
        <w:rFonts w:hint="default"/>
        <w:lang w:val="en-US"/>
      </w:rPr>
    </w:lvl>
    <w:lvl w:ilvl="3" w:tentative="0">
      <w:start w:val="6"/>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485A5F"/>
    <w:multiLevelType w:val="multilevel"/>
    <w:tmpl w:val="1B485A5F"/>
    <w:lvl w:ilvl="0" w:tentative="0">
      <w:start w:val="10"/>
      <w:numFmt w:val="decimal"/>
      <w:lvlText w:val="%1."/>
      <w:lvlJc w:val="left"/>
      <w:pPr>
        <w:ind w:left="480" w:hanging="480"/>
      </w:pPr>
      <w:rPr>
        <w:rFonts w:hint="default"/>
      </w:rPr>
    </w:lvl>
    <w:lvl w:ilvl="1" w:tentative="0">
      <w:start w:val="1"/>
      <w:numFmt w:val="decimal"/>
      <w:lvlText w:val="%2、"/>
      <w:lvlJc w:val="left"/>
      <w:pPr>
        <w:ind w:left="480" w:hanging="480"/>
      </w:pPr>
      <w:rPr>
        <w:rFonts w:ascii="Times New Roman" w:hAnsi="Times New Roman" w:eastAsia="宋体" w:cs="Times New Roman"/>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1D5206AA"/>
    <w:multiLevelType w:val="multilevel"/>
    <w:tmpl w:val="1D5206A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26D85416"/>
    <w:multiLevelType w:val="multilevel"/>
    <w:tmpl w:val="26D85416"/>
    <w:lvl w:ilvl="0" w:tentative="0">
      <w:start w:val="3"/>
      <w:numFmt w:val="decimal"/>
      <w:lvlText w:val="%1、"/>
      <w:lvlJc w:val="left"/>
      <w:pPr>
        <w:ind w:left="840" w:hanging="360"/>
      </w:pPr>
      <w:rPr>
        <w:rFonts w:hint="default"/>
      </w:rPr>
    </w:lvl>
    <w:lvl w:ilvl="1" w:tentative="0">
      <w:start w:val="4"/>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A0E65FA"/>
    <w:multiLevelType w:val="multilevel"/>
    <w:tmpl w:val="3A0E65F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970033"/>
    <w:multiLevelType w:val="multilevel"/>
    <w:tmpl w:val="3A970033"/>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3C3F7611"/>
    <w:multiLevelType w:val="multilevel"/>
    <w:tmpl w:val="3C3F7611"/>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lang w:val="en-US"/>
      </w:rPr>
    </w:lvl>
    <w:lvl w:ilvl="3" w:tentative="0">
      <w:start w:val="6"/>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1731D51"/>
    <w:multiLevelType w:val="multilevel"/>
    <w:tmpl w:val="41731D51"/>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447570AB"/>
    <w:multiLevelType w:val="multilevel"/>
    <w:tmpl w:val="447570AB"/>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21025F"/>
    <w:multiLevelType w:val="multilevel"/>
    <w:tmpl w:val="5221025F"/>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52F25748"/>
    <w:multiLevelType w:val="multilevel"/>
    <w:tmpl w:val="52F2574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572DE5B4"/>
    <w:multiLevelType w:val="singleLevel"/>
    <w:tmpl w:val="572DE5B4"/>
    <w:lvl w:ilvl="0" w:tentative="0">
      <w:start w:val="1"/>
      <w:numFmt w:val="decimal"/>
      <w:suff w:val="nothing"/>
      <w:lvlText w:val="%1."/>
      <w:lvlJc w:val="left"/>
    </w:lvl>
  </w:abstractNum>
  <w:abstractNum w:abstractNumId="18">
    <w:nsid w:val="620F1809"/>
    <w:multiLevelType w:val="multilevel"/>
    <w:tmpl w:val="620F180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625761F5"/>
    <w:multiLevelType w:val="multilevel"/>
    <w:tmpl w:val="625761F5"/>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67E055E8"/>
    <w:multiLevelType w:val="multilevel"/>
    <w:tmpl w:val="67E055E8"/>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6C0C5521"/>
    <w:multiLevelType w:val="multilevel"/>
    <w:tmpl w:val="6C0C552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6D48227E"/>
    <w:multiLevelType w:val="multilevel"/>
    <w:tmpl w:val="6D48227E"/>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3">
    <w:nsid w:val="6D5E7978"/>
    <w:multiLevelType w:val="multilevel"/>
    <w:tmpl w:val="6D5E7978"/>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D8F4FFA"/>
    <w:multiLevelType w:val="multilevel"/>
    <w:tmpl w:val="6D8F4FFA"/>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D9D6B5A"/>
    <w:multiLevelType w:val="multilevel"/>
    <w:tmpl w:val="6D9D6B5A"/>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6">
    <w:nsid w:val="74B056E9"/>
    <w:multiLevelType w:val="multilevel"/>
    <w:tmpl w:val="74B056E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7">
    <w:nsid w:val="75451D8E"/>
    <w:multiLevelType w:val="multilevel"/>
    <w:tmpl w:val="75451D8E"/>
    <w:lvl w:ilvl="0" w:tentative="0">
      <w:start w:val="1"/>
      <w:numFmt w:val="japaneseCounting"/>
      <w:lvlText w:val="%1、"/>
      <w:lvlJc w:val="left"/>
      <w:pPr>
        <w:tabs>
          <w:tab w:val="left" w:pos="420"/>
        </w:tabs>
        <w:ind w:left="420" w:hanging="420"/>
      </w:pPr>
      <w:rPr>
        <w:rFonts w:hint="default"/>
        <w:b/>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29">
    <w:nsid w:val="7D642C53"/>
    <w:multiLevelType w:val="multilevel"/>
    <w:tmpl w:val="7D642C53"/>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7FE84610"/>
    <w:multiLevelType w:val="multilevel"/>
    <w:tmpl w:val="7FE8461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3"/>
  </w:num>
  <w:num w:numId="3">
    <w:abstractNumId w:val="30"/>
  </w:num>
  <w:num w:numId="4">
    <w:abstractNumId w:val="5"/>
  </w:num>
  <w:num w:numId="5">
    <w:abstractNumId w:val="9"/>
  </w:num>
  <w:num w:numId="6">
    <w:abstractNumId w:val="14"/>
  </w:num>
  <w:num w:numId="7">
    <w:abstractNumId w:val="12"/>
  </w:num>
  <w:num w:numId="8">
    <w:abstractNumId w:val="29"/>
  </w:num>
  <w:num w:numId="9">
    <w:abstractNumId w:val="18"/>
  </w:num>
  <w:num w:numId="10">
    <w:abstractNumId w:val="11"/>
  </w:num>
  <w:num w:numId="11">
    <w:abstractNumId w:val="16"/>
  </w:num>
  <w:num w:numId="12">
    <w:abstractNumId w:val="25"/>
  </w:num>
  <w:num w:numId="13">
    <w:abstractNumId w:val="1"/>
  </w:num>
  <w:num w:numId="14">
    <w:abstractNumId w:val="6"/>
  </w:num>
  <w:num w:numId="15">
    <w:abstractNumId w:val="2"/>
  </w:num>
  <w:num w:numId="16">
    <w:abstractNumId w:val="28"/>
  </w:num>
  <w:num w:numId="17">
    <w:abstractNumId w:val="24"/>
  </w:num>
  <w:num w:numId="18">
    <w:abstractNumId w:val="10"/>
  </w:num>
  <w:num w:numId="19">
    <w:abstractNumId w:val="23"/>
  </w:num>
  <w:num w:numId="20">
    <w:abstractNumId w:val="7"/>
  </w:num>
  <w:num w:numId="21">
    <w:abstractNumId w:val="17"/>
  </w:num>
  <w:num w:numId="22">
    <w:abstractNumId w:val="27"/>
  </w:num>
  <w:num w:numId="23">
    <w:abstractNumId w:val="13"/>
  </w:num>
  <w:num w:numId="24">
    <w:abstractNumId w:val="21"/>
  </w:num>
  <w:num w:numId="25">
    <w:abstractNumId w:val="21"/>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lvlText w:val="%1.%2.%3."/>
        <w:lvlJc w:val="left"/>
        <w:pPr>
          <w:ind w:left="0" w:firstLine="0"/>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6">
    <w:abstractNumId w:val="4"/>
  </w:num>
  <w:num w:numId="27">
    <w:abstractNumId w:val="26"/>
  </w:num>
  <w:num w:numId="28">
    <w:abstractNumId w:val="22"/>
  </w:num>
  <w:num w:numId="29">
    <w:abstractNumId w:val="26"/>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0" w:firstLine="0"/>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30">
    <w:abstractNumId w:val="8"/>
  </w:num>
  <w:num w:numId="31">
    <w:abstractNumId w:val="19"/>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C3CD8"/>
    <w:rsid w:val="002C4FE2"/>
    <w:rsid w:val="002C747C"/>
    <w:rsid w:val="002D0731"/>
    <w:rsid w:val="002D1376"/>
    <w:rsid w:val="002D14AE"/>
    <w:rsid w:val="002D2D8F"/>
    <w:rsid w:val="002D57AF"/>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5127"/>
    <w:rsid w:val="004360CA"/>
    <w:rsid w:val="00436830"/>
    <w:rsid w:val="004423AB"/>
    <w:rsid w:val="0044283D"/>
    <w:rsid w:val="0044360C"/>
    <w:rsid w:val="004436C3"/>
    <w:rsid w:val="00444368"/>
    <w:rsid w:val="00447931"/>
    <w:rsid w:val="00456BC1"/>
    <w:rsid w:val="00457458"/>
    <w:rsid w:val="0046297A"/>
    <w:rsid w:val="00473BB4"/>
    <w:rsid w:val="00476BF0"/>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320B"/>
    <w:rsid w:val="005E3449"/>
    <w:rsid w:val="005E373D"/>
    <w:rsid w:val="005E4E7C"/>
    <w:rsid w:val="005E69D0"/>
    <w:rsid w:val="005F227B"/>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2FAC"/>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4BA2"/>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02BA"/>
    <w:rsid w:val="00801178"/>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67DE"/>
    <w:rsid w:val="008E0BA4"/>
    <w:rsid w:val="008E2D5A"/>
    <w:rsid w:val="008E3344"/>
    <w:rsid w:val="008E34D5"/>
    <w:rsid w:val="008F1A38"/>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0C76"/>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1"/>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6865"/>
    <w:rsid w:val="00FB76BF"/>
    <w:rsid w:val="00FC33B2"/>
    <w:rsid w:val="00FC3A89"/>
    <w:rsid w:val="00FC3AC8"/>
    <w:rsid w:val="00FC4154"/>
    <w:rsid w:val="00FD09BE"/>
    <w:rsid w:val="00FD202C"/>
    <w:rsid w:val="00FD2526"/>
    <w:rsid w:val="00FD42A2"/>
    <w:rsid w:val="00FD50E2"/>
    <w:rsid w:val="00FD63AD"/>
    <w:rsid w:val="00FD70BE"/>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4F02505"/>
    <w:rsid w:val="05F33E19"/>
    <w:rsid w:val="08A607DC"/>
    <w:rsid w:val="13033C28"/>
    <w:rsid w:val="13B94E90"/>
    <w:rsid w:val="16FA62BC"/>
    <w:rsid w:val="17745CD9"/>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5"/>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40"/>
    <w:unhideWhenUsed/>
    <w:qFormat/>
    <w:uiPriority w:val="99"/>
    <w:pPr>
      <w:spacing w:after="120"/>
    </w:pPr>
  </w:style>
  <w:style w:type="paragraph" w:styleId="9">
    <w:name w:val="Body Text Indent"/>
    <w:basedOn w:val="1"/>
    <w:link w:val="38"/>
    <w:qFormat/>
    <w:uiPriority w:val="0"/>
    <w:pPr>
      <w:spacing w:after="120"/>
      <w:ind w:left="420" w:leftChars="200"/>
    </w:pPr>
    <w:rPr>
      <w:rFonts w:ascii="Calibri" w:hAnsi="Calibri"/>
      <w:szCs w:val="22"/>
    </w:rPr>
  </w:style>
  <w:style w:type="paragraph" w:styleId="10">
    <w:name w:val="Plain Text"/>
    <w:basedOn w:val="1"/>
    <w:link w:val="3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0"/>
    <w:semiHidden/>
    <w:unhideWhenUsed/>
    <w:qFormat/>
    <w:uiPriority w:val="99"/>
    <w:pPr>
      <w:ind w:left="100" w:leftChars="2500"/>
    </w:pPr>
  </w:style>
  <w:style w:type="paragraph" w:styleId="12">
    <w:name w:val="endnote text"/>
    <w:basedOn w:val="1"/>
    <w:link w:val="49"/>
    <w:semiHidden/>
    <w:unhideWhenUsed/>
    <w:qFormat/>
    <w:uiPriority w:val="99"/>
    <w:pPr>
      <w:snapToGrid w:val="0"/>
      <w:jc w:val="left"/>
    </w:pPr>
  </w:style>
  <w:style w:type="paragraph" w:styleId="13">
    <w:name w:val="Balloon Text"/>
    <w:basedOn w:val="1"/>
    <w:link w:val="44"/>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6"/>
    <w:next w:val="6"/>
    <w:link w:val="36"/>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endnote reference"/>
    <w:basedOn w:val="21"/>
    <w:semiHidden/>
    <w:unhideWhenUsed/>
    <w:qFormat/>
    <w:uiPriority w:val="99"/>
    <w:rPr>
      <w:vertAlign w:val="superscript"/>
    </w:rPr>
  </w:style>
  <w:style w:type="character" w:styleId="24">
    <w:name w:val="Emphasis"/>
    <w:qFormat/>
    <w:uiPriority w:val="20"/>
    <w:rPr>
      <w:i/>
      <w:iCs/>
    </w:rPr>
  </w:style>
  <w:style w:type="character" w:styleId="25">
    <w:name w:val="Hyperlink"/>
    <w:basedOn w:val="21"/>
    <w:unhideWhenUsed/>
    <w:qFormat/>
    <w:uiPriority w:val="0"/>
    <w:rPr>
      <w:color w:val="0000FF"/>
      <w:u w:val="single"/>
    </w:rPr>
  </w:style>
  <w:style w:type="character" w:styleId="26">
    <w:name w:val="annotation reference"/>
    <w:basedOn w:val="21"/>
    <w:semiHidden/>
    <w:unhideWhenUsed/>
    <w:qFormat/>
    <w:uiPriority w:val="99"/>
    <w:rPr>
      <w:sz w:val="21"/>
      <w:szCs w:val="21"/>
    </w:rPr>
  </w:style>
  <w:style w:type="paragraph" w:customStyle="1" w:styleId="27">
    <w:name w:val="纯文本1"/>
    <w:basedOn w:val="1"/>
    <w:qFormat/>
    <w:uiPriority w:val="0"/>
    <w:pPr>
      <w:widowControl/>
      <w:jc w:val="left"/>
    </w:pPr>
    <w:rPr>
      <w:rFonts w:ascii="宋体" w:hAnsi="Courier New" w:eastAsia="微软雅黑"/>
      <w:kern w:val="0"/>
      <w:sz w:val="20"/>
      <w:szCs w:val="21"/>
    </w:rPr>
  </w:style>
  <w:style w:type="paragraph" w:customStyle="1" w:styleId="28">
    <w:name w:val="1_0"/>
    <w:basedOn w:val="1"/>
    <w:next w:val="27"/>
    <w:qFormat/>
    <w:uiPriority w:val="0"/>
    <w:rPr>
      <w:rFonts w:ascii="宋体" w:hAnsi="Courier New"/>
      <w:szCs w:val="22"/>
    </w:rPr>
  </w:style>
  <w:style w:type="paragraph" w:customStyle="1" w:styleId="2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0">
    <w:name w:val="页脚 字符"/>
    <w:link w:val="14"/>
    <w:qFormat/>
    <w:uiPriority w:val="0"/>
    <w:rPr>
      <w:kern w:val="2"/>
      <w:sz w:val="18"/>
      <w:szCs w:val="18"/>
    </w:rPr>
  </w:style>
  <w:style w:type="character" w:customStyle="1" w:styleId="31">
    <w:name w:val="apple-style-span"/>
    <w:basedOn w:val="21"/>
    <w:qFormat/>
    <w:uiPriority w:val="0"/>
  </w:style>
  <w:style w:type="character" w:customStyle="1" w:styleId="32">
    <w:name w:val="页眉 字符"/>
    <w:link w:val="15"/>
    <w:qFormat/>
    <w:uiPriority w:val="0"/>
    <w:rPr>
      <w:kern w:val="2"/>
      <w:sz w:val="18"/>
      <w:szCs w:val="18"/>
    </w:rPr>
  </w:style>
  <w:style w:type="character" w:customStyle="1" w:styleId="33">
    <w:name w:val="style141"/>
    <w:qFormat/>
    <w:uiPriority w:val="0"/>
    <w:rPr>
      <w:rFonts w:hint="eastAsia" w:ascii="宋体" w:hAnsi="宋体" w:eastAsia="宋体"/>
      <w:sz w:val="18"/>
      <w:szCs w:val="18"/>
    </w:rPr>
  </w:style>
  <w:style w:type="character" w:customStyle="1" w:styleId="34">
    <w:name w:val="纯文本 字符"/>
    <w:basedOn w:val="21"/>
    <w:link w:val="10"/>
    <w:qFormat/>
    <w:uiPriority w:val="0"/>
    <w:rPr>
      <w:rFonts w:ascii="宋体" w:hAnsi="Courier New" w:eastAsia="微软雅黑" w:cs="Courier New"/>
      <w:sz w:val="22"/>
      <w:szCs w:val="21"/>
    </w:rPr>
  </w:style>
  <w:style w:type="character" w:customStyle="1" w:styleId="35">
    <w:name w:val="批注文字 字符"/>
    <w:basedOn w:val="21"/>
    <w:link w:val="6"/>
    <w:semiHidden/>
    <w:qFormat/>
    <w:uiPriority w:val="99"/>
    <w:rPr>
      <w:kern w:val="2"/>
      <w:sz w:val="21"/>
      <w:szCs w:val="24"/>
    </w:rPr>
  </w:style>
  <w:style w:type="character" w:customStyle="1" w:styleId="36">
    <w:name w:val="批注主题 字符"/>
    <w:basedOn w:val="35"/>
    <w:link w:val="18"/>
    <w:semiHidden/>
    <w:qFormat/>
    <w:uiPriority w:val="99"/>
    <w:rPr>
      <w:b/>
      <w:bCs/>
      <w:kern w:val="2"/>
      <w:sz w:val="21"/>
      <w:szCs w:val="24"/>
    </w:rPr>
  </w:style>
  <w:style w:type="paragraph" w:styleId="37">
    <w:name w:val="List Paragraph"/>
    <w:basedOn w:val="1"/>
    <w:qFormat/>
    <w:uiPriority w:val="34"/>
    <w:pPr>
      <w:ind w:firstLine="420" w:firstLineChars="200"/>
    </w:pPr>
  </w:style>
  <w:style w:type="character" w:customStyle="1" w:styleId="38">
    <w:name w:val="正文文本缩进 字符"/>
    <w:basedOn w:val="21"/>
    <w:link w:val="9"/>
    <w:qFormat/>
    <w:uiPriority w:val="0"/>
    <w:rPr>
      <w:rFonts w:ascii="Calibri" w:hAnsi="Calibri"/>
      <w:kern w:val="2"/>
      <w:sz w:val="21"/>
      <w:szCs w:val="22"/>
    </w:rPr>
  </w:style>
  <w:style w:type="paragraph" w:customStyle="1" w:styleId="39">
    <w:name w:val="p18"/>
    <w:basedOn w:val="1"/>
    <w:qFormat/>
    <w:uiPriority w:val="0"/>
    <w:pPr>
      <w:widowControl/>
      <w:adjustRightInd w:val="0"/>
      <w:spacing w:line="312" w:lineRule="atLeast"/>
    </w:pPr>
    <w:rPr>
      <w:rFonts w:ascii="宋体" w:hAnsi="宋体" w:cs="宋体"/>
      <w:kern w:val="0"/>
      <w:sz w:val="24"/>
    </w:rPr>
  </w:style>
  <w:style w:type="character" w:customStyle="1" w:styleId="40">
    <w:name w:val="正文文本 字符"/>
    <w:basedOn w:val="21"/>
    <w:link w:val="8"/>
    <w:semiHidden/>
    <w:qFormat/>
    <w:uiPriority w:val="99"/>
    <w:rPr>
      <w:kern w:val="2"/>
      <w:sz w:val="21"/>
      <w:szCs w:val="24"/>
    </w:rPr>
  </w:style>
  <w:style w:type="character" w:customStyle="1" w:styleId="41">
    <w:name w:val="标题 1 字符"/>
    <w:basedOn w:val="21"/>
    <w:qFormat/>
    <w:uiPriority w:val="0"/>
    <w:rPr>
      <w:b/>
      <w:bCs/>
      <w:kern w:val="44"/>
      <w:sz w:val="44"/>
      <w:szCs w:val="44"/>
    </w:rPr>
  </w:style>
  <w:style w:type="character" w:customStyle="1" w:styleId="42">
    <w:name w:val="标题 2 字符"/>
    <w:basedOn w:val="21"/>
    <w:link w:val="3"/>
    <w:qFormat/>
    <w:uiPriority w:val="0"/>
    <w:rPr>
      <w:rFonts w:ascii="Arial" w:hAnsi="Arial" w:eastAsia="黑体"/>
      <w:b/>
      <w:bCs/>
      <w:kern w:val="2"/>
      <w:sz w:val="32"/>
      <w:szCs w:val="32"/>
    </w:rPr>
  </w:style>
  <w:style w:type="character" w:customStyle="1" w:styleId="43">
    <w:name w:val="标题 3 字符"/>
    <w:basedOn w:val="21"/>
    <w:link w:val="4"/>
    <w:qFormat/>
    <w:uiPriority w:val="0"/>
    <w:rPr>
      <w:b/>
      <w:bCs/>
      <w:kern w:val="2"/>
      <w:sz w:val="32"/>
      <w:szCs w:val="32"/>
    </w:rPr>
  </w:style>
  <w:style w:type="character" w:customStyle="1" w:styleId="44">
    <w:name w:val="批注框文本 字符"/>
    <w:basedOn w:val="21"/>
    <w:link w:val="13"/>
    <w:qFormat/>
    <w:uiPriority w:val="0"/>
    <w:rPr>
      <w:kern w:val="2"/>
      <w:sz w:val="18"/>
      <w:szCs w:val="18"/>
    </w:rPr>
  </w:style>
  <w:style w:type="character" w:customStyle="1" w:styleId="45">
    <w:name w:val="HTML 预设格式 字符"/>
    <w:basedOn w:val="21"/>
    <w:link w:val="16"/>
    <w:qFormat/>
    <w:uiPriority w:val="99"/>
    <w:rPr>
      <w:rFonts w:ascii="宋体" w:hAnsi="宋体" w:cs="宋体"/>
      <w:sz w:val="24"/>
      <w:szCs w:val="24"/>
    </w:rPr>
  </w:style>
  <w:style w:type="character" w:customStyle="1" w:styleId="46">
    <w:name w:val="标题 1 字符1"/>
    <w:link w:val="2"/>
    <w:qFormat/>
    <w:uiPriority w:val="0"/>
    <w:rPr>
      <w:b/>
      <w:bCs/>
      <w:kern w:val="44"/>
      <w:sz w:val="44"/>
      <w:szCs w:val="44"/>
    </w:rPr>
  </w:style>
  <w:style w:type="character" w:customStyle="1" w:styleId="47">
    <w:name w:val="页眉 Char"/>
    <w:qFormat/>
    <w:uiPriority w:val="0"/>
    <w:rPr>
      <w:kern w:val="2"/>
      <w:sz w:val="18"/>
      <w:szCs w:val="18"/>
      <w:lang w:val="zh-CN" w:eastAsia="zh-CN"/>
    </w:rPr>
  </w:style>
  <w:style w:type="character" w:customStyle="1" w:styleId="48">
    <w:name w:val="页脚 Char"/>
    <w:qFormat/>
    <w:uiPriority w:val="0"/>
    <w:rPr>
      <w:kern w:val="2"/>
      <w:sz w:val="18"/>
      <w:szCs w:val="18"/>
      <w:lang w:val="zh-CN" w:eastAsia="zh-CN"/>
    </w:rPr>
  </w:style>
  <w:style w:type="character" w:customStyle="1" w:styleId="49">
    <w:name w:val="尾注文本 字符"/>
    <w:basedOn w:val="21"/>
    <w:link w:val="12"/>
    <w:semiHidden/>
    <w:qFormat/>
    <w:uiPriority w:val="99"/>
    <w:rPr>
      <w:kern w:val="2"/>
      <w:sz w:val="21"/>
      <w:szCs w:val="24"/>
    </w:rPr>
  </w:style>
  <w:style w:type="character" w:customStyle="1" w:styleId="50">
    <w:name w:val="日期 字符"/>
    <w:basedOn w:val="21"/>
    <w:link w:val="11"/>
    <w:semiHidden/>
    <w:qFormat/>
    <w:uiPriority w:val="99"/>
    <w:rPr>
      <w:kern w:val="2"/>
      <w:sz w:val="21"/>
      <w:szCs w:val="24"/>
    </w:rPr>
  </w:style>
  <w:style w:type="character" w:customStyle="1" w:styleId="51">
    <w:name w:val="kb1flw22"/>
    <w:basedOn w:val="21"/>
    <w:qFormat/>
    <w:uiPriority w:val="0"/>
  </w:style>
  <w:style w:type="character" w:customStyle="1" w:styleId="52">
    <w:name w:val="j11z462ze59"/>
    <w:basedOn w:val="21"/>
    <w:qFormat/>
    <w:uiPriority w:val="0"/>
  </w:style>
  <w:style w:type="character" w:customStyle="1" w:styleId="53">
    <w:name w:val="HTML 预设格式 Char"/>
    <w:basedOn w:val="21"/>
    <w:qFormat/>
    <w:uiPriority w:val="99"/>
    <w:rPr>
      <w:rFonts w:ascii="宋体" w:hAnsi="宋体" w:cs="宋体"/>
      <w:sz w:val="24"/>
      <w:szCs w:val="24"/>
    </w:rPr>
  </w:style>
  <w:style w:type="paragraph" w:customStyle="1" w:styleId="54">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5">
    <w:name w:val="_Style 53"/>
    <w:basedOn w:val="1"/>
    <w:next w:val="37"/>
    <w:autoRedefine/>
    <w:qFormat/>
    <w:uiPriority w:val="99"/>
    <w:pPr>
      <w:widowControl/>
      <w:ind w:firstLine="420" w:firstLineChars="200"/>
      <w:jc w:val="left"/>
    </w:pPr>
    <w:rPr>
      <w:rFonts w:ascii="Calibri" w:hAnsi="Calibri" w:eastAsia="仿宋"/>
      <w:kern w:val="0"/>
      <w:sz w:val="28"/>
      <w:lang w:eastAsia="en-US"/>
    </w:rPr>
  </w:style>
  <w:style w:type="paragraph" w:customStyle="1" w:styleId="56">
    <w:name w:val="_Style 54"/>
    <w:basedOn w:val="1"/>
    <w:next w:val="37"/>
    <w:autoRedefine/>
    <w:qFormat/>
    <w:uiPriority w:val="99"/>
    <w:pPr>
      <w:widowControl/>
      <w:ind w:firstLine="420" w:firstLineChars="200"/>
      <w:jc w:val="left"/>
    </w:pPr>
    <w:rPr>
      <w:rFonts w:ascii="Calibri" w:hAnsi="Calibri" w:eastAsia="仿宋"/>
      <w:kern w:val="0"/>
      <w:sz w:val="28"/>
      <w:lang w:eastAsia="en-US"/>
    </w:rPr>
  </w:style>
  <w:style w:type="paragraph" w:customStyle="1" w:styleId="57">
    <w:name w:val="_Style 55"/>
    <w:basedOn w:val="1"/>
    <w:next w:val="37"/>
    <w:autoRedefine/>
    <w:qFormat/>
    <w:uiPriority w:val="99"/>
    <w:pPr>
      <w:widowControl/>
      <w:ind w:firstLine="420" w:firstLineChars="200"/>
      <w:jc w:val="left"/>
    </w:pPr>
    <w:rPr>
      <w:rFonts w:ascii="Calibri" w:hAnsi="Calibri" w:eastAsia="仿宋"/>
      <w:kern w:val="0"/>
      <w:sz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530B1-C9F7-4070-AD4E-9706A877A02F}">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28</Pages>
  <Words>15450</Words>
  <Characters>16922</Characters>
  <Lines>130</Lines>
  <Paragraphs>36</Paragraphs>
  <TotalTime>1256</TotalTime>
  <ScaleCrop>false</ScaleCrop>
  <LinksUpToDate>false</LinksUpToDate>
  <CharactersWithSpaces>17257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2024-04-07T08:31:00Z</dcterms:created>
  <dc:creator>abc</dc:creator>
  <cp:lastModifiedBy>云上晴</cp:lastModifiedBy>
  <cp:lastPrinted>2024-09-09T08:49:00Z</cp:lastPrinted>
  <dcterms:modified xsi:type="dcterms:W3CDTF">2024-09-29T03:22:25Z</dcterms:modified>
  <dc:title>广州大学城投资经营管理有限公司</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EF3DCAA066F642D69E8431C80D59F98E_12</vt:lpwstr>
  </property>
</Properties>
</file>