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D3F82">
      <w:pPr>
        <w:tabs>
          <w:tab w:val="left" w:pos="720"/>
        </w:tabs>
        <w:spacing w:line="360" w:lineRule="auto"/>
        <w:jc w:val="center"/>
        <w:rPr>
          <w:rFonts w:hint="eastAsia" w:ascii="宋体" w:hAnsi="宋体" w:eastAsia="宋体"/>
          <w:b/>
          <w:sz w:val="30"/>
          <w:szCs w:val="30"/>
          <w:lang w:eastAsia="zh-CN"/>
        </w:rPr>
      </w:pPr>
      <w:r>
        <w:rPr>
          <w:rFonts w:hint="eastAsia" w:ascii="宋体" w:hAnsi="宋体" w:eastAsia="宋体"/>
          <w:b/>
          <w:sz w:val="30"/>
          <w:szCs w:val="30"/>
          <w:lang w:eastAsia="zh-CN"/>
        </w:rPr>
        <w:t>广州城投综合能源投资经营管理有限公司</w:t>
      </w:r>
    </w:p>
    <w:p w14:paraId="73635442">
      <w:pPr>
        <w:jc w:val="center"/>
        <w:rPr>
          <w:rFonts w:hint="eastAsia"/>
          <w:b/>
          <w:sz w:val="28"/>
          <w:lang w:eastAsia="zh-CN"/>
        </w:rPr>
      </w:pPr>
      <w:r>
        <w:rPr>
          <w:rFonts w:hint="eastAsia" w:ascii="宋体" w:hAnsi="宋体" w:eastAsia="宋体"/>
          <w:b/>
          <w:sz w:val="30"/>
          <w:szCs w:val="30"/>
          <w:lang w:eastAsia="zh-CN"/>
        </w:rPr>
        <w:t>星海音乐学院学生宿舍中央空调计时计费系统项目</w:t>
      </w:r>
      <w:r>
        <w:rPr>
          <w:rFonts w:hint="eastAsia" w:ascii="宋体" w:hAnsi="宋体" w:eastAsia="宋体"/>
          <w:b/>
          <w:sz w:val="30"/>
          <w:szCs w:val="30"/>
          <w:lang w:val="en-US" w:eastAsia="zh-CN"/>
        </w:rPr>
        <w:t>材料采购</w:t>
      </w:r>
    </w:p>
    <w:p w14:paraId="1F3A76D2">
      <w:pPr>
        <w:jc w:val="center"/>
        <w:rPr>
          <w:b/>
          <w:sz w:val="28"/>
        </w:rPr>
      </w:pPr>
      <w:r>
        <w:rPr>
          <w:rFonts w:hint="eastAsia"/>
          <w:b/>
          <w:sz w:val="28"/>
        </w:rPr>
        <w:t>竞选文件</w:t>
      </w:r>
    </w:p>
    <w:p w14:paraId="4707CE92">
      <w:pPr>
        <w:spacing w:line="360" w:lineRule="auto"/>
        <w:ind w:firstLine="482" w:firstLineChars="200"/>
        <w:jc w:val="left"/>
        <w:rPr>
          <w:rFonts w:ascii="宋体" w:hAnsi="宋体"/>
          <w:b/>
          <w:sz w:val="24"/>
        </w:rPr>
      </w:pPr>
    </w:p>
    <w:p w14:paraId="4AB69148">
      <w:pPr>
        <w:pStyle w:val="20"/>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0A6333DA">
      <w:pPr>
        <w:pStyle w:val="20"/>
        <w:tabs>
          <w:tab w:val="left" w:pos="420"/>
        </w:tabs>
        <w:spacing w:line="360" w:lineRule="auto"/>
        <w:ind w:firstLine="480"/>
        <w:rPr>
          <w:rFonts w:hint="eastAsia" w:ascii="宋体" w:hAnsi="宋体" w:eastAsiaTheme="minorEastAsia"/>
          <w:sz w:val="24"/>
          <w:lang w:eastAsia="zh-CN"/>
        </w:rPr>
      </w:pPr>
      <w:r>
        <w:rPr>
          <w:rFonts w:hint="eastAsia" w:ascii="宋体" w:hAnsi="宋体"/>
          <w:sz w:val="24"/>
        </w:rPr>
        <w:t>（一）项目名称：</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p>
    <w:p w14:paraId="1C3AF38D">
      <w:pPr>
        <w:pStyle w:val="20"/>
        <w:tabs>
          <w:tab w:val="left" w:pos="420"/>
        </w:tabs>
        <w:spacing w:line="360" w:lineRule="auto"/>
        <w:ind w:firstLine="480"/>
        <w:rPr>
          <w:rFonts w:ascii="宋体" w:hAnsi="宋体"/>
          <w:sz w:val="24"/>
        </w:rPr>
      </w:pPr>
      <w:r>
        <w:rPr>
          <w:rFonts w:hint="eastAsia" w:ascii="宋体" w:hAnsi="宋体"/>
          <w:sz w:val="24"/>
        </w:rPr>
        <w:t>（二）采购限价</w:t>
      </w:r>
      <w:r>
        <w:rPr>
          <w:rFonts w:hint="eastAsia" w:ascii="宋体" w:hAnsi="宋体"/>
          <w:sz w:val="24"/>
          <w:highlight w:val="none"/>
        </w:rPr>
        <w:t>：</w:t>
      </w:r>
      <w:r>
        <w:rPr>
          <w:rFonts w:hint="eastAsia" w:ascii="宋体" w:hAnsi="宋体" w:eastAsia="宋体" w:cs="宋体"/>
          <w:color w:val="auto"/>
          <w:sz w:val="24"/>
          <w:szCs w:val="24"/>
          <w:highlight w:val="none"/>
        </w:rPr>
        <w:t>：</w:t>
      </w:r>
      <w:r>
        <w:rPr>
          <w:rFonts w:hint="eastAsia" w:ascii="宋体" w:hAnsi="宋体"/>
          <w:color w:val="auto"/>
          <w:sz w:val="24"/>
          <w:lang w:val="en-US" w:eastAsia="zh-CN"/>
        </w:rPr>
        <w:t>包组一</w:t>
      </w:r>
      <w:r>
        <w:rPr>
          <w:rFonts w:hint="eastAsia" w:ascii="宋体" w:hAnsi="宋体" w:eastAsia="宋体" w:cstheme="minorBidi"/>
          <w:kern w:val="2"/>
          <w:sz w:val="24"/>
          <w:szCs w:val="22"/>
          <w:lang w:val="en-US" w:eastAsia="zh-CN" w:bidi="ar-SA"/>
        </w:rPr>
        <w:t>4G物联网计时温控器</w:t>
      </w:r>
      <w:r>
        <w:rPr>
          <w:rFonts w:hint="eastAsia" w:ascii="宋体" w:hAnsi="宋体"/>
          <w:color w:val="auto"/>
          <w:sz w:val="24"/>
          <w:lang w:val="en-US" w:eastAsia="zh-CN"/>
        </w:rPr>
        <w:t>限价27.3万元；包组二电动二通阀执行器、白色哑光墙漆及补墙膏限价1.7万元；</w:t>
      </w:r>
      <w:r>
        <w:rPr>
          <w:rFonts w:hint="eastAsia" w:ascii="宋体" w:hAnsi="宋体"/>
          <w:color w:val="auto"/>
          <w:sz w:val="24"/>
          <w:highlight w:val="none"/>
        </w:rPr>
        <w:t>（投标报价超过采购限价为无效投标）。</w:t>
      </w:r>
    </w:p>
    <w:p w14:paraId="38E9741A">
      <w:pPr>
        <w:pStyle w:val="20"/>
        <w:tabs>
          <w:tab w:val="left" w:pos="420"/>
        </w:tabs>
        <w:spacing w:line="360" w:lineRule="auto"/>
        <w:ind w:firstLine="480"/>
        <w:rPr>
          <w:rFonts w:ascii="宋体" w:hAnsi="宋体"/>
          <w:sz w:val="24"/>
        </w:rPr>
      </w:pPr>
      <w:r>
        <w:rPr>
          <w:rFonts w:hint="eastAsia" w:ascii="宋体" w:hAnsi="宋体"/>
          <w:sz w:val="24"/>
        </w:rPr>
        <w:t>（三）采购内容：</w:t>
      </w:r>
      <w:r>
        <w:rPr>
          <w:rFonts w:hint="eastAsia" w:ascii="宋体" w:hAnsi="宋体"/>
          <w:sz w:val="24"/>
          <w:lang w:val="en-US" w:eastAsia="zh-CN"/>
        </w:rPr>
        <w:t>包组一</w:t>
      </w:r>
      <w:r>
        <w:rPr>
          <w:rFonts w:hint="eastAsia" w:ascii="宋体" w:hAnsi="宋体" w:eastAsia="宋体" w:cstheme="minorBidi"/>
          <w:kern w:val="2"/>
          <w:sz w:val="24"/>
          <w:szCs w:val="22"/>
          <w:lang w:val="en-US" w:eastAsia="zh-CN" w:bidi="ar-SA"/>
        </w:rPr>
        <w:t>4G物联网计时温控器，853台，包组二</w:t>
      </w:r>
      <w:r>
        <w:rPr>
          <w:rFonts w:hint="eastAsia" w:ascii="宋体" w:hAnsi="宋体"/>
          <w:color w:val="auto"/>
          <w:sz w:val="24"/>
          <w:lang w:val="en-US" w:eastAsia="zh-CN"/>
        </w:rPr>
        <w:t>电动二通阀执行器，200套</w:t>
      </w:r>
      <w:r>
        <w:rPr>
          <w:rFonts w:hint="eastAsia" w:ascii="宋体" w:hAnsi="宋体"/>
          <w:sz w:val="24"/>
        </w:rPr>
        <w:t>，</w:t>
      </w:r>
      <w:r>
        <w:rPr>
          <w:rFonts w:hint="eastAsia" w:ascii="宋体" w:hAnsi="宋体"/>
          <w:color w:val="auto"/>
          <w:sz w:val="24"/>
          <w:lang w:val="en-US" w:eastAsia="zh-CN"/>
        </w:rPr>
        <w:t>白色哑光墙漆，1桶，补墙膏，15支。</w:t>
      </w:r>
      <w:r>
        <w:rPr>
          <w:rFonts w:hint="eastAsia" w:ascii="宋体" w:hAnsi="宋体"/>
          <w:sz w:val="24"/>
        </w:rPr>
        <w:t>具体详见附件1</w:t>
      </w: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本项目“</w:t>
      </w:r>
      <w:r>
        <w:rPr>
          <w:rFonts w:hint="eastAsia" w:ascii="宋体" w:hAnsi="宋体"/>
          <w:sz w:val="24"/>
          <w:lang w:val="en-US" w:eastAsia="zh-CN"/>
        </w:rPr>
        <w:t>包组一</w:t>
      </w:r>
      <w:r>
        <w:rPr>
          <w:rFonts w:hint="eastAsia" w:ascii="宋体" w:hAnsi="宋体"/>
          <w:sz w:val="24"/>
        </w:rPr>
        <w:t>采购需求</w:t>
      </w:r>
      <w:r>
        <w:rPr>
          <w:rFonts w:hint="eastAsia" w:ascii="宋体" w:hAnsi="宋体"/>
          <w:sz w:val="24"/>
          <w:lang w:eastAsia="zh-CN"/>
        </w:rPr>
        <w:t>、</w:t>
      </w:r>
      <w:r>
        <w:rPr>
          <w:rFonts w:hint="eastAsia" w:ascii="宋体" w:hAnsi="宋体"/>
          <w:sz w:val="24"/>
          <w:lang w:val="en-US" w:eastAsia="zh-CN"/>
        </w:rPr>
        <w:t>包组二采购需求</w:t>
      </w:r>
      <w:r>
        <w:rPr>
          <w:rFonts w:hint="eastAsia" w:ascii="宋体" w:hAnsi="宋体"/>
          <w:sz w:val="24"/>
        </w:rPr>
        <w:t>”。</w:t>
      </w:r>
    </w:p>
    <w:p w14:paraId="1B750DE8">
      <w:pPr>
        <w:spacing w:line="360" w:lineRule="auto"/>
        <w:ind w:firstLine="480" w:firstLineChars="200"/>
        <w:rPr>
          <w:rFonts w:ascii="宋体" w:hAnsi="宋体"/>
          <w:sz w:val="24"/>
        </w:rPr>
      </w:pPr>
      <w:r>
        <w:rPr>
          <w:rFonts w:hint="eastAsia" w:ascii="宋体" w:hAnsi="宋体"/>
          <w:sz w:val="24"/>
        </w:rPr>
        <w:t>二、合格供应商资格要求</w:t>
      </w:r>
    </w:p>
    <w:p w14:paraId="3B10F50A">
      <w:pPr>
        <w:pStyle w:val="20"/>
        <w:numPr>
          <w:ilvl w:val="0"/>
          <w:numId w:val="2"/>
        </w:numPr>
        <w:tabs>
          <w:tab w:val="left" w:pos="420"/>
        </w:tabs>
        <w:spacing w:line="360" w:lineRule="auto"/>
        <w:ind w:firstLine="480"/>
        <w:rPr>
          <w:rFonts w:hint="eastAsia" w:ascii="宋体" w:hAnsi="宋体"/>
          <w:sz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或其他组织，提供营业执照或法人证书的盖章扫描件证明</w:t>
      </w:r>
      <w:r>
        <w:rPr>
          <w:rFonts w:hint="eastAsia" w:ascii="宋体" w:hAnsi="宋体"/>
          <w:sz w:val="24"/>
        </w:rPr>
        <w:t>；</w:t>
      </w:r>
    </w:p>
    <w:p w14:paraId="47754185">
      <w:pPr>
        <w:pStyle w:val="20"/>
        <w:numPr>
          <w:ilvl w:val="0"/>
          <w:numId w:val="2"/>
        </w:numPr>
        <w:tabs>
          <w:tab w:val="left" w:pos="420"/>
        </w:tabs>
        <w:spacing w:line="360" w:lineRule="auto"/>
        <w:ind w:firstLine="480"/>
        <w:rPr>
          <w:rFonts w:hint="eastAsia" w:ascii="宋体" w:hAnsi="宋体"/>
          <w:sz w:val="24"/>
        </w:rPr>
      </w:pP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p>
    <w:p w14:paraId="293FA144">
      <w:pPr>
        <w:pStyle w:val="20"/>
        <w:numPr>
          <w:ilvl w:val="0"/>
          <w:numId w:val="2"/>
        </w:numPr>
        <w:tabs>
          <w:tab w:val="left" w:pos="420"/>
        </w:tabs>
        <w:spacing w:line="360" w:lineRule="auto"/>
        <w:ind w:firstLine="480"/>
        <w:rPr>
          <w:rFonts w:hint="eastAsia" w:ascii="宋体" w:hAnsi="宋体"/>
          <w:sz w:val="24"/>
        </w:rPr>
      </w:pPr>
      <w:r>
        <w:rPr>
          <w:rFonts w:hint="eastAsia" w:ascii="宋体" w:hAnsi="宋体"/>
          <w:sz w:val="24"/>
        </w:rPr>
        <w:t>投标人</w:t>
      </w:r>
      <w:r>
        <w:rPr>
          <w:rFonts w:hint="eastAsia" w:ascii="宋体" w:hAnsi="宋体"/>
          <w:sz w:val="24"/>
          <w:lang w:val="en-US" w:eastAsia="zh-CN"/>
        </w:rPr>
        <w:t>声明</w:t>
      </w:r>
      <w:r>
        <w:rPr>
          <w:rFonts w:hint="eastAsia" w:ascii="宋体" w:hAnsi="宋体"/>
          <w:sz w:val="24"/>
        </w:rPr>
        <w:t>没有</w:t>
      </w:r>
      <w:r>
        <w:rPr>
          <w:rFonts w:hint="eastAsia" w:ascii="宋体" w:hAnsi="宋体"/>
          <w:sz w:val="24"/>
          <w:highlight w:val="none"/>
        </w:rPr>
        <w:t>处于被责令停业或破产状态，且资产未被重组、接管和冻结，声明在投标活动中3 年内没有重大违法活动和涉嫌违规行为</w:t>
      </w:r>
      <w:r>
        <w:rPr>
          <w:rFonts w:hint="eastAsia" w:ascii="宋体" w:hAnsi="宋体"/>
          <w:sz w:val="24"/>
          <w:lang w:eastAsia="zh-CN"/>
        </w:rPr>
        <w:t>（</w:t>
      </w:r>
      <w:r>
        <w:rPr>
          <w:rFonts w:hint="eastAsia" w:cs="Arial" w:asciiTheme="minorEastAsia" w:hAnsiTheme="minorEastAsia"/>
          <w:color w:val="auto"/>
          <w:sz w:val="24"/>
          <w:szCs w:val="24"/>
          <w:lang w:val="en-US" w:eastAsia="zh-CN"/>
        </w:rPr>
        <w:t>附投标声明函</w:t>
      </w:r>
      <w:r>
        <w:rPr>
          <w:rFonts w:hint="eastAsia" w:ascii="宋体" w:hAnsi="宋体"/>
          <w:sz w:val="24"/>
          <w:lang w:eastAsia="zh-CN"/>
        </w:rPr>
        <w:t>）</w:t>
      </w:r>
      <w:r>
        <w:rPr>
          <w:rFonts w:hint="eastAsia" w:ascii="宋体" w:hAnsi="宋体"/>
          <w:sz w:val="24"/>
        </w:rPr>
        <w:t>；</w:t>
      </w:r>
    </w:p>
    <w:p w14:paraId="3DF65E12">
      <w:pPr>
        <w:pStyle w:val="20"/>
        <w:numPr>
          <w:ilvl w:val="0"/>
          <w:numId w:val="2"/>
        </w:numPr>
        <w:tabs>
          <w:tab w:val="left" w:pos="420"/>
        </w:tabs>
        <w:spacing w:line="360" w:lineRule="auto"/>
        <w:ind w:firstLine="480"/>
        <w:rPr>
          <w:rFonts w:ascii="宋体" w:hAnsi="宋体"/>
          <w:sz w:val="24"/>
        </w:rPr>
      </w:pPr>
      <w:r>
        <w:rPr>
          <w:rFonts w:hint="eastAsia" w:ascii="宋体" w:hAnsi="宋体"/>
          <w:sz w:val="24"/>
        </w:rPr>
        <w:t>不接受联合体报价。</w:t>
      </w:r>
    </w:p>
    <w:p w14:paraId="47BED9BC">
      <w:pPr>
        <w:pStyle w:val="20"/>
        <w:numPr>
          <w:ilvl w:val="0"/>
          <w:numId w:val="3"/>
        </w:numPr>
        <w:spacing w:line="360" w:lineRule="auto"/>
        <w:ind w:left="0" w:firstLine="480"/>
        <w:rPr>
          <w:rFonts w:ascii="宋体" w:hAnsi="宋体"/>
          <w:sz w:val="24"/>
        </w:rPr>
      </w:pPr>
      <w:r>
        <w:rPr>
          <w:rFonts w:hint="eastAsia" w:ascii="宋体" w:hAnsi="宋体"/>
          <w:sz w:val="24"/>
        </w:rPr>
        <w:t>费用、支付方式及货期。</w:t>
      </w:r>
    </w:p>
    <w:p w14:paraId="617FE0E8">
      <w:pPr>
        <w:pStyle w:val="20"/>
        <w:numPr>
          <w:ilvl w:val="0"/>
          <w:numId w:val="4"/>
        </w:numPr>
        <w:spacing w:line="360" w:lineRule="auto"/>
        <w:ind w:firstLine="480"/>
        <w:rPr>
          <w:rFonts w:ascii="宋体" w:hAnsi="宋体"/>
          <w:sz w:val="24"/>
        </w:rPr>
      </w:pPr>
      <w:r>
        <w:rPr>
          <w:rFonts w:hint="eastAsia" w:ascii="宋体" w:hAnsi="宋体"/>
          <w:b/>
          <w:bCs/>
          <w:sz w:val="24"/>
          <w:lang w:val="en-US" w:eastAsia="zh-CN"/>
        </w:rPr>
        <w:t>包组一：</w:t>
      </w:r>
      <w:r>
        <w:rPr>
          <w:rFonts w:hint="eastAsia" w:ascii="宋体" w:hAnsi="宋体"/>
          <w:sz w:val="24"/>
        </w:rPr>
        <w:t>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w:t>
      </w:r>
      <w:r>
        <w:rPr>
          <w:rFonts w:hint="eastAsia" w:ascii="宋体" w:hAnsi="宋体"/>
          <w:sz w:val="24"/>
          <w:lang w:val="en-US" w:eastAsia="zh-CN"/>
        </w:rPr>
        <w:t>云平台对接和</w:t>
      </w:r>
      <w:r>
        <w:rPr>
          <w:rFonts w:hint="eastAsia" w:ascii="宋体" w:hAnsi="宋体"/>
          <w:sz w:val="24"/>
        </w:rPr>
        <w:t>调试</w:t>
      </w:r>
      <w:r>
        <w:rPr>
          <w:rFonts w:hint="eastAsia" w:ascii="宋体" w:hAnsi="宋体"/>
          <w:sz w:val="24"/>
          <w:lang w:val="en-US" w:eastAsia="zh-CN"/>
        </w:rPr>
        <w:t>配合</w:t>
      </w:r>
      <w:r>
        <w:rPr>
          <w:rFonts w:hint="eastAsia" w:ascii="宋体" w:hAnsi="宋体"/>
          <w:sz w:val="24"/>
        </w:rPr>
        <w:t>、利润、税费</w:t>
      </w:r>
      <w:r>
        <w:rPr>
          <w:rFonts w:hint="eastAsia" w:ascii="宋体" w:hAnsi="宋体"/>
          <w:kern w:val="0"/>
          <w:sz w:val="24"/>
        </w:rPr>
        <w:t>（包括关税、增值税专用发票等）</w:t>
      </w:r>
      <w:r>
        <w:rPr>
          <w:rFonts w:hint="eastAsia" w:ascii="宋体" w:hAnsi="宋体"/>
          <w:sz w:val="24"/>
        </w:rPr>
        <w:t>、</w:t>
      </w:r>
      <w:r>
        <w:rPr>
          <w:rFonts w:hint="eastAsia" w:ascii="宋体" w:hAnsi="宋体"/>
          <w:sz w:val="24"/>
          <w:lang w:val="en-US" w:eastAsia="zh-CN"/>
        </w:rPr>
        <w:t>温控器数据通信服务费用、</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1A705BBA">
      <w:pPr>
        <w:pStyle w:val="20"/>
        <w:numPr>
          <w:ilvl w:val="-1"/>
          <w:numId w:val="0"/>
        </w:numPr>
        <w:spacing w:line="360" w:lineRule="auto"/>
        <w:ind w:leftChars="200" w:firstLine="0" w:firstLineChars="0"/>
        <w:rPr>
          <w:rFonts w:hint="eastAsia" w:ascii="宋体" w:hAnsi="宋体" w:eastAsiaTheme="minorEastAsia"/>
          <w:sz w:val="24"/>
          <w:lang w:val="en-US" w:eastAsia="zh-CN"/>
        </w:rPr>
      </w:pPr>
      <w:r>
        <w:rPr>
          <w:rFonts w:hint="eastAsia" w:ascii="宋体" w:hAnsi="宋体"/>
          <w:b/>
          <w:bCs/>
          <w:sz w:val="24"/>
          <w:lang w:val="en-US" w:eastAsia="zh-CN"/>
        </w:rPr>
        <w:t>包组二：</w:t>
      </w:r>
      <w:r>
        <w:rPr>
          <w:rFonts w:hint="eastAsia" w:ascii="宋体" w:hAnsi="宋体"/>
          <w:sz w:val="24"/>
        </w:rPr>
        <w:t>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r>
        <w:rPr>
          <w:rFonts w:hint="eastAsia" w:ascii="宋体" w:hAnsi="宋体"/>
          <w:sz w:val="24"/>
          <w:lang w:eastAsia="zh-CN"/>
        </w:rPr>
        <w:t>。</w:t>
      </w:r>
    </w:p>
    <w:p w14:paraId="63BD695E">
      <w:pPr>
        <w:pStyle w:val="20"/>
        <w:numPr>
          <w:ilvl w:val="0"/>
          <w:numId w:val="4"/>
        </w:numPr>
        <w:spacing w:line="360" w:lineRule="auto"/>
        <w:ind w:firstLine="480"/>
        <w:rPr>
          <w:rFonts w:ascii="宋体" w:hAnsi="宋体"/>
          <w:sz w:val="24"/>
        </w:rPr>
      </w:pPr>
      <w:r>
        <w:rPr>
          <w:rFonts w:hint="eastAsia" w:ascii="宋体" w:hAnsi="宋体"/>
          <w:sz w:val="24"/>
        </w:rPr>
        <w:t>付款方式：</w:t>
      </w:r>
    </w:p>
    <w:p w14:paraId="4970E8D9">
      <w:pPr>
        <w:pStyle w:val="20"/>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b/>
          <w:bCs/>
          <w:sz w:val="24"/>
          <w:szCs w:val="24"/>
          <w:lang w:val="en-US" w:eastAsia="zh-CN"/>
        </w:rPr>
        <w:t>包组一：</w:t>
      </w:r>
      <w:r>
        <w:rPr>
          <w:rFonts w:hint="eastAsia" w:ascii="宋体" w:hAnsi="宋体"/>
          <w:sz w:val="24"/>
          <w:szCs w:val="24"/>
        </w:rPr>
        <w:t>全部货物货到现场并经需方验收合格后付至结算价的80%，全部货物经</w:t>
      </w:r>
      <w:r>
        <w:rPr>
          <w:rFonts w:hint="eastAsia" w:ascii="宋体" w:hAnsi="宋体"/>
          <w:sz w:val="24"/>
          <w:szCs w:val="24"/>
          <w:lang w:val="en-US" w:eastAsia="zh-CN"/>
        </w:rPr>
        <w:t>甲</w:t>
      </w:r>
      <w:r>
        <w:rPr>
          <w:rFonts w:hint="eastAsia" w:ascii="宋体" w:hAnsi="宋体"/>
          <w:sz w:val="24"/>
          <w:szCs w:val="24"/>
        </w:rPr>
        <w:t>方安装调试验收合格签字和收到供方相关的技术资料后15天内支付至结算价的9</w:t>
      </w:r>
      <w:r>
        <w:rPr>
          <w:rFonts w:hint="eastAsia" w:ascii="宋体" w:hAnsi="宋体"/>
          <w:sz w:val="24"/>
          <w:szCs w:val="24"/>
          <w:lang w:val="en-US" w:eastAsia="zh-CN"/>
        </w:rPr>
        <w:t>5</w:t>
      </w:r>
      <w:r>
        <w:rPr>
          <w:rFonts w:hint="eastAsia" w:ascii="宋体" w:hAnsi="宋体"/>
          <w:sz w:val="24"/>
          <w:szCs w:val="24"/>
        </w:rPr>
        <w:t>%款项，同时余下结算价的</w:t>
      </w:r>
      <w:r>
        <w:rPr>
          <w:rFonts w:hint="eastAsia" w:ascii="宋体" w:hAnsi="宋体"/>
          <w:sz w:val="24"/>
          <w:szCs w:val="24"/>
          <w:lang w:val="en-US" w:eastAsia="zh-CN"/>
        </w:rPr>
        <w:t>5</w:t>
      </w:r>
      <w:r>
        <w:rPr>
          <w:rFonts w:hint="eastAsia" w:ascii="宋体" w:hAnsi="宋体"/>
          <w:sz w:val="24"/>
          <w:szCs w:val="24"/>
        </w:rPr>
        <w:t>%作为质保金，</w:t>
      </w:r>
      <w:r>
        <w:rPr>
          <w:rFonts w:hint="eastAsia" w:ascii="宋体" w:hAnsi="宋体"/>
          <w:b/>
          <w:bCs/>
          <w:sz w:val="24"/>
          <w:szCs w:val="24"/>
        </w:rPr>
        <w:t>质保期</w:t>
      </w:r>
      <w:r>
        <w:rPr>
          <w:rFonts w:hint="eastAsia" w:ascii="宋体" w:hAnsi="宋体"/>
          <w:b/>
          <w:bCs/>
          <w:sz w:val="24"/>
          <w:szCs w:val="24"/>
          <w:lang w:val="en-US" w:eastAsia="zh-CN"/>
        </w:rPr>
        <w:t>不少于5</w:t>
      </w:r>
      <w:r>
        <w:rPr>
          <w:rFonts w:hint="eastAsia" w:ascii="宋体" w:hAnsi="宋体"/>
          <w:b/>
          <w:bCs/>
          <w:sz w:val="24"/>
          <w:szCs w:val="24"/>
        </w:rPr>
        <w:t>年</w:t>
      </w:r>
      <w:r>
        <w:rPr>
          <w:rFonts w:hint="eastAsia" w:ascii="宋体" w:hAnsi="宋体"/>
          <w:sz w:val="24"/>
          <w:szCs w:val="24"/>
        </w:rPr>
        <w:t>，质保期自货物安装调试验收合格之日起算，质保期满供方履行完质保期义务后付清余款。付款前供方开具相应金额增值税(含13%增值税)专用发票给需方。</w:t>
      </w:r>
      <w:r>
        <w:rPr>
          <w:rFonts w:hint="eastAsia" w:ascii="宋体" w:hAnsi="宋体"/>
          <w:sz w:val="24"/>
          <w:lang w:val="en-US" w:eastAsia="zh-CN"/>
        </w:rPr>
        <w:t>其中，温控器数据通信服务费用</w:t>
      </w:r>
      <w:r>
        <w:rPr>
          <w:rFonts w:hint="eastAsia" w:ascii="宋体" w:hAnsi="宋体"/>
          <w:sz w:val="24"/>
          <w:szCs w:val="24"/>
        </w:rPr>
        <w:t>，自供方安装调试完毕并验收合格之日起算</w:t>
      </w:r>
      <w:r>
        <w:rPr>
          <w:rFonts w:hint="eastAsia" w:ascii="宋体" w:hAnsi="宋体"/>
          <w:sz w:val="24"/>
          <w:szCs w:val="24"/>
          <w:lang w:eastAsia="zh-CN"/>
        </w:rPr>
        <w:t>。</w:t>
      </w:r>
    </w:p>
    <w:p w14:paraId="5FD3B453">
      <w:pPr>
        <w:pStyle w:val="20"/>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b/>
          <w:bCs/>
          <w:sz w:val="24"/>
          <w:szCs w:val="24"/>
          <w:lang w:val="en-US" w:eastAsia="zh-CN"/>
        </w:rPr>
        <w:t>包组二：</w:t>
      </w: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r>
        <w:rPr>
          <w:rFonts w:hint="eastAsia" w:ascii="宋体" w:hAnsi="宋体"/>
          <w:sz w:val="24"/>
          <w:highlight w:val="none"/>
          <w:lang w:eastAsia="zh-CN"/>
        </w:rPr>
        <w:t>。</w:t>
      </w:r>
    </w:p>
    <w:p w14:paraId="09086883">
      <w:pPr>
        <w:pStyle w:val="20"/>
        <w:numPr>
          <w:ilvl w:val="0"/>
          <w:numId w:val="4"/>
        </w:numPr>
        <w:spacing w:line="360" w:lineRule="auto"/>
        <w:ind w:firstLine="480"/>
        <w:rPr>
          <w:rFonts w:ascii="宋体" w:hAnsi="宋体"/>
          <w:sz w:val="24"/>
          <w:highlight w:val="none"/>
        </w:rPr>
      </w:pPr>
      <w:r>
        <w:rPr>
          <w:rFonts w:hint="eastAsia" w:ascii="宋体" w:hAnsi="宋体"/>
          <w:sz w:val="24"/>
          <w:highlight w:val="none"/>
        </w:rPr>
        <w:t>货期：</w:t>
      </w:r>
      <w:bookmarkStart w:id="0" w:name="OLE_LINK2"/>
      <w:r>
        <w:rPr>
          <w:rFonts w:hint="eastAsia" w:ascii="宋体" w:hAnsi="宋体"/>
          <w:b/>
          <w:bCs/>
          <w:sz w:val="24"/>
          <w:highlight w:val="none"/>
          <w:lang w:val="en-US" w:eastAsia="zh-CN"/>
        </w:rPr>
        <w:t>包组一合同签订后20个日历天</w:t>
      </w:r>
      <w:r>
        <w:rPr>
          <w:rFonts w:hint="eastAsia" w:ascii="宋体" w:hAnsi="宋体"/>
          <w:sz w:val="24"/>
          <w:highlight w:val="none"/>
          <w:lang w:val="en-US" w:eastAsia="zh-CN"/>
        </w:rPr>
        <w:t>前将货物安全、完整、按时送货到采购人指定地点</w:t>
      </w:r>
      <w:bookmarkEnd w:id="0"/>
      <w:r>
        <w:rPr>
          <w:rFonts w:ascii="宋体" w:hAnsi="宋体"/>
          <w:sz w:val="24"/>
          <w:highlight w:val="none"/>
        </w:rPr>
        <w:t>。</w:t>
      </w:r>
      <w:r>
        <w:rPr>
          <w:rFonts w:hint="eastAsia" w:ascii="宋体" w:hAnsi="宋体"/>
          <w:b/>
          <w:bCs/>
          <w:sz w:val="24"/>
          <w:highlight w:val="none"/>
          <w:lang w:val="en-US" w:eastAsia="zh-CN"/>
        </w:rPr>
        <w:t>包组二</w:t>
      </w:r>
      <w:r>
        <w:rPr>
          <w:rFonts w:hint="eastAsia" w:ascii="宋体" w:hAnsi="宋体"/>
          <w:sz w:val="24"/>
          <w:highlight w:val="none"/>
        </w:rPr>
        <w:t>按照供应商报价响应所承诺的货期将货物安全、完整、按时送货到采购人指定地点。</w:t>
      </w:r>
      <w:r>
        <w:rPr>
          <w:rFonts w:hint="eastAsia" w:ascii="宋体" w:hAnsi="宋体"/>
          <w:b/>
          <w:bCs/>
          <w:sz w:val="24"/>
          <w:highlight w:val="none"/>
          <w:lang w:val="en-US" w:eastAsia="zh-CN"/>
        </w:rPr>
        <w:t>货期要求不超过10天。</w:t>
      </w:r>
    </w:p>
    <w:p w14:paraId="409A3FE7">
      <w:pPr>
        <w:pStyle w:val="20"/>
        <w:numPr>
          <w:ilvl w:val="0"/>
          <w:numId w:val="4"/>
        </w:numPr>
        <w:spacing w:line="360" w:lineRule="auto"/>
        <w:ind w:firstLine="480"/>
        <w:rPr>
          <w:rFonts w:ascii="宋体" w:hAnsi="宋体"/>
          <w:sz w:val="24"/>
        </w:rPr>
      </w:pPr>
      <w:r>
        <w:rPr>
          <w:rFonts w:hint="eastAsia" w:ascii="宋体" w:hAnsi="宋体"/>
          <w:sz w:val="24"/>
        </w:rPr>
        <w:t>送货地点：广州大学城西五路</w:t>
      </w:r>
      <w:r>
        <w:rPr>
          <w:rFonts w:ascii="宋体" w:hAnsi="宋体"/>
          <w:sz w:val="24"/>
        </w:rPr>
        <w:t>4#</w:t>
      </w:r>
      <w:r>
        <w:rPr>
          <w:rFonts w:hint="eastAsia" w:ascii="宋体" w:hAnsi="宋体"/>
          <w:sz w:val="24"/>
        </w:rPr>
        <w:t>冷站旁边仓库（国家档案馆对面）</w:t>
      </w:r>
    </w:p>
    <w:p w14:paraId="282A64E6">
      <w:pPr>
        <w:spacing w:line="360" w:lineRule="auto"/>
        <w:ind w:firstLine="480" w:firstLineChars="200"/>
        <w:rPr>
          <w:rFonts w:ascii="宋体" w:hAnsi="宋体"/>
          <w:sz w:val="24"/>
        </w:rPr>
      </w:pPr>
      <w:r>
        <w:rPr>
          <w:rFonts w:hint="eastAsia" w:ascii="宋体" w:hAnsi="宋体"/>
          <w:sz w:val="24"/>
        </w:rPr>
        <w:t>四、报价响应要求</w:t>
      </w:r>
    </w:p>
    <w:p w14:paraId="5695CCB9">
      <w:pPr>
        <w:pStyle w:val="20"/>
        <w:numPr>
          <w:ilvl w:val="0"/>
          <w:numId w:val="6"/>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w:t>
      </w:r>
      <w:r>
        <w:rPr>
          <w:rFonts w:hint="eastAsia" w:ascii="宋体" w:hAnsi="宋体"/>
          <w:sz w:val="24"/>
          <w:lang w:eastAsia="zh-CN"/>
        </w:rPr>
        <w:t>、</w:t>
      </w:r>
      <w:r>
        <w:rPr>
          <w:rFonts w:hint="eastAsia" w:ascii="宋体" w:hAnsi="宋体"/>
          <w:sz w:val="24"/>
          <w:lang w:val="en-US" w:eastAsia="zh-CN"/>
        </w:rPr>
        <w:t>2</w:t>
      </w:r>
      <w:r>
        <w:rPr>
          <w:rFonts w:ascii="宋体" w:hAnsi="宋体"/>
          <w:sz w:val="24"/>
        </w:rPr>
        <w:t>）中的所有指标均为最低参考标准，其中涉及要求出具资质、质保、售后服务、供货确认等相关文书的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512274B7">
      <w:pPr>
        <w:pStyle w:val="20"/>
        <w:numPr>
          <w:ilvl w:val="0"/>
          <w:numId w:val="6"/>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6A221E08">
      <w:pPr>
        <w:pStyle w:val="20"/>
        <w:spacing w:line="360" w:lineRule="auto"/>
        <w:ind w:firstLine="480"/>
        <w:rPr>
          <w:rFonts w:ascii="宋体" w:hAnsi="宋体"/>
          <w:sz w:val="24"/>
        </w:rPr>
      </w:pPr>
      <w:r>
        <w:rPr>
          <w:rFonts w:hint="eastAsia" w:ascii="宋体" w:hAnsi="宋体"/>
          <w:sz w:val="24"/>
        </w:rPr>
        <w:t>五、投标文件</w:t>
      </w:r>
    </w:p>
    <w:p w14:paraId="1784273A">
      <w:pPr>
        <w:pStyle w:val="20"/>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2A07D2C7">
      <w:pPr>
        <w:pStyle w:val="20"/>
        <w:numPr>
          <w:ilvl w:val="0"/>
          <w:numId w:val="7"/>
        </w:numPr>
        <w:spacing w:line="360" w:lineRule="auto"/>
        <w:ind w:firstLine="480"/>
        <w:rPr>
          <w:rFonts w:ascii="宋体" w:hAnsi="宋体"/>
          <w:sz w:val="24"/>
        </w:rPr>
      </w:pPr>
      <w:r>
        <w:rPr>
          <w:rFonts w:hint="eastAsia" w:ascii="宋体" w:hAnsi="宋体"/>
          <w:sz w:val="24"/>
        </w:rPr>
        <w:t>价格文件（格式见附件2，加盖公章）</w:t>
      </w:r>
    </w:p>
    <w:p w14:paraId="31DC1E59">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501D7830">
      <w:pPr>
        <w:pStyle w:val="20"/>
        <w:numPr>
          <w:ilvl w:val="0"/>
          <w:numId w:val="7"/>
        </w:numPr>
        <w:spacing w:line="360" w:lineRule="auto"/>
        <w:ind w:firstLine="480"/>
        <w:rPr>
          <w:rFonts w:ascii="宋体" w:hAnsi="宋体"/>
          <w:sz w:val="24"/>
        </w:rPr>
      </w:pPr>
      <w:r>
        <w:rPr>
          <w:rFonts w:hint="eastAsia" w:ascii="宋体" w:hAnsi="宋体"/>
          <w:sz w:val="24"/>
        </w:rPr>
        <w:t>商务部分</w:t>
      </w:r>
    </w:p>
    <w:p w14:paraId="65C9301C">
      <w:pPr>
        <w:pStyle w:val="20"/>
        <w:numPr>
          <w:ilvl w:val="-1"/>
          <w:numId w:val="0"/>
        </w:numPr>
        <w:spacing w:line="360" w:lineRule="auto"/>
        <w:ind w:left="0" w:leftChars="0" w:firstLine="480"/>
        <w:rPr>
          <w:rFonts w:hint="eastAsia" w:ascii="宋体" w:hAnsi="宋体"/>
          <w:sz w:val="24"/>
        </w:rPr>
      </w:pPr>
      <w:r>
        <w:rPr>
          <w:rFonts w:hint="eastAsia" w:ascii="宋体" w:hAnsi="宋体"/>
          <w:sz w:val="24"/>
        </w:rPr>
        <w:t>1、提供营业执照或法人证书盖章扫描件证明。</w:t>
      </w:r>
    </w:p>
    <w:p w14:paraId="48BF4BC5">
      <w:pPr>
        <w:pStyle w:val="20"/>
        <w:numPr>
          <w:ilvl w:val="-1"/>
          <w:numId w:val="0"/>
        </w:numPr>
        <w:spacing w:line="360" w:lineRule="auto"/>
        <w:ind w:left="0" w:leftChars="0" w:firstLine="480"/>
        <w:rPr>
          <w:rFonts w:hint="eastAsia" w:ascii="宋体" w:hAnsi="宋体"/>
          <w:sz w:val="24"/>
        </w:rPr>
      </w:pPr>
      <w:r>
        <w:rPr>
          <w:rFonts w:hint="eastAsia" w:ascii="宋体" w:hAnsi="宋体"/>
          <w:sz w:val="24"/>
        </w:rPr>
        <w:t>2、</w:t>
      </w: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r>
        <w:rPr>
          <w:rFonts w:hint="eastAsia" w:ascii="宋体" w:hAnsi="宋体"/>
          <w:sz w:val="24"/>
        </w:rPr>
        <w:t>。</w:t>
      </w:r>
    </w:p>
    <w:p w14:paraId="337A49AF">
      <w:pPr>
        <w:pStyle w:val="20"/>
        <w:numPr>
          <w:ilvl w:val="-1"/>
          <w:numId w:val="0"/>
        </w:numPr>
        <w:spacing w:line="360" w:lineRule="auto"/>
        <w:ind w:left="0" w:leftChars="0" w:firstLine="480"/>
        <w:rPr>
          <w:rFonts w:hint="eastAsia" w:ascii="宋体" w:hAnsi="宋体"/>
          <w:sz w:val="24"/>
        </w:rPr>
      </w:pPr>
      <w:r>
        <w:rPr>
          <w:rFonts w:hint="eastAsia" w:ascii="宋体" w:hAnsi="宋体"/>
          <w:sz w:val="24"/>
        </w:rPr>
        <w:t>3、供应商调查表（</w:t>
      </w:r>
      <w:r>
        <w:rPr>
          <w:rFonts w:hint="eastAsia" w:ascii="宋体" w:hAnsi="宋体"/>
          <w:color w:val="auto"/>
          <w:sz w:val="24"/>
        </w:rPr>
        <w:t>见</w:t>
      </w:r>
      <w:r>
        <w:rPr>
          <w:rFonts w:hint="eastAsia" w:ascii="宋体" w:hAnsi="宋体"/>
          <w:color w:val="auto"/>
          <w:sz w:val="24"/>
          <w:lang w:val="en-US" w:eastAsia="zh-CN"/>
        </w:rPr>
        <w:t>附件4</w:t>
      </w:r>
      <w:r>
        <w:rPr>
          <w:rFonts w:hint="eastAsia" w:ascii="宋体" w:hAnsi="宋体"/>
          <w:sz w:val="24"/>
        </w:rPr>
        <w:t>）</w:t>
      </w:r>
    </w:p>
    <w:p w14:paraId="1DDFE574">
      <w:pPr>
        <w:pStyle w:val="20"/>
        <w:numPr>
          <w:ilvl w:val="-1"/>
          <w:numId w:val="0"/>
        </w:numPr>
        <w:spacing w:line="360" w:lineRule="auto"/>
        <w:ind w:left="0" w:leftChars="0" w:firstLine="480"/>
        <w:rPr>
          <w:rFonts w:hint="eastAsia" w:ascii="宋体" w:hAnsi="宋体" w:eastAsiaTheme="minorEastAsia"/>
          <w:sz w:val="24"/>
          <w:lang w:val="en-US" w:eastAsia="zh-CN"/>
        </w:rPr>
      </w:pPr>
      <w:r>
        <w:rPr>
          <w:rFonts w:hint="eastAsia" w:ascii="宋体" w:hAnsi="宋体"/>
          <w:sz w:val="24"/>
          <w:lang w:val="en-US" w:eastAsia="zh-CN"/>
        </w:rPr>
        <w:t>4、</w:t>
      </w:r>
      <w:r>
        <w:rPr>
          <w:rFonts w:hint="eastAsia" w:ascii="宋体" w:hAnsi="宋体"/>
          <w:sz w:val="24"/>
        </w:rPr>
        <w:t>实质性要求</w:t>
      </w:r>
      <w:r>
        <w:rPr>
          <w:rFonts w:hint="eastAsia" w:ascii="宋体" w:hAnsi="宋体"/>
          <w:sz w:val="24"/>
          <w:highlight w:val="none"/>
        </w:rPr>
        <w:t>响应表（附件</w:t>
      </w:r>
      <w:r>
        <w:rPr>
          <w:rFonts w:hint="eastAsia" w:ascii="宋体" w:hAnsi="宋体"/>
          <w:sz w:val="24"/>
          <w:highlight w:val="none"/>
          <w:lang w:val="en-US" w:eastAsia="zh-CN"/>
        </w:rPr>
        <w:t>5</w:t>
      </w:r>
      <w:r>
        <w:rPr>
          <w:rFonts w:hint="eastAsia" w:ascii="宋体" w:hAnsi="宋体"/>
          <w:sz w:val="24"/>
          <w:highlight w:val="none"/>
        </w:rPr>
        <w:t>）</w:t>
      </w:r>
    </w:p>
    <w:p w14:paraId="23D83C6B">
      <w:pPr>
        <w:ind w:firstLine="480" w:firstLineChars="200"/>
      </w:pPr>
      <w:r>
        <w:rPr>
          <w:rFonts w:hint="eastAsia" w:ascii="宋体" w:hAnsi="宋体"/>
          <w:sz w:val="24"/>
          <w:lang w:val="en-US" w:eastAsia="zh-CN"/>
        </w:rPr>
        <w:t>5</w:t>
      </w:r>
      <w:r>
        <w:rPr>
          <w:rFonts w:hint="eastAsia" w:ascii="宋体" w:hAnsi="宋体"/>
          <w:sz w:val="24"/>
        </w:rPr>
        <w:t>、法定代表人证明书</w:t>
      </w:r>
      <w:r>
        <w:rPr>
          <w:rFonts w:hint="eastAsia" w:ascii="宋体" w:hAnsi="宋体"/>
          <w:sz w:val="24"/>
          <w:lang w:val="en-US" w:eastAsia="zh-CN"/>
        </w:rPr>
        <w:t>或</w:t>
      </w:r>
      <w:r>
        <w:rPr>
          <w:rFonts w:hint="eastAsia" w:ascii="宋体" w:hAnsi="宋体"/>
          <w:sz w:val="24"/>
        </w:rPr>
        <w:t>法定代表人授权委托书原件（</w:t>
      </w:r>
      <w:r>
        <w:rPr>
          <w:rFonts w:hint="eastAsia" w:ascii="宋体" w:hAnsi="宋体"/>
          <w:color w:val="auto"/>
          <w:sz w:val="24"/>
        </w:rPr>
        <w:t>见</w:t>
      </w:r>
      <w:r>
        <w:rPr>
          <w:rFonts w:hint="eastAsia" w:ascii="宋体" w:hAnsi="宋体"/>
          <w:color w:val="auto"/>
          <w:sz w:val="24"/>
          <w:lang w:val="en-US" w:eastAsia="zh-CN"/>
        </w:rPr>
        <w:t>附件6和附件7</w:t>
      </w:r>
      <w:r>
        <w:rPr>
          <w:rFonts w:hint="eastAsia" w:asciiTheme="minorEastAsia" w:hAnsiTheme="minorEastAsia"/>
          <w:color w:val="auto"/>
          <w:sz w:val="24"/>
          <w:szCs w:val="28"/>
        </w:rPr>
        <w:t>）</w:t>
      </w:r>
      <w:r>
        <w:rPr>
          <w:rFonts w:hint="eastAsia" w:ascii="宋体" w:hAnsi="宋体"/>
          <w:sz w:val="24"/>
        </w:rPr>
        <w:t>）</w:t>
      </w:r>
    </w:p>
    <w:p w14:paraId="249E91EF">
      <w:pPr>
        <w:pStyle w:val="20"/>
        <w:numPr>
          <w:ilvl w:val="-1"/>
          <w:numId w:val="0"/>
        </w:numPr>
        <w:spacing w:line="360" w:lineRule="auto"/>
        <w:ind w:left="0" w:leftChars="0" w:firstLine="480"/>
        <w:rPr>
          <w:rFonts w:hint="eastAsia" w:ascii="宋体" w:hAnsi="宋体"/>
          <w:sz w:val="24"/>
        </w:rPr>
      </w:pPr>
      <w:r>
        <w:rPr>
          <w:rFonts w:hint="eastAsia" w:ascii="宋体" w:hAnsi="宋体"/>
          <w:color w:val="auto"/>
          <w:sz w:val="24"/>
          <w:szCs w:val="24"/>
          <w:lang w:val="en-US" w:eastAsia="zh-CN"/>
        </w:rPr>
        <w:t>6、</w:t>
      </w:r>
      <w:r>
        <w:rPr>
          <w:rFonts w:hint="eastAsia" w:ascii="宋体" w:hAnsi="宋体"/>
          <w:color w:val="auto"/>
          <w:sz w:val="24"/>
          <w:szCs w:val="24"/>
        </w:rPr>
        <w:t>投标人没有处于被责令停业或破产状态，且资产未被重组、接管和冻结，声明在投标活动中3年内没有重大违法活动和涉嫌违规行为（附投标声明函</w:t>
      </w:r>
      <w:r>
        <w:rPr>
          <w:rFonts w:hint="eastAsia" w:ascii="宋体" w:hAnsi="宋体"/>
          <w:color w:val="auto"/>
          <w:sz w:val="24"/>
          <w:szCs w:val="24"/>
          <w:lang w:eastAsia="zh-CN"/>
        </w:rPr>
        <w:t>，</w:t>
      </w:r>
      <w:r>
        <w:rPr>
          <w:rFonts w:hint="eastAsia" w:ascii="宋体" w:hAnsi="宋体"/>
          <w:color w:val="auto"/>
          <w:sz w:val="24"/>
          <w:szCs w:val="24"/>
          <w:lang w:val="en-US" w:eastAsia="zh-CN"/>
        </w:rPr>
        <w:t>见附件8</w:t>
      </w:r>
      <w:r>
        <w:rPr>
          <w:rFonts w:hint="eastAsia" w:ascii="宋体" w:hAnsi="宋体"/>
          <w:color w:val="auto"/>
          <w:sz w:val="24"/>
          <w:szCs w:val="24"/>
        </w:rPr>
        <w:t>）</w:t>
      </w:r>
    </w:p>
    <w:p w14:paraId="65094A58">
      <w:pPr>
        <w:pStyle w:val="20"/>
        <w:numPr>
          <w:ilvl w:val="-1"/>
          <w:numId w:val="0"/>
        </w:numPr>
        <w:spacing w:line="360" w:lineRule="auto"/>
        <w:ind w:left="0" w:leftChars="0" w:firstLine="480" w:firstLineChars="200"/>
        <w:rPr>
          <w:rFonts w:ascii="宋体" w:hAnsi="宋体"/>
          <w:sz w:val="24"/>
        </w:rPr>
      </w:pPr>
      <w:r>
        <w:rPr>
          <w:rFonts w:hint="eastAsia" w:ascii="宋体" w:hAnsi="宋体"/>
          <w:sz w:val="24"/>
        </w:rPr>
        <w:t>7、供应商认为有必要的其他资质（包括相关产品授权资质证书）等材料复印件。。</w:t>
      </w:r>
    </w:p>
    <w:p w14:paraId="5E910A53">
      <w:pPr>
        <w:pStyle w:val="20"/>
        <w:numPr>
          <w:ilvl w:val="0"/>
          <w:numId w:val="7"/>
        </w:numPr>
        <w:spacing w:line="360" w:lineRule="auto"/>
        <w:ind w:firstLine="480"/>
        <w:rPr>
          <w:rFonts w:ascii="宋体" w:hAnsi="宋体"/>
          <w:b/>
          <w:bCs/>
          <w:sz w:val="24"/>
        </w:rPr>
      </w:pPr>
      <w:r>
        <w:rPr>
          <w:rFonts w:hint="eastAsia" w:ascii="宋体" w:hAnsi="宋体"/>
          <w:b/>
          <w:bCs/>
          <w:sz w:val="24"/>
          <w:lang w:val="en-US" w:eastAsia="zh-CN"/>
        </w:rPr>
        <w:t>投标样机</w:t>
      </w:r>
    </w:p>
    <w:p w14:paraId="077A720D">
      <w:pPr>
        <w:pStyle w:val="20"/>
        <w:numPr>
          <w:ilvl w:val="-1"/>
          <w:numId w:val="0"/>
        </w:numPr>
        <w:spacing w:line="360" w:lineRule="auto"/>
        <w:ind w:leftChars="0" w:firstLine="482"/>
        <w:rPr>
          <w:rFonts w:ascii="宋体" w:hAnsi="宋体"/>
          <w:sz w:val="24"/>
        </w:rPr>
      </w:pPr>
      <w:r>
        <w:rPr>
          <w:rFonts w:hint="eastAsia" w:ascii="宋体" w:hAnsi="宋体"/>
          <w:b/>
          <w:bCs/>
          <w:sz w:val="24"/>
          <w:lang w:val="en-US" w:eastAsia="zh-CN"/>
        </w:rPr>
        <w:t>包组一</w:t>
      </w:r>
      <w:r>
        <w:rPr>
          <w:rFonts w:hint="eastAsia" w:ascii="宋体" w:hAnsi="宋体"/>
          <w:b/>
          <w:bCs/>
          <w:sz w:val="24"/>
        </w:rPr>
        <w:t>投标单位提供投标样机，一台实物整机</w:t>
      </w:r>
      <w:r>
        <w:rPr>
          <w:rFonts w:hint="eastAsia" w:ascii="宋体" w:hAnsi="宋体"/>
          <w:b/>
          <w:bCs/>
          <w:sz w:val="24"/>
          <w:lang w:eastAsia="zh-CN"/>
        </w:rPr>
        <w:t>，</w:t>
      </w:r>
      <w:r>
        <w:rPr>
          <w:rFonts w:hint="eastAsia" w:ascii="宋体" w:hAnsi="宋体"/>
          <w:b/>
          <w:bCs/>
          <w:sz w:val="24"/>
        </w:rPr>
        <w:t>和一套远传功能演示系统</w:t>
      </w:r>
      <w:r>
        <w:rPr>
          <w:rFonts w:hint="eastAsia" w:ascii="宋体" w:hAnsi="宋体"/>
          <w:b/>
          <w:bCs/>
          <w:sz w:val="24"/>
          <w:lang w:eastAsia="zh-CN"/>
        </w:rPr>
        <w:t>（</w:t>
      </w:r>
      <w:r>
        <w:rPr>
          <w:rFonts w:hint="eastAsia" w:ascii="宋体" w:hAnsi="宋体"/>
          <w:b/>
          <w:bCs/>
          <w:sz w:val="24"/>
          <w:lang w:val="en-US" w:eastAsia="zh-CN"/>
        </w:rPr>
        <w:t>评标时演示</w:t>
      </w:r>
      <w:r>
        <w:rPr>
          <w:rFonts w:hint="eastAsia" w:ascii="宋体" w:hAnsi="宋体"/>
          <w:b/>
          <w:bCs/>
          <w:sz w:val="24"/>
          <w:lang w:eastAsia="zh-CN"/>
        </w:rPr>
        <w:t>）</w:t>
      </w:r>
      <w:r>
        <w:rPr>
          <w:rFonts w:hint="eastAsia" w:ascii="宋体" w:hAnsi="宋体"/>
          <w:b/>
          <w:bCs/>
          <w:sz w:val="24"/>
        </w:rPr>
        <w:t>。</w:t>
      </w:r>
      <w:r>
        <w:rPr>
          <w:rFonts w:hint="eastAsia" w:ascii="宋体" w:hAnsi="宋体"/>
          <w:sz w:val="24"/>
        </w:rPr>
        <w:t>中标单位样机于供货后10个工作日内联系采购人退回，未中标人的样机可于公布中标结果后10个工作日内联系采购人退回。</w:t>
      </w:r>
    </w:p>
    <w:p w14:paraId="636CB271">
      <w:pPr>
        <w:pStyle w:val="20"/>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14:paraId="72908D37">
      <w:pPr>
        <w:pStyle w:val="20"/>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14:paraId="6899C20B">
      <w:pPr>
        <w:pStyle w:val="20"/>
        <w:numPr>
          <w:ilvl w:val="255"/>
          <w:numId w:val="0"/>
        </w:numPr>
        <w:spacing w:line="360" w:lineRule="auto"/>
        <w:ind w:left="420" w:leftChars="200"/>
        <w:rPr>
          <w:rFonts w:ascii="宋体" w:hAnsi="宋体"/>
          <w:sz w:val="24"/>
        </w:rPr>
      </w:pPr>
      <w:r>
        <w:rPr>
          <w:rFonts w:hint="eastAsia" w:ascii="宋体" w:hAnsi="宋体"/>
          <w:sz w:val="24"/>
        </w:rPr>
        <w:t>1、总体实施方案；</w:t>
      </w:r>
    </w:p>
    <w:p w14:paraId="0DC75BA5">
      <w:pPr>
        <w:pStyle w:val="20"/>
        <w:numPr>
          <w:ilvl w:val="255"/>
          <w:numId w:val="0"/>
        </w:numPr>
        <w:spacing w:line="360" w:lineRule="auto"/>
        <w:ind w:left="420" w:leftChars="200"/>
        <w:rPr>
          <w:rFonts w:ascii="宋体" w:hAnsi="宋体"/>
          <w:sz w:val="24"/>
        </w:rPr>
      </w:pPr>
      <w:r>
        <w:rPr>
          <w:rFonts w:hint="eastAsia" w:ascii="宋体" w:hAnsi="宋体"/>
          <w:sz w:val="24"/>
        </w:rPr>
        <w:t>2、实施进度计划和工期承诺书；</w:t>
      </w:r>
    </w:p>
    <w:p w14:paraId="0318870B">
      <w:pPr>
        <w:pStyle w:val="20"/>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14:paraId="5DB6BA41">
      <w:pPr>
        <w:pStyle w:val="20"/>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14:paraId="6DA02E41">
      <w:pPr>
        <w:pStyle w:val="20"/>
        <w:numPr>
          <w:ilvl w:val="255"/>
          <w:numId w:val="0"/>
        </w:numPr>
        <w:spacing w:line="360" w:lineRule="auto"/>
        <w:ind w:left="420" w:leftChars="200"/>
        <w:rPr>
          <w:rFonts w:ascii="宋体" w:hAnsi="宋体"/>
          <w:sz w:val="24"/>
        </w:rPr>
      </w:pPr>
      <w:r>
        <w:rPr>
          <w:rFonts w:hint="eastAsia" w:ascii="宋体" w:hAnsi="宋体"/>
          <w:sz w:val="24"/>
        </w:rPr>
        <w:t>5、投入的人员配置情况；</w:t>
      </w:r>
    </w:p>
    <w:p w14:paraId="746C0561">
      <w:pPr>
        <w:pStyle w:val="20"/>
        <w:numPr>
          <w:ilvl w:val="255"/>
          <w:numId w:val="0"/>
        </w:numPr>
        <w:spacing w:line="360" w:lineRule="auto"/>
        <w:ind w:left="420" w:leftChars="200"/>
        <w:rPr>
          <w:rFonts w:hint="eastAsia" w:ascii="宋体" w:hAnsi="宋体"/>
          <w:sz w:val="24"/>
        </w:rPr>
      </w:pPr>
      <w:r>
        <w:rPr>
          <w:rFonts w:hint="eastAsia" w:ascii="宋体" w:hAnsi="宋体"/>
          <w:sz w:val="24"/>
        </w:rPr>
        <w:t>6、供应商认为其它需要说明的文字。</w:t>
      </w:r>
    </w:p>
    <w:p w14:paraId="6263C027">
      <w:pPr>
        <w:pStyle w:val="20"/>
        <w:numPr>
          <w:ilvl w:val="255"/>
          <w:numId w:val="0"/>
        </w:numPr>
        <w:spacing w:line="360" w:lineRule="auto"/>
        <w:ind w:firstLine="480" w:firstLineChars="200"/>
        <w:rPr>
          <w:rFonts w:ascii="宋体" w:hAnsi="宋体"/>
          <w:sz w:val="24"/>
        </w:rPr>
      </w:pPr>
      <w:r>
        <w:rPr>
          <w:rFonts w:hint="eastAsia" w:ascii="宋体" w:hAnsi="宋体"/>
          <w:sz w:val="24"/>
        </w:rPr>
        <w:t>六、评标方法：</w:t>
      </w:r>
    </w:p>
    <w:p w14:paraId="7FCCA80E">
      <w:pPr>
        <w:spacing w:line="360" w:lineRule="auto"/>
        <w:ind w:firstLine="482" w:firstLineChars="200"/>
        <w:rPr>
          <w:rFonts w:hint="eastAsia" w:ascii="宋体" w:hAnsi="宋体"/>
          <w:sz w:val="24"/>
        </w:rPr>
      </w:pPr>
      <w:r>
        <w:rPr>
          <w:rFonts w:hint="eastAsia" w:ascii="宋体" w:hAnsi="宋体"/>
          <w:b/>
          <w:bCs/>
          <w:sz w:val="24"/>
          <w:highlight w:val="none"/>
          <w:lang w:val="en-US" w:eastAsia="zh-CN"/>
        </w:rPr>
        <w:t>1、包组一</w:t>
      </w:r>
      <w:r>
        <w:rPr>
          <w:rFonts w:hint="eastAsia" w:ascii="宋体" w:hAnsi="宋体"/>
          <w:sz w:val="24"/>
          <w:highlight w:val="none"/>
        </w:rPr>
        <w:t>项目采用综合评</w:t>
      </w:r>
      <w:r>
        <w:rPr>
          <w:rFonts w:hint="eastAsia" w:ascii="宋体" w:hAnsi="宋体"/>
          <w:sz w:val="24"/>
          <w:highlight w:val="none"/>
          <w:lang w:val="en-US" w:eastAsia="zh-CN"/>
        </w:rPr>
        <w:t>分</w:t>
      </w:r>
      <w:r>
        <w:rPr>
          <w:rFonts w:hint="eastAsia" w:ascii="宋体" w:hAnsi="宋体"/>
          <w:sz w:val="24"/>
          <w:highlight w:val="none"/>
        </w:rPr>
        <w:t>法，对投标人进行价格</w:t>
      </w:r>
      <w:r>
        <w:rPr>
          <w:rFonts w:hint="eastAsia" w:ascii="宋体" w:hAnsi="宋体"/>
          <w:sz w:val="24"/>
          <w:highlight w:val="none"/>
          <w:lang w:eastAsia="zh-CN"/>
        </w:rPr>
        <w:t>、</w:t>
      </w:r>
      <w:r>
        <w:rPr>
          <w:rFonts w:hint="eastAsia" w:ascii="宋体" w:hAnsi="宋体"/>
          <w:sz w:val="24"/>
          <w:highlight w:val="none"/>
          <w:lang w:val="en-US" w:eastAsia="zh-CN"/>
        </w:rPr>
        <w:t>样机</w:t>
      </w:r>
      <w:r>
        <w:rPr>
          <w:rFonts w:hint="eastAsia" w:ascii="宋体" w:hAnsi="宋体"/>
          <w:sz w:val="24"/>
          <w:highlight w:val="none"/>
        </w:rPr>
        <w:t>评审，其中价格评审部分占</w:t>
      </w:r>
      <w:r>
        <w:rPr>
          <w:rFonts w:hint="eastAsia" w:ascii="宋体" w:hAnsi="宋体"/>
          <w:sz w:val="24"/>
          <w:highlight w:val="none"/>
          <w:lang w:val="en-US" w:eastAsia="zh-CN"/>
        </w:rPr>
        <w:t>70</w:t>
      </w:r>
      <w:r>
        <w:rPr>
          <w:rFonts w:hint="eastAsia" w:ascii="宋体" w:hAnsi="宋体"/>
          <w:sz w:val="24"/>
          <w:highlight w:val="none"/>
        </w:rPr>
        <w:t>%，</w:t>
      </w:r>
      <w:r>
        <w:rPr>
          <w:rFonts w:hint="eastAsia" w:ascii="宋体" w:hAnsi="宋体"/>
          <w:sz w:val="24"/>
          <w:highlight w:val="none"/>
          <w:lang w:val="en-US" w:eastAsia="zh-CN"/>
        </w:rPr>
        <w:t>样机演示部分占20%</w:t>
      </w:r>
      <w:r>
        <w:rPr>
          <w:rFonts w:hint="eastAsia" w:ascii="宋体" w:hAnsi="宋体"/>
          <w:sz w:val="24"/>
          <w:highlight w:val="none"/>
        </w:rPr>
        <w:t>，</w:t>
      </w:r>
      <w:r>
        <w:rPr>
          <w:rFonts w:hint="eastAsia" w:ascii="宋体" w:hAnsi="宋体"/>
          <w:sz w:val="24"/>
          <w:highlight w:val="none"/>
          <w:lang w:val="en-US" w:eastAsia="zh-CN"/>
        </w:rPr>
        <w:t>商务部分占10%，</w:t>
      </w:r>
      <w:r>
        <w:rPr>
          <w:rFonts w:hint="eastAsia" w:ascii="宋体" w:hAnsi="宋体"/>
          <w:sz w:val="24"/>
          <w:highlight w:val="none"/>
        </w:rPr>
        <w:t>投标人评审得分=</w:t>
      </w:r>
      <w:r>
        <w:rPr>
          <w:rFonts w:hint="eastAsia" w:ascii="宋体" w:hAnsi="宋体"/>
          <w:sz w:val="24"/>
          <w:highlight w:val="none"/>
          <w:lang w:val="en-US" w:eastAsia="zh-CN"/>
        </w:rPr>
        <w:t>样机演示得分+商务部分得分+价格得分</w:t>
      </w:r>
      <w:r>
        <w:rPr>
          <w:rFonts w:hint="eastAsia" w:ascii="宋体" w:hAnsi="宋体"/>
          <w:sz w:val="24"/>
          <w:highlight w:val="none"/>
        </w:rPr>
        <w:t>。同时通过</w:t>
      </w:r>
      <w:r>
        <w:rPr>
          <w:rFonts w:hint="eastAsia" w:ascii="宋体" w:hAnsi="宋体"/>
          <w:sz w:val="24"/>
          <w:highlight w:val="none"/>
          <w:lang w:val="en-US" w:eastAsia="zh-CN"/>
        </w:rPr>
        <w:t>供应商资格性和有效性审查表</w:t>
      </w:r>
      <w:r>
        <w:rPr>
          <w:rFonts w:hint="eastAsia" w:ascii="宋体" w:hAnsi="宋体"/>
          <w:sz w:val="24"/>
          <w:highlight w:val="none"/>
        </w:rPr>
        <w:t>（见附件</w:t>
      </w:r>
      <w:r>
        <w:rPr>
          <w:rFonts w:hint="eastAsia" w:ascii="宋体" w:hAnsi="宋体"/>
          <w:sz w:val="24"/>
          <w:highlight w:val="none"/>
          <w:lang w:val="en-US" w:eastAsia="zh-CN"/>
        </w:rPr>
        <w:t>8</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r>
        <w:rPr>
          <w:rFonts w:hint="eastAsia" w:ascii="宋体" w:hAnsi="宋体"/>
          <w:sz w:val="24"/>
        </w:rPr>
        <w:t>。</w:t>
      </w:r>
    </w:p>
    <w:p w14:paraId="2DAB027A">
      <w:pPr>
        <w:pStyle w:val="2"/>
        <w:spacing w:line="360" w:lineRule="auto"/>
        <w:ind w:firstLine="560"/>
        <w:rPr>
          <w:rFonts w:hint="eastAsia" w:ascii="宋体" w:hAnsi="宋体" w:eastAsiaTheme="minorEastAsia"/>
          <w:bCs w:val="0"/>
          <w:spacing w:val="0"/>
          <w:highlight w:val="none"/>
          <w:lang w:val="en-US" w:eastAsia="zh-CN"/>
        </w:rPr>
      </w:pPr>
      <w:r>
        <w:rPr>
          <w:rFonts w:hint="eastAsia" w:ascii="宋体" w:hAnsi="宋体"/>
          <w:b/>
          <w:bCs/>
          <w:spacing w:val="0"/>
          <w:sz w:val="24"/>
          <w:highlight w:val="none"/>
          <w:lang w:val="en-US" w:eastAsia="zh-CN"/>
        </w:rPr>
        <w:t>包组二</w:t>
      </w:r>
      <w:r>
        <w:rPr>
          <w:rFonts w:hint="eastAsia" w:ascii="宋体" w:hAnsi="宋体"/>
          <w:bCs w:val="0"/>
          <w:spacing w:val="0"/>
          <w:sz w:val="24"/>
          <w:highlight w:val="none"/>
        </w:rPr>
        <w:t>采用</w:t>
      </w:r>
      <w:r>
        <w:rPr>
          <w:rFonts w:hint="eastAsia" w:ascii="宋体" w:hAnsi="宋体"/>
          <w:bCs w:val="0"/>
          <w:spacing w:val="0"/>
          <w:sz w:val="24"/>
          <w:highlight w:val="none"/>
          <w:lang w:val="en-US" w:eastAsia="zh-CN"/>
        </w:rPr>
        <w:t>经评审的最低投标</w:t>
      </w:r>
      <w:r>
        <w:rPr>
          <w:rFonts w:hint="eastAsia" w:ascii="宋体" w:hAnsi="宋体"/>
          <w:bCs w:val="0"/>
          <w:spacing w:val="0"/>
          <w:sz w:val="24"/>
          <w:highlight w:val="none"/>
        </w:rPr>
        <w:t>价</w:t>
      </w:r>
      <w:r>
        <w:rPr>
          <w:rFonts w:hint="eastAsia" w:ascii="宋体" w:hAnsi="宋体"/>
          <w:bCs w:val="0"/>
          <w:spacing w:val="0"/>
          <w:sz w:val="24"/>
          <w:highlight w:val="none"/>
          <w:lang w:val="en-US" w:eastAsia="zh-CN"/>
        </w:rPr>
        <w:t>评标</w:t>
      </w:r>
      <w:r>
        <w:rPr>
          <w:rFonts w:hint="eastAsia" w:ascii="宋体" w:hAnsi="宋体"/>
          <w:bCs w:val="0"/>
          <w:spacing w:val="0"/>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bCs w:val="0"/>
          <w:spacing w:val="0"/>
          <w:sz w:val="24"/>
          <w:highlight w:val="none"/>
          <w:lang w:val="en-US" w:eastAsia="zh-CN"/>
        </w:rPr>
        <w:t>供应商资格性和有效性审查表</w:t>
      </w:r>
      <w:r>
        <w:rPr>
          <w:rFonts w:hint="eastAsia" w:ascii="宋体" w:hAnsi="宋体"/>
          <w:bCs w:val="0"/>
          <w:spacing w:val="0"/>
          <w:sz w:val="24"/>
          <w:highlight w:val="none"/>
        </w:rPr>
        <w:t>（见附件</w:t>
      </w:r>
      <w:r>
        <w:rPr>
          <w:rFonts w:hint="eastAsia" w:ascii="宋体" w:hAnsi="宋体"/>
          <w:bCs w:val="0"/>
          <w:spacing w:val="0"/>
          <w:sz w:val="24"/>
          <w:highlight w:val="none"/>
          <w:lang w:val="en-US" w:eastAsia="zh-CN"/>
        </w:rPr>
        <w:t>3</w:t>
      </w:r>
      <w:r>
        <w:rPr>
          <w:rFonts w:hint="eastAsia" w:ascii="宋体" w:hAnsi="宋体"/>
          <w:bCs w:val="0"/>
          <w:spacing w:val="0"/>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14:paraId="659EE119">
      <w:pPr>
        <w:pStyle w:val="2"/>
      </w:pPr>
    </w:p>
    <w:p w14:paraId="5A349CE5">
      <w:pPr>
        <w:spacing w:line="360" w:lineRule="auto"/>
        <w:ind w:firstLine="482" w:firstLineChars="200"/>
        <w:rPr>
          <w:rFonts w:ascii="宋体" w:hAnsi="宋体"/>
          <w:b/>
          <w:sz w:val="24"/>
        </w:rPr>
      </w:pPr>
      <w:r>
        <w:rPr>
          <w:rFonts w:hint="eastAsia" w:ascii="宋体" w:hAnsi="宋体"/>
          <w:b/>
          <w:sz w:val="24"/>
        </w:rPr>
        <w:t>七、递交投标文件</w:t>
      </w:r>
    </w:p>
    <w:p w14:paraId="747260D2">
      <w:pPr>
        <w:spacing w:line="360" w:lineRule="auto"/>
        <w:ind w:firstLine="480" w:firstLineChars="200"/>
        <w:rPr>
          <w:rFonts w:ascii="宋体" w:hAnsi="宋体"/>
          <w:sz w:val="24"/>
        </w:rPr>
      </w:pPr>
      <w:r>
        <w:rPr>
          <w:rFonts w:hint="eastAsia" w:ascii="宋体" w:hAnsi="宋体"/>
          <w:sz w:val="24"/>
        </w:rPr>
        <w:t>（一）投标文件递交截止时间：202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29</w:t>
      </w:r>
      <w:r>
        <w:rPr>
          <w:rFonts w:hint="eastAsia" w:ascii="宋体" w:hAnsi="宋体"/>
          <w:sz w:val="24"/>
        </w:rPr>
        <w:t>日北京时间</w:t>
      </w:r>
      <w:r>
        <w:rPr>
          <w:rFonts w:hint="eastAsia" w:ascii="宋体" w:hAnsi="宋体"/>
          <w:sz w:val="24"/>
          <w:lang w:val="en-US" w:eastAsia="zh-CN"/>
        </w:rPr>
        <w:t>15</w:t>
      </w:r>
      <w:r>
        <w:rPr>
          <w:rFonts w:hint="eastAsia" w:ascii="宋体" w:hAnsi="宋体"/>
          <w:sz w:val="24"/>
        </w:rPr>
        <w:t>时</w:t>
      </w:r>
      <w:r>
        <w:rPr>
          <w:rFonts w:hint="eastAsia" w:ascii="宋体" w:hAnsi="宋体"/>
          <w:sz w:val="24"/>
          <w:lang w:val="en-US" w:eastAsia="zh-CN"/>
        </w:rPr>
        <w:t>0</w:t>
      </w:r>
      <w:r>
        <w:rPr>
          <w:rFonts w:hint="eastAsia" w:ascii="宋体" w:hAnsi="宋体"/>
          <w:sz w:val="24"/>
        </w:rPr>
        <w:t>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b/>
          <w:bCs/>
          <w:sz w:val="24"/>
          <w:lang w:eastAsia="zh-CN"/>
        </w:rPr>
        <w:t>星海音乐学院学生宿舍中央空调计时计费系统项目</w:t>
      </w:r>
      <w:r>
        <w:rPr>
          <w:rFonts w:hint="eastAsia" w:ascii="宋体" w:hAnsi="宋体"/>
          <w:b/>
          <w:bCs/>
          <w:sz w:val="24"/>
        </w:rPr>
        <w:t>材料采购</w:t>
      </w:r>
      <w:r>
        <w:rPr>
          <w:rFonts w:hint="eastAsia" w:ascii="宋体" w:hAnsi="宋体"/>
          <w:b/>
          <w:bCs/>
          <w:sz w:val="24"/>
          <w:lang w:val="en-US" w:eastAsia="zh-CN"/>
        </w:rPr>
        <w:t>竞选文件（备注包组一、包组二或包组一、二）</w:t>
      </w:r>
      <w:r>
        <w:rPr>
          <w:rFonts w:hint="eastAsia" w:ascii="宋体" w:hAnsi="宋体" w:eastAsia="宋体" w:cs="宋体"/>
          <w:sz w:val="24"/>
        </w:rPr>
        <w:t>”字样。投标供应商递交投标文件后，请联系采购人确认。</w:t>
      </w:r>
    </w:p>
    <w:p w14:paraId="72CA66F2">
      <w:pPr>
        <w:spacing w:line="360" w:lineRule="auto"/>
        <w:ind w:firstLine="480" w:firstLineChars="200"/>
        <w:rPr>
          <w:rFonts w:hint="eastAsia" w:ascii="宋体" w:hAnsi="宋体"/>
          <w:b/>
          <w:sz w:val="24"/>
        </w:rPr>
      </w:pPr>
      <w:r>
        <w:rPr>
          <w:rFonts w:hint="eastAsia" w:ascii="宋体" w:hAnsi="宋体"/>
          <w:sz w:val="24"/>
        </w:rPr>
        <w:t>（二）投标文件逾期递交、未送达指定地点的、或未按要求密封的，采购人有权不予受理。</w:t>
      </w:r>
    </w:p>
    <w:p w14:paraId="37C13029">
      <w:pPr>
        <w:spacing w:line="360" w:lineRule="auto"/>
        <w:ind w:firstLine="482" w:firstLineChars="200"/>
        <w:rPr>
          <w:rFonts w:hint="eastAsia" w:ascii="宋体" w:hAnsi="宋体"/>
          <w:b/>
          <w:sz w:val="24"/>
          <w:lang w:val="en-US" w:eastAsia="zh-CN"/>
        </w:rPr>
      </w:pPr>
      <w:r>
        <w:rPr>
          <w:rFonts w:hint="eastAsia" w:ascii="宋体" w:hAnsi="宋体"/>
          <w:b/>
          <w:sz w:val="24"/>
          <w:lang w:val="en-US" w:eastAsia="zh-CN"/>
        </w:rPr>
        <w:t>八、包组一样机演示时间</w:t>
      </w:r>
    </w:p>
    <w:p w14:paraId="3EF3BEDF">
      <w:pPr>
        <w:pStyle w:val="7"/>
        <w:spacing w:line="360" w:lineRule="auto"/>
        <w:ind w:firstLine="482"/>
        <w:rPr>
          <w:rFonts w:hint="default" w:ascii="宋体" w:hAnsi="宋体" w:eastAsiaTheme="minorEastAsia"/>
          <w:b w:val="0"/>
          <w:bCs w:val="0"/>
          <w:sz w:val="24"/>
          <w:lang w:val="en-US" w:eastAsia="zh-CN"/>
        </w:rPr>
      </w:pPr>
      <w:r>
        <w:rPr>
          <w:rFonts w:hint="eastAsia" w:ascii="宋体" w:hAnsi="宋体"/>
          <w:b/>
          <w:bCs/>
          <w:sz w:val="24"/>
          <w:lang w:val="en-US" w:eastAsia="zh-CN"/>
        </w:rPr>
        <w:t>由投标人负责演示，截标后，以采购人通知时间为准</w:t>
      </w:r>
      <w:r>
        <w:rPr>
          <w:rFonts w:hint="eastAsia" w:ascii="宋体" w:hAnsi="宋体"/>
          <w:sz w:val="24"/>
          <w:lang w:val="en-US" w:eastAsia="zh-CN"/>
        </w:rPr>
        <w:t>。演示地点:</w:t>
      </w:r>
      <w:r>
        <w:rPr>
          <w:rFonts w:hint="eastAsia" w:ascii="宋体" w:hAnsi="宋体"/>
          <w:sz w:val="24"/>
        </w:rPr>
        <w:t>广州市番禺区大学城明志街1号信息枢纽楼9楼</w:t>
      </w:r>
      <w:r>
        <w:rPr>
          <w:rFonts w:hint="eastAsia" w:ascii="宋体" w:hAnsi="宋体"/>
          <w:sz w:val="24"/>
          <w:lang w:eastAsia="zh-CN"/>
        </w:rPr>
        <w:t>。</w:t>
      </w:r>
      <w:r>
        <w:rPr>
          <w:rFonts w:hint="eastAsia" w:ascii="宋体" w:hAnsi="宋体"/>
          <w:b w:val="0"/>
          <w:bCs w:val="0"/>
          <w:sz w:val="24"/>
          <w:lang w:val="en-US" w:eastAsia="zh-CN"/>
        </w:rPr>
        <w:t>投标人未按通知时间进行演示的，综合评分投标样机演示得分为O分。</w:t>
      </w:r>
    </w:p>
    <w:p w14:paraId="3E69BCE5">
      <w:pPr>
        <w:spacing w:line="360" w:lineRule="auto"/>
        <w:ind w:firstLine="480" w:firstLineChars="200"/>
        <w:rPr>
          <w:rFonts w:ascii="宋体" w:hAnsi="宋体"/>
          <w:sz w:val="24"/>
        </w:rPr>
      </w:pPr>
      <w:r>
        <w:rPr>
          <w:rFonts w:hint="eastAsia" w:ascii="宋体" w:hAnsi="宋体"/>
          <w:sz w:val="24"/>
          <w:lang w:val="en-US" w:eastAsia="zh-CN"/>
        </w:rPr>
        <w:t>九</w:t>
      </w:r>
      <w:r>
        <w:rPr>
          <w:rFonts w:hint="eastAsia" w:ascii="宋体" w:hAnsi="宋体"/>
          <w:sz w:val="24"/>
        </w:rPr>
        <w:t>、采购人地址和联系方式</w:t>
      </w:r>
    </w:p>
    <w:p w14:paraId="6737488E">
      <w:pPr>
        <w:pStyle w:val="23"/>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00E2531C">
      <w:pPr>
        <w:pStyle w:val="23"/>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410D1958">
      <w:pPr>
        <w:pStyle w:val="20"/>
        <w:numPr>
          <w:ilvl w:val="0"/>
          <w:numId w:val="9"/>
        </w:numPr>
        <w:spacing w:line="360" w:lineRule="auto"/>
        <w:ind w:firstLineChars="0"/>
        <w:rPr>
          <w:rFonts w:ascii="宋体" w:hAnsi="宋体"/>
          <w:sz w:val="24"/>
        </w:rPr>
      </w:pPr>
      <w:r>
        <w:rPr>
          <w:rFonts w:hint="eastAsia" w:ascii="宋体" w:hAnsi="宋体"/>
          <w:sz w:val="24"/>
        </w:rPr>
        <w:t>联系人：</w:t>
      </w:r>
      <w:r>
        <w:rPr>
          <w:rFonts w:hint="eastAsia" w:ascii="宋体" w:hAnsi="宋体"/>
          <w:sz w:val="24"/>
          <w:lang w:val="en-US" w:eastAsia="zh-CN"/>
        </w:rPr>
        <w:t>王小姐</w:t>
      </w:r>
      <w:r>
        <w:rPr>
          <w:rFonts w:hint="eastAsia" w:ascii="宋体" w:hAnsi="宋体"/>
          <w:sz w:val="24"/>
        </w:rPr>
        <w:t>，联系电话：020-393020</w:t>
      </w:r>
      <w:r>
        <w:rPr>
          <w:rFonts w:hint="eastAsia" w:ascii="宋体" w:hAnsi="宋体"/>
          <w:sz w:val="24"/>
          <w:lang w:val="en-US" w:eastAsia="zh-CN"/>
        </w:rPr>
        <w:t>78</w:t>
      </w:r>
      <w:r>
        <w:rPr>
          <w:rFonts w:hint="eastAsia" w:ascii="宋体" w:hAnsi="宋体"/>
          <w:sz w:val="24"/>
        </w:rPr>
        <w:t>，电子邮件：</w:t>
      </w:r>
      <w:r>
        <w:rPr>
          <w:rFonts w:hint="eastAsia" w:ascii="宋体" w:hAnsi="宋体"/>
          <w:sz w:val="24"/>
          <w:lang w:val="en-US" w:eastAsia="zh-CN"/>
        </w:rPr>
        <w:t>87594595</w:t>
      </w:r>
      <w:r>
        <w:rPr>
          <w:rFonts w:hint="eastAsia" w:ascii="宋体" w:hAnsi="宋体"/>
          <w:sz w:val="24"/>
        </w:rPr>
        <w:t>@qq.com</w:t>
      </w:r>
    </w:p>
    <w:p w14:paraId="66B89CBB">
      <w:pPr>
        <w:pStyle w:val="20"/>
        <w:spacing w:line="360" w:lineRule="auto"/>
        <w:ind w:firstLine="480"/>
        <w:rPr>
          <w:rFonts w:hint="eastAsia" w:ascii="宋体" w:hAnsi="宋体"/>
          <w:sz w:val="24"/>
        </w:rPr>
      </w:pPr>
      <w:r>
        <w:rPr>
          <w:rFonts w:hint="eastAsia" w:ascii="宋体" w:hAnsi="宋体"/>
          <w:sz w:val="24"/>
        </w:rPr>
        <w:t>附件1、</w:t>
      </w:r>
      <w:r>
        <w:rPr>
          <w:rFonts w:hint="eastAsia" w:ascii="宋体" w:hAnsi="宋体"/>
          <w:sz w:val="24"/>
          <w:lang w:val="en-US" w:eastAsia="zh-CN"/>
        </w:rPr>
        <w:t>包组一</w:t>
      </w:r>
      <w:r>
        <w:rPr>
          <w:rFonts w:hint="eastAsia" w:ascii="宋体" w:hAnsi="宋体"/>
          <w:sz w:val="24"/>
        </w:rPr>
        <w:t>采购需求</w:t>
      </w:r>
    </w:p>
    <w:p w14:paraId="7428369E">
      <w:pPr>
        <w:pStyle w:val="20"/>
        <w:spacing w:line="360" w:lineRule="auto"/>
        <w:ind w:firstLine="480"/>
        <w:rPr>
          <w:rFonts w:hint="default" w:ascii="宋体" w:hAnsi="宋体"/>
          <w:sz w:val="24"/>
          <w:lang w:val="en-US" w:eastAsia="zh-CN"/>
        </w:rPr>
      </w:pPr>
      <w:r>
        <w:rPr>
          <w:rFonts w:hint="eastAsia" w:ascii="宋体" w:hAnsi="宋体"/>
          <w:sz w:val="24"/>
          <w:lang w:val="en-US" w:eastAsia="zh-CN"/>
        </w:rPr>
        <w:t>附件1.1 用户需求书</w:t>
      </w:r>
    </w:p>
    <w:p w14:paraId="0AB0DBAB">
      <w:pPr>
        <w:pStyle w:val="20"/>
        <w:spacing w:line="360" w:lineRule="auto"/>
        <w:ind w:firstLine="480"/>
        <w:rPr>
          <w:rFonts w:hint="eastAsia" w:ascii="宋体" w:hAnsi="宋体"/>
          <w:sz w:val="24"/>
          <w:lang w:val="en-US" w:eastAsia="zh-CN"/>
        </w:rPr>
      </w:pPr>
      <w:r>
        <w:rPr>
          <w:rFonts w:hint="eastAsia" w:ascii="宋体" w:hAnsi="宋体"/>
          <w:sz w:val="24"/>
          <w:lang w:val="en-US" w:eastAsia="zh-CN"/>
        </w:rPr>
        <w:t>附件1.2 物联网温控器管理平台软件功能介绍</w:t>
      </w:r>
    </w:p>
    <w:p w14:paraId="3B7739C5">
      <w:pPr>
        <w:pStyle w:val="20"/>
        <w:spacing w:line="360" w:lineRule="auto"/>
        <w:ind w:firstLine="480"/>
        <w:rPr>
          <w:rFonts w:hint="default" w:ascii="宋体" w:hAnsi="宋体"/>
          <w:sz w:val="24"/>
          <w:lang w:val="en-US" w:eastAsia="zh-CN"/>
        </w:rPr>
      </w:pPr>
      <w:r>
        <w:rPr>
          <w:rFonts w:hint="eastAsia" w:ascii="宋体" w:hAnsi="宋体"/>
          <w:sz w:val="24"/>
          <w:lang w:val="en-US" w:eastAsia="zh-CN"/>
        </w:rPr>
        <w:t>附件2、包组二采购需求</w:t>
      </w:r>
    </w:p>
    <w:p w14:paraId="08B708F9">
      <w:pPr>
        <w:pStyle w:val="20"/>
        <w:spacing w:line="360" w:lineRule="auto"/>
        <w:ind w:firstLine="480"/>
        <w:rPr>
          <w:rFonts w:hint="eastAsia"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、报价明细表</w:t>
      </w:r>
    </w:p>
    <w:p w14:paraId="372D3571">
      <w:pPr>
        <w:pStyle w:val="20"/>
        <w:spacing w:line="360" w:lineRule="auto"/>
        <w:ind w:firstLine="480"/>
        <w:rPr>
          <w:rFonts w:hint="eastAsia" w:ascii="宋体" w:hAnsi="宋体"/>
          <w:sz w:val="24"/>
        </w:rPr>
      </w:pPr>
      <w:r>
        <w:rPr>
          <w:rFonts w:hint="eastAsia" w:ascii="宋体" w:hAnsi="宋体"/>
          <w:sz w:val="24"/>
        </w:rPr>
        <w:t>附件</w:t>
      </w:r>
      <w:r>
        <w:rPr>
          <w:rFonts w:hint="eastAsia" w:ascii="宋体" w:hAnsi="宋体"/>
          <w:sz w:val="24"/>
          <w:lang w:val="en-US" w:eastAsia="zh-CN"/>
        </w:rPr>
        <w:t>4</w:t>
      </w:r>
      <w:r>
        <w:rPr>
          <w:rFonts w:hint="eastAsia" w:ascii="宋体" w:hAnsi="宋体"/>
          <w:sz w:val="24"/>
        </w:rPr>
        <w:t>、供应商调查表</w:t>
      </w:r>
    </w:p>
    <w:p w14:paraId="4BD25AED">
      <w:pPr>
        <w:pStyle w:val="20"/>
        <w:spacing w:line="360" w:lineRule="auto"/>
        <w:ind w:firstLine="480"/>
        <w:rPr>
          <w:rFonts w:hint="eastAsia" w:ascii="宋体" w:hAnsi="宋体"/>
          <w:sz w:val="24"/>
        </w:rPr>
      </w:pPr>
      <w:r>
        <w:rPr>
          <w:rFonts w:hint="eastAsia" w:ascii="宋体" w:hAnsi="宋体"/>
          <w:sz w:val="24"/>
        </w:rPr>
        <w:t>附件</w:t>
      </w:r>
      <w:r>
        <w:rPr>
          <w:rFonts w:hint="eastAsia" w:ascii="宋体" w:hAnsi="宋体"/>
          <w:sz w:val="24"/>
          <w:lang w:val="en-US" w:eastAsia="zh-CN"/>
        </w:rPr>
        <w:t>5</w:t>
      </w:r>
      <w:r>
        <w:rPr>
          <w:rFonts w:hint="eastAsia" w:ascii="宋体" w:hAnsi="宋体"/>
          <w:sz w:val="24"/>
        </w:rPr>
        <w:t>、实质性要求响应表</w:t>
      </w:r>
    </w:p>
    <w:p w14:paraId="26482CF8">
      <w:pPr>
        <w:pStyle w:val="20"/>
        <w:spacing w:line="360" w:lineRule="auto"/>
        <w:ind w:firstLine="480"/>
        <w:rPr>
          <w:rFonts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lang w:val="en-US" w:eastAsia="zh-CN"/>
        </w:rPr>
        <w:t>6</w:t>
      </w:r>
      <w:r>
        <w:rPr>
          <w:rFonts w:hint="eastAsia" w:ascii="宋体" w:hAnsi="宋体"/>
          <w:color w:val="auto"/>
          <w:sz w:val="24"/>
          <w:highlight w:val="none"/>
        </w:rPr>
        <w:t>、法定代表人身份证明书</w:t>
      </w:r>
    </w:p>
    <w:p w14:paraId="33E944FA">
      <w:pPr>
        <w:pStyle w:val="20"/>
        <w:spacing w:line="360" w:lineRule="auto"/>
        <w:ind w:firstLine="480"/>
        <w:rPr>
          <w:rFonts w:hint="eastAsia"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lang w:val="en-US" w:eastAsia="zh-CN"/>
        </w:rPr>
        <w:t>7</w:t>
      </w:r>
      <w:r>
        <w:rPr>
          <w:rFonts w:hint="eastAsia" w:ascii="宋体" w:hAnsi="宋体"/>
          <w:color w:val="auto"/>
          <w:sz w:val="24"/>
          <w:highlight w:val="none"/>
        </w:rPr>
        <w:t>、法定代表人授权委托证明书</w:t>
      </w:r>
    </w:p>
    <w:p w14:paraId="49C98421">
      <w:pPr>
        <w:pStyle w:val="20"/>
        <w:spacing w:line="360" w:lineRule="auto"/>
        <w:ind w:firstLine="48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附件8、投标声明函</w:t>
      </w:r>
    </w:p>
    <w:p w14:paraId="2EF7102E">
      <w:pPr>
        <w:widowControl/>
        <w:ind w:firstLine="480" w:firstLineChars="200"/>
        <w:jc w:val="left"/>
        <w:rPr>
          <w:rFonts w:hint="eastAsia" w:ascii="宋体" w:hAnsi="宋体"/>
          <w:b w:val="0"/>
          <w:color w:val="auto"/>
          <w:kern w:val="2"/>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b w:val="0"/>
          <w:color w:val="auto"/>
          <w:kern w:val="2"/>
          <w:sz w:val="24"/>
          <w:highlight w:val="none"/>
        </w:rPr>
        <w:t>资格性和有效性审查表</w:t>
      </w:r>
    </w:p>
    <w:p w14:paraId="3D0F07AD">
      <w:pPr>
        <w:pStyle w:val="20"/>
        <w:spacing w:line="360" w:lineRule="auto"/>
        <w:ind w:firstLine="48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附件10、包组一综合评分细则</w:t>
      </w:r>
    </w:p>
    <w:p w14:paraId="4BFDFFAC">
      <w:pPr>
        <w:pStyle w:val="20"/>
        <w:spacing w:line="360" w:lineRule="auto"/>
        <w:ind w:firstLine="480"/>
        <w:jc w:val="center"/>
        <w:rPr>
          <w:rFonts w:hint="eastAsia" w:ascii="宋体" w:hAnsi="宋体"/>
          <w:sz w:val="24"/>
        </w:rPr>
      </w:pPr>
      <w:r>
        <w:rPr>
          <w:rFonts w:hint="eastAsia" w:ascii="宋体" w:hAnsi="宋体"/>
          <w:sz w:val="24"/>
        </w:rPr>
        <w:t xml:space="preserve">             采购人：广州城投综合能源投资经营管理有限公司</w:t>
      </w:r>
    </w:p>
    <w:p w14:paraId="542E03FA">
      <w:pPr>
        <w:pStyle w:val="20"/>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p>
    <w:p w14:paraId="4173F5E6">
      <w:pPr>
        <w:widowControl/>
        <w:spacing w:line="240" w:lineRule="auto"/>
        <w:jc w:val="left"/>
        <w:rPr>
          <w:rFonts w:ascii="宋体" w:hAnsi="宋体"/>
          <w:sz w:val="32"/>
        </w:rPr>
      </w:pPr>
      <w:r>
        <w:rPr>
          <w:rFonts w:ascii="宋体" w:hAnsi="宋体"/>
          <w:sz w:val="32"/>
        </w:rPr>
        <w:br w:type="page"/>
      </w:r>
      <w:r>
        <w:rPr>
          <w:rFonts w:hint="eastAsia" w:ascii="宋体" w:hAnsi="宋体"/>
          <w:sz w:val="32"/>
        </w:rPr>
        <w:t>附件1：</w:t>
      </w:r>
    </w:p>
    <w:p w14:paraId="26A4D1A7">
      <w:pPr>
        <w:widowControl/>
        <w:jc w:val="center"/>
        <w:rPr>
          <w:rFonts w:ascii="宋体" w:hAnsi="宋体"/>
          <w:sz w:val="32"/>
        </w:rPr>
      </w:pPr>
      <w:r>
        <w:rPr>
          <w:rFonts w:hint="eastAsia" w:ascii="宋体" w:hAnsi="宋体"/>
          <w:sz w:val="32"/>
          <w:lang w:val="en-US" w:eastAsia="zh-CN"/>
        </w:rPr>
        <w:t>包组一</w:t>
      </w:r>
      <w:r>
        <w:rPr>
          <w:rFonts w:hint="eastAsia" w:ascii="宋体" w:hAnsi="宋体"/>
          <w:sz w:val="32"/>
        </w:rPr>
        <w:t>采购需求</w:t>
      </w:r>
    </w:p>
    <w:p w14:paraId="639178F2">
      <w:pPr>
        <w:numPr>
          <w:ilvl w:val="0"/>
          <w:numId w:val="10"/>
        </w:numPr>
        <w:tabs>
          <w:tab w:val="left" w:pos="420"/>
        </w:tabs>
        <w:spacing w:line="360" w:lineRule="auto"/>
        <w:rPr>
          <w:rFonts w:ascii="宋体" w:hAnsi="宋体"/>
          <w:sz w:val="24"/>
        </w:rPr>
      </w:pPr>
      <w:r>
        <w:rPr>
          <w:rFonts w:hint="eastAsia" w:ascii="宋体" w:hAnsi="宋体"/>
          <w:sz w:val="24"/>
        </w:rPr>
        <w:t>总体说明</w:t>
      </w:r>
    </w:p>
    <w:p w14:paraId="061F0489">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7B8965E3">
      <w:pPr>
        <w:numPr>
          <w:ilvl w:val="0"/>
          <w:numId w:val="10"/>
        </w:numPr>
        <w:tabs>
          <w:tab w:val="left" w:pos="420"/>
        </w:tabs>
        <w:spacing w:line="360" w:lineRule="auto"/>
        <w:ind w:left="420" w:leftChars="200" w:firstLine="0"/>
        <w:rPr>
          <w:sz w:val="24"/>
        </w:rPr>
      </w:pPr>
      <w:r>
        <w:rPr>
          <w:rFonts w:hint="eastAsia" w:ascii="宋体" w:hAnsi="宋体"/>
          <w:sz w:val="24"/>
        </w:rPr>
        <w:t>资质要求</w:t>
      </w:r>
    </w:p>
    <w:p w14:paraId="60A8A858">
      <w:pPr>
        <w:numPr>
          <w:ilvl w:val="255"/>
          <w:numId w:val="0"/>
        </w:numPr>
        <w:tabs>
          <w:tab w:val="left" w:pos="420"/>
        </w:tabs>
        <w:spacing w:line="360" w:lineRule="auto"/>
        <w:ind w:left="420" w:leftChars="200"/>
        <w:rPr>
          <w:sz w:val="24"/>
        </w:rPr>
      </w:pPr>
      <w:r>
        <w:rPr>
          <w:rFonts w:hint="eastAsia" w:ascii="宋体" w:hAnsi="宋体"/>
          <w:sz w:val="24"/>
        </w:rPr>
        <w:t>（无）</w:t>
      </w:r>
    </w:p>
    <w:p w14:paraId="203079DF">
      <w:pPr>
        <w:numPr>
          <w:ilvl w:val="0"/>
          <w:numId w:val="10"/>
        </w:numPr>
        <w:tabs>
          <w:tab w:val="left" w:pos="420"/>
        </w:tabs>
        <w:spacing w:line="360" w:lineRule="auto"/>
        <w:ind w:left="420" w:leftChars="200" w:firstLine="0"/>
        <w:rPr>
          <w:sz w:val="24"/>
        </w:rPr>
      </w:pPr>
      <w:r>
        <w:rPr>
          <w:rFonts w:hint="eastAsia" w:ascii="宋体" w:hAnsi="宋体"/>
          <w:sz w:val="24"/>
        </w:rPr>
        <w:t>业绩要求</w:t>
      </w:r>
    </w:p>
    <w:p w14:paraId="5070346E">
      <w:pPr>
        <w:spacing w:line="360" w:lineRule="auto"/>
        <w:ind w:firstLine="480" w:firstLineChars="200"/>
        <w:rPr>
          <w:rFonts w:ascii="宋体" w:hAnsi="宋体"/>
          <w:sz w:val="24"/>
        </w:rPr>
      </w:pPr>
      <w:r>
        <w:rPr>
          <w:rFonts w:hint="eastAsia" w:ascii="宋体" w:hAnsi="宋体"/>
          <w:sz w:val="24"/>
        </w:rPr>
        <w:t>（无）</w:t>
      </w:r>
    </w:p>
    <w:p w14:paraId="747E59EA">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583D11C8">
      <w:pPr>
        <w:numPr>
          <w:ilvl w:val="0"/>
          <w:numId w:val="11"/>
        </w:numPr>
        <w:tabs>
          <w:tab w:val="left" w:pos="420"/>
        </w:tabs>
        <w:spacing w:line="360" w:lineRule="auto"/>
        <w:rPr>
          <w:sz w:val="24"/>
        </w:rPr>
      </w:pPr>
      <w:r>
        <w:rPr>
          <w:rFonts w:hint="eastAsia" w:ascii="宋体" w:hAnsi="宋体" w:eastAsia="宋体"/>
          <w:sz w:val="24"/>
          <w:lang w:eastAsia="zh-CN"/>
        </w:rPr>
        <w:t>星海音乐学院学生宿舍中央空调计时计费系统项目</w:t>
      </w:r>
      <w:r>
        <w:rPr>
          <w:rFonts w:hint="eastAsia" w:ascii="宋体" w:hAnsi="宋体"/>
          <w:sz w:val="24"/>
        </w:rPr>
        <w:t>材料采购清单</w:t>
      </w:r>
    </w:p>
    <w:tbl>
      <w:tblPr>
        <w:tblStyle w:val="13"/>
        <w:tblW w:w="9372" w:type="dxa"/>
        <w:tblInd w:w="-850" w:type="dxa"/>
        <w:tblLayout w:type="fixed"/>
        <w:tblCellMar>
          <w:top w:w="0" w:type="dxa"/>
          <w:left w:w="108" w:type="dxa"/>
          <w:bottom w:w="0" w:type="dxa"/>
          <w:right w:w="108" w:type="dxa"/>
        </w:tblCellMar>
      </w:tblPr>
      <w:tblGrid>
        <w:gridCol w:w="696"/>
        <w:gridCol w:w="1411"/>
        <w:gridCol w:w="3660"/>
        <w:gridCol w:w="750"/>
        <w:gridCol w:w="911"/>
        <w:gridCol w:w="1944"/>
      </w:tblGrid>
      <w:tr w14:paraId="49D6EE43">
        <w:tblPrEx>
          <w:tblCellMar>
            <w:top w:w="0" w:type="dxa"/>
            <w:left w:w="108" w:type="dxa"/>
            <w:bottom w:w="0" w:type="dxa"/>
            <w:right w:w="108" w:type="dxa"/>
          </w:tblCellMar>
        </w:tblPrEx>
        <w:trPr>
          <w:trHeight w:val="675"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1215B8C4">
            <w:pPr>
              <w:widowControl/>
              <w:jc w:val="center"/>
              <w:rPr>
                <w:rFonts w:ascii="宋体" w:hAnsi="宋体"/>
                <w:b/>
                <w:kern w:val="0"/>
              </w:rPr>
            </w:pPr>
            <w:r>
              <w:rPr>
                <w:rFonts w:hint="eastAsia" w:ascii="宋体" w:hAnsi="宋体"/>
                <w:b/>
                <w:kern w:val="0"/>
              </w:rPr>
              <w:t>序号</w:t>
            </w:r>
          </w:p>
        </w:tc>
        <w:tc>
          <w:tcPr>
            <w:tcW w:w="1411" w:type="dxa"/>
            <w:tcBorders>
              <w:top w:val="single" w:color="auto" w:sz="4" w:space="0"/>
              <w:left w:val="nil"/>
              <w:bottom w:val="single" w:color="auto" w:sz="4" w:space="0"/>
              <w:right w:val="single" w:color="auto" w:sz="4" w:space="0"/>
              <w:tl2br w:val="nil"/>
              <w:tr2bl w:val="nil"/>
            </w:tcBorders>
            <w:vAlign w:val="center"/>
          </w:tcPr>
          <w:p w14:paraId="24B12534">
            <w:pPr>
              <w:widowControl/>
              <w:jc w:val="center"/>
              <w:rPr>
                <w:rFonts w:ascii="宋体" w:hAnsi="宋体"/>
                <w:b/>
                <w:kern w:val="0"/>
              </w:rPr>
            </w:pPr>
            <w:r>
              <w:rPr>
                <w:rFonts w:hint="eastAsia" w:ascii="宋体" w:hAnsi="宋体"/>
                <w:b/>
                <w:kern w:val="0"/>
              </w:rPr>
              <w:t>产品名称</w:t>
            </w:r>
          </w:p>
        </w:tc>
        <w:tc>
          <w:tcPr>
            <w:tcW w:w="3660" w:type="dxa"/>
            <w:tcBorders>
              <w:top w:val="single" w:color="auto" w:sz="4" w:space="0"/>
              <w:left w:val="nil"/>
              <w:bottom w:val="single" w:color="auto" w:sz="4" w:space="0"/>
              <w:right w:val="single" w:color="auto" w:sz="4" w:space="0"/>
              <w:tl2br w:val="nil"/>
              <w:tr2bl w:val="nil"/>
            </w:tcBorders>
            <w:vAlign w:val="center"/>
          </w:tcPr>
          <w:p w14:paraId="1981CB99">
            <w:pPr>
              <w:widowControl/>
              <w:jc w:val="center"/>
              <w:rPr>
                <w:rFonts w:ascii="宋体" w:hAnsi="宋体"/>
                <w:b/>
                <w:kern w:val="0"/>
              </w:rPr>
            </w:pPr>
            <w:r>
              <w:rPr>
                <w:rFonts w:hint="eastAsia" w:ascii="宋体" w:hAnsi="宋体"/>
                <w:b/>
                <w:kern w:val="0"/>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14:paraId="2B82D193">
            <w:pPr>
              <w:widowControl/>
              <w:jc w:val="center"/>
              <w:rPr>
                <w:rFonts w:ascii="宋体" w:hAnsi="宋体"/>
                <w:b/>
                <w:kern w:val="0"/>
              </w:rPr>
            </w:pPr>
            <w:r>
              <w:rPr>
                <w:rFonts w:hint="eastAsia" w:ascii="宋体" w:hAnsi="宋体"/>
                <w:b/>
                <w:kern w:val="0"/>
              </w:rPr>
              <w:t>单位</w:t>
            </w:r>
          </w:p>
        </w:tc>
        <w:tc>
          <w:tcPr>
            <w:tcW w:w="911" w:type="dxa"/>
            <w:tcBorders>
              <w:top w:val="single" w:color="auto" w:sz="4" w:space="0"/>
              <w:left w:val="nil"/>
              <w:bottom w:val="single" w:color="auto" w:sz="4" w:space="0"/>
              <w:right w:val="single" w:color="auto" w:sz="4" w:space="0"/>
              <w:tl2br w:val="nil"/>
              <w:tr2bl w:val="nil"/>
            </w:tcBorders>
            <w:vAlign w:val="center"/>
          </w:tcPr>
          <w:p w14:paraId="61B7AF9F">
            <w:pPr>
              <w:widowControl/>
              <w:jc w:val="center"/>
              <w:rPr>
                <w:rFonts w:ascii="宋体" w:hAnsi="宋体"/>
                <w:b/>
                <w:kern w:val="0"/>
              </w:rPr>
            </w:pPr>
            <w:r>
              <w:rPr>
                <w:rFonts w:hint="eastAsia" w:ascii="宋体" w:hAnsi="宋体"/>
                <w:b/>
                <w:kern w:val="0"/>
              </w:rPr>
              <w:t>数量</w:t>
            </w:r>
          </w:p>
        </w:tc>
        <w:tc>
          <w:tcPr>
            <w:tcW w:w="1944" w:type="dxa"/>
            <w:tcBorders>
              <w:top w:val="single" w:color="auto" w:sz="4" w:space="0"/>
              <w:left w:val="nil"/>
              <w:bottom w:val="single" w:color="auto" w:sz="4" w:space="0"/>
              <w:right w:val="single" w:color="auto" w:sz="4" w:space="0"/>
              <w:tl2br w:val="nil"/>
              <w:tr2bl w:val="nil"/>
            </w:tcBorders>
            <w:vAlign w:val="center"/>
          </w:tcPr>
          <w:p w14:paraId="2AA9A9B1">
            <w:pPr>
              <w:widowControl/>
              <w:jc w:val="center"/>
              <w:rPr>
                <w:rFonts w:ascii="宋体" w:hAnsi="宋体"/>
                <w:b/>
                <w:kern w:val="0"/>
              </w:rPr>
            </w:pPr>
            <w:r>
              <w:rPr>
                <w:rFonts w:hint="eastAsia" w:ascii="宋体" w:hAnsi="宋体"/>
                <w:b/>
                <w:kern w:val="0"/>
              </w:rPr>
              <w:t>备注</w:t>
            </w:r>
          </w:p>
        </w:tc>
      </w:tr>
      <w:tr w14:paraId="07F00D4E">
        <w:tblPrEx>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682E25C4">
            <w:pPr>
              <w:widowControl/>
              <w:jc w:val="center"/>
              <w:rPr>
                <w:sz w:val="22"/>
                <w:szCs w:val="22"/>
              </w:rPr>
            </w:pPr>
            <w:r>
              <w:rPr>
                <w:rFonts w:hint="eastAsia"/>
                <w:sz w:val="22"/>
                <w:szCs w:val="22"/>
              </w:rPr>
              <w:t>1</w:t>
            </w: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14:paraId="1761C630">
            <w:pPr>
              <w:keepNext w:val="0"/>
              <w:keepLines w:val="0"/>
              <w:widowControl/>
              <w:suppressLineNumbers w:val="0"/>
              <w:jc w:val="left"/>
              <w:textAlignment w:val="center"/>
              <w:rPr>
                <w:sz w:val="22"/>
                <w:szCs w:val="22"/>
                <w:highlight w:val="yellow"/>
              </w:rPr>
            </w:pPr>
            <w:r>
              <w:rPr>
                <w:rFonts w:hint="eastAsia" w:ascii="宋体" w:hAnsi="宋体" w:eastAsia="宋体" w:cs="宋体"/>
                <w:i w:val="0"/>
                <w:iCs w:val="0"/>
                <w:color w:val="000000"/>
                <w:kern w:val="0"/>
                <w:sz w:val="22"/>
                <w:szCs w:val="22"/>
                <w:u w:val="none"/>
                <w:lang w:val="en-US" w:eastAsia="zh-CN" w:bidi="ar"/>
              </w:rPr>
              <w:t>4G物联网计时温控器</w:t>
            </w:r>
          </w:p>
        </w:tc>
        <w:tc>
          <w:tcPr>
            <w:tcW w:w="3660" w:type="dxa"/>
            <w:tcBorders>
              <w:top w:val="single" w:color="auto" w:sz="4" w:space="0"/>
              <w:left w:val="nil"/>
              <w:bottom w:val="single" w:color="auto" w:sz="4" w:space="0"/>
              <w:right w:val="single" w:color="auto" w:sz="4" w:space="0"/>
              <w:tl2br w:val="nil"/>
              <w:tr2bl w:val="nil"/>
            </w:tcBorders>
            <w:vAlign w:val="center"/>
          </w:tcPr>
          <w:p w14:paraId="2EB61116">
            <w:pPr>
              <w:keepNext w:val="0"/>
              <w:keepLines w:val="0"/>
              <w:widowControl/>
              <w:suppressLineNumbers w:val="0"/>
              <w:jc w:val="left"/>
              <w:textAlignment w:val="center"/>
              <w:rPr>
                <w:rFonts w:hint="default" w:eastAsiaTheme="minorEastAsia"/>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加密电源，4G通信，面板具备显示风机累计使用时间等功能，配86底盒20mm垫高圈。含5年质保和5年流量费用。需求详见：附件1.1用户需求书</w:t>
            </w:r>
          </w:p>
        </w:tc>
        <w:tc>
          <w:tcPr>
            <w:tcW w:w="750" w:type="dxa"/>
            <w:tcBorders>
              <w:top w:val="single" w:color="auto" w:sz="4" w:space="0"/>
              <w:left w:val="nil"/>
              <w:bottom w:val="single" w:color="auto" w:sz="4" w:space="0"/>
              <w:right w:val="single" w:color="auto" w:sz="4" w:space="0"/>
              <w:tl2br w:val="nil"/>
              <w:tr2bl w:val="nil"/>
            </w:tcBorders>
            <w:vAlign w:val="center"/>
          </w:tcPr>
          <w:p w14:paraId="0AB6CD3A">
            <w:pPr>
              <w:widowControl/>
              <w:jc w:val="center"/>
              <w:rPr>
                <w:rFonts w:hint="eastAsia" w:eastAsiaTheme="minorEastAsia"/>
                <w:sz w:val="22"/>
                <w:szCs w:val="22"/>
                <w:highlight w:val="none"/>
                <w:lang w:eastAsia="zh-CN"/>
              </w:rPr>
            </w:pPr>
            <w:r>
              <w:rPr>
                <w:rFonts w:hint="eastAsia"/>
                <w:sz w:val="22"/>
                <w:szCs w:val="22"/>
                <w:highlight w:val="none"/>
                <w:lang w:val="en-US" w:eastAsia="zh-CN"/>
              </w:rPr>
              <w:t>台</w:t>
            </w:r>
          </w:p>
        </w:tc>
        <w:tc>
          <w:tcPr>
            <w:tcW w:w="911" w:type="dxa"/>
            <w:tcBorders>
              <w:top w:val="single" w:color="auto" w:sz="4" w:space="0"/>
              <w:left w:val="nil"/>
              <w:bottom w:val="single" w:color="auto" w:sz="4" w:space="0"/>
              <w:right w:val="single" w:color="auto" w:sz="4" w:space="0"/>
              <w:tl2br w:val="nil"/>
              <w:tr2bl w:val="nil"/>
            </w:tcBorders>
            <w:vAlign w:val="center"/>
          </w:tcPr>
          <w:p w14:paraId="2E4253BF">
            <w:pPr>
              <w:widowControl/>
              <w:jc w:val="center"/>
              <w:rPr>
                <w:rFonts w:hint="default" w:eastAsiaTheme="minorEastAsia"/>
                <w:sz w:val="22"/>
                <w:szCs w:val="22"/>
                <w:highlight w:val="none"/>
                <w:lang w:val="en-US" w:eastAsia="zh-CN"/>
              </w:rPr>
            </w:pPr>
            <w:r>
              <w:rPr>
                <w:rFonts w:hint="eastAsia"/>
                <w:sz w:val="22"/>
                <w:szCs w:val="22"/>
                <w:highlight w:val="none"/>
                <w:lang w:val="en-US" w:eastAsia="zh-CN"/>
              </w:rPr>
              <w:t>853</w:t>
            </w:r>
          </w:p>
        </w:tc>
        <w:tc>
          <w:tcPr>
            <w:tcW w:w="1944" w:type="dxa"/>
            <w:tcBorders>
              <w:top w:val="single" w:color="auto" w:sz="4" w:space="0"/>
              <w:left w:val="nil"/>
              <w:bottom w:val="single" w:color="auto" w:sz="4" w:space="0"/>
              <w:right w:val="single" w:color="auto" w:sz="4" w:space="0"/>
              <w:tl2br w:val="nil"/>
              <w:tr2bl w:val="nil"/>
            </w:tcBorders>
            <w:vAlign w:val="center"/>
          </w:tcPr>
          <w:p w14:paraId="381906F4">
            <w:pPr>
              <w:widowControl/>
              <w:jc w:val="center"/>
            </w:pPr>
            <w:r>
              <w:rPr>
                <w:rFonts w:hint="eastAsia"/>
                <w:sz w:val="20"/>
                <w:szCs w:val="20"/>
              </w:rPr>
              <w:t>　</w:t>
            </w:r>
          </w:p>
        </w:tc>
      </w:tr>
      <w:tr w14:paraId="6529A5FC">
        <w:tblPrEx>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0999C0D1">
            <w:pPr>
              <w:widowControl/>
              <w:jc w:val="center"/>
              <w:rPr>
                <w:sz w:val="22"/>
                <w:szCs w:val="22"/>
              </w:rPr>
            </w:pP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14:paraId="21E76FC4">
            <w:pPr>
              <w:widowControl/>
              <w:jc w:val="center"/>
              <w:rPr>
                <w:sz w:val="22"/>
                <w:szCs w:val="22"/>
              </w:rPr>
            </w:pPr>
          </w:p>
        </w:tc>
        <w:tc>
          <w:tcPr>
            <w:tcW w:w="3660" w:type="dxa"/>
            <w:tcBorders>
              <w:top w:val="single" w:color="auto" w:sz="4" w:space="0"/>
              <w:left w:val="nil"/>
              <w:bottom w:val="single" w:color="auto" w:sz="4" w:space="0"/>
              <w:right w:val="single" w:color="auto" w:sz="4" w:space="0"/>
              <w:tl2br w:val="nil"/>
              <w:tr2bl w:val="nil"/>
            </w:tcBorders>
            <w:vAlign w:val="center"/>
          </w:tcPr>
          <w:p w14:paraId="59CF14E8">
            <w:pPr>
              <w:widowControl/>
              <w:jc w:val="center"/>
              <w:rPr>
                <w:sz w:val="22"/>
                <w:szCs w:val="22"/>
              </w:rPr>
            </w:pPr>
            <w:r>
              <w:rPr>
                <w:rFonts w:hint="eastAsia"/>
                <w:sz w:val="22"/>
                <w:szCs w:val="22"/>
              </w:rPr>
              <w:t>合计</w:t>
            </w:r>
          </w:p>
        </w:tc>
        <w:tc>
          <w:tcPr>
            <w:tcW w:w="750" w:type="dxa"/>
            <w:tcBorders>
              <w:top w:val="single" w:color="auto" w:sz="4" w:space="0"/>
              <w:left w:val="nil"/>
              <w:bottom w:val="single" w:color="auto" w:sz="4" w:space="0"/>
              <w:right w:val="single" w:color="auto" w:sz="4" w:space="0"/>
              <w:tl2br w:val="nil"/>
              <w:tr2bl w:val="nil"/>
            </w:tcBorders>
            <w:vAlign w:val="center"/>
          </w:tcPr>
          <w:p w14:paraId="70D0D23B">
            <w:pPr>
              <w:widowControl/>
              <w:jc w:val="center"/>
              <w:rPr>
                <w:sz w:val="22"/>
                <w:szCs w:val="22"/>
              </w:rPr>
            </w:pPr>
          </w:p>
        </w:tc>
        <w:tc>
          <w:tcPr>
            <w:tcW w:w="911" w:type="dxa"/>
            <w:tcBorders>
              <w:top w:val="single" w:color="auto" w:sz="4" w:space="0"/>
              <w:left w:val="nil"/>
              <w:bottom w:val="single" w:color="auto" w:sz="4" w:space="0"/>
              <w:right w:val="single" w:color="auto" w:sz="4" w:space="0"/>
              <w:tl2br w:val="nil"/>
              <w:tr2bl w:val="nil"/>
            </w:tcBorders>
            <w:vAlign w:val="center"/>
          </w:tcPr>
          <w:p w14:paraId="4DB74D1E">
            <w:pPr>
              <w:widowControl/>
              <w:jc w:val="center"/>
              <w:rPr>
                <w:sz w:val="22"/>
                <w:szCs w:val="22"/>
              </w:rPr>
            </w:pPr>
          </w:p>
        </w:tc>
        <w:tc>
          <w:tcPr>
            <w:tcW w:w="1944" w:type="dxa"/>
            <w:tcBorders>
              <w:top w:val="single" w:color="auto" w:sz="4" w:space="0"/>
              <w:left w:val="nil"/>
              <w:bottom w:val="single" w:color="auto" w:sz="4" w:space="0"/>
              <w:right w:val="single" w:color="auto" w:sz="4" w:space="0"/>
              <w:tl2br w:val="nil"/>
              <w:tr2bl w:val="nil"/>
            </w:tcBorders>
            <w:vAlign w:val="center"/>
          </w:tcPr>
          <w:p w14:paraId="17B9766F">
            <w:pPr>
              <w:widowControl/>
              <w:jc w:val="center"/>
            </w:pPr>
          </w:p>
        </w:tc>
      </w:tr>
    </w:tbl>
    <w:p w14:paraId="401D77A6">
      <w:pPr>
        <w:spacing w:line="360" w:lineRule="auto"/>
        <w:rPr>
          <w:sz w:val="24"/>
        </w:rPr>
      </w:pPr>
    </w:p>
    <w:p w14:paraId="46CA02CD">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w:t>
      </w:r>
      <w:r>
        <w:rPr>
          <w:rFonts w:hint="eastAsia" w:ascii="宋体" w:hAnsi="宋体"/>
          <w:sz w:val="24"/>
          <w:lang w:val="en-US" w:eastAsia="zh-CN"/>
        </w:rPr>
        <w:t>全部</w:t>
      </w:r>
      <w:r>
        <w:rPr>
          <w:rFonts w:hint="eastAsia" w:ascii="宋体" w:hAnsi="宋体"/>
          <w:sz w:val="24"/>
        </w:rPr>
        <w:t>人工、材料、随机零配件、标配工具、相关辅件、组件、包装运输至交货地（含装卸）、</w:t>
      </w:r>
      <w:r>
        <w:rPr>
          <w:rFonts w:hint="eastAsia" w:ascii="宋体" w:hAnsi="宋体"/>
          <w:sz w:val="24"/>
          <w:lang w:val="en-US" w:eastAsia="zh-CN"/>
        </w:rPr>
        <w:t>云平台对接和配合</w:t>
      </w:r>
      <w:r>
        <w:rPr>
          <w:rFonts w:hint="eastAsia" w:ascii="宋体" w:hAnsi="宋体"/>
          <w:sz w:val="24"/>
        </w:rPr>
        <w:t>调试、利润、税费</w:t>
      </w:r>
      <w:r>
        <w:rPr>
          <w:rFonts w:hint="eastAsia" w:ascii="宋体" w:hAnsi="宋体"/>
          <w:kern w:val="0"/>
          <w:sz w:val="24"/>
        </w:rPr>
        <w:t>（包括关税、增值税专用发票等）</w:t>
      </w:r>
      <w:r>
        <w:rPr>
          <w:rFonts w:hint="eastAsia" w:ascii="宋体" w:hAnsi="宋体"/>
          <w:sz w:val="24"/>
        </w:rPr>
        <w:t>、</w:t>
      </w:r>
      <w:r>
        <w:rPr>
          <w:rFonts w:hint="eastAsia" w:ascii="宋体" w:hAnsi="宋体"/>
          <w:sz w:val="24"/>
          <w:lang w:val="en-US" w:eastAsia="zh-CN"/>
        </w:rPr>
        <w:t>温控器数据通信服务费用、</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w:t>
      </w:r>
    </w:p>
    <w:p w14:paraId="21F0935A">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7F196073">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351BE692">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20A3BA38">
      <w:pPr>
        <w:spacing w:line="360" w:lineRule="auto"/>
        <w:ind w:firstLine="480" w:firstLineChars="200"/>
        <w:rPr>
          <w:rFonts w:ascii="宋体" w:hAnsi="宋体"/>
          <w:sz w:val="24"/>
        </w:rPr>
      </w:pPr>
      <w:r>
        <w:rPr>
          <w:rFonts w:hint="eastAsia" w:ascii="宋体" w:hAnsi="宋体"/>
          <w:sz w:val="24"/>
        </w:rPr>
        <w:t>供应商应提供所代表品牌厂商原装的、全新的、未使用过的、技术先进、性能优良、结构紧凑、便于安装和维护、符合国家、行业及采购需求书提出的有关质量标准的货物。</w:t>
      </w:r>
    </w:p>
    <w:p w14:paraId="472EE0CB">
      <w:pPr>
        <w:numPr>
          <w:ilvl w:val="0"/>
          <w:numId w:val="11"/>
        </w:numPr>
        <w:tabs>
          <w:tab w:val="left" w:pos="420"/>
        </w:tabs>
        <w:spacing w:line="360" w:lineRule="auto"/>
        <w:rPr>
          <w:rFonts w:ascii="宋体" w:hAnsi="宋体"/>
          <w:sz w:val="24"/>
        </w:rPr>
      </w:pPr>
      <w:r>
        <w:rPr>
          <w:rFonts w:hint="eastAsia" w:ascii="宋体" w:hAnsi="宋体"/>
          <w:sz w:val="24"/>
        </w:rPr>
        <w:t>特别说明</w:t>
      </w:r>
    </w:p>
    <w:p w14:paraId="470F69CA">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0034C509">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供应商对“采购清单”中的所有货物都应报齐，不允许缺漏项。如有缺漏项的，按废标处理。</w:t>
      </w:r>
    </w:p>
    <w:p w14:paraId="35B5AAEB">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6CD351C3">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1.需送货至指定地点：广州大学城西五路4#冷站旁边仓库（国家档案馆对面）</w:t>
      </w:r>
    </w:p>
    <w:p w14:paraId="17D303D8">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6D2C4A40">
      <w:pPr>
        <w:tabs>
          <w:tab w:val="left" w:pos="420"/>
        </w:tabs>
        <w:spacing w:line="360" w:lineRule="auto"/>
        <w:ind w:firstLine="480" w:firstLineChars="200"/>
        <w:rPr>
          <w:rFonts w:ascii="宋体" w:hAnsi="宋体"/>
          <w:sz w:val="24"/>
        </w:rPr>
      </w:pPr>
      <w:r>
        <w:rPr>
          <w:rFonts w:hint="eastAsia" w:ascii="宋体" w:hAnsi="宋体"/>
          <w:sz w:val="24"/>
        </w:rPr>
        <w:t>3. ★成交供应商非生产厂家时在</w:t>
      </w:r>
      <w:r>
        <w:rPr>
          <w:rFonts w:hint="eastAsia" w:ascii="宋体" w:hAnsi="宋体"/>
          <w:sz w:val="24"/>
          <w:lang w:val="en-US" w:eastAsia="zh-CN"/>
        </w:rPr>
        <w:t>签订合同</w:t>
      </w:r>
      <w:r>
        <w:rPr>
          <w:rFonts w:hint="eastAsia" w:ascii="宋体" w:hAnsi="宋体"/>
          <w:sz w:val="24"/>
        </w:rPr>
        <w:t>时需提供生产厂家的或其授权经销商的关于本项目采购清单材料的合法授权函原件或者供货证明原件（以采购订单或采购合同为准）。</w:t>
      </w:r>
    </w:p>
    <w:p w14:paraId="3AE21CD3">
      <w:pPr>
        <w:tabs>
          <w:tab w:val="left" w:pos="420"/>
        </w:tabs>
        <w:spacing w:line="360" w:lineRule="auto"/>
        <w:ind w:firstLine="480" w:firstLineChars="200"/>
        <w:rPr>
          <w:rFonts w:ascii="宋体" w:hAnsi="宋体"/>
          <w:sz w:val="24"/>
        </w:rPr>
      </w:pPr>
      <w:r>
        <w:rPr>
          <w:rFonts w:hint="eastAsia" w:ascii="宋体" w:hAnsi="宋体"/>
          <w:sz w:val="24"/>
        </w:rPr>
        <w:t>4.到货日期：</w:t>
      </w:r>
      <w:r>
        <w:rPr>
          <w:rFonts w:hint="eastAsia" w:ascii="宋体" w:hAnsi="宋体"/>
          <w:b/>
          <w:bCs/>
          <w:sz w:val="24"/>
        </w:rPr>
        <w:t>合同签订后</w:t>
      </w:r>
      <w:r>
        <w:rPr>
          <w:rFonts w:hint="eastAsia" w:ascii="宋体" w:hAnsi="宋体"/>
          <w:b/>
          <w:bCs/>
          <w:sz w:val="24"/>
          <w:lang w:val="en-US" w:eastAsia="zh-CN"/>
        </w:rPr>
        <w:t>20</w:t>
      </w:r>
      <w:r>
        <w:rPr>
          <w:rFonts w:hint="eastAsia" w:ascii="宋体" w:hAnsi="宋体"/>
          <w:b/>
          <w:bCs/>
          <w:sz w:val="24"/>
        </w:rPr>
        <w:t>个日历天</w:t>
      </w:r>
      <w:r>
        <w:rPr>
          <w:rFonts w:hint="eastAsia" w:ascii="宋体" w:hAnsi="宋体"/>
          <w:sz w:val="24"/>
        </w:rPr>
        <w:t>将货物安全、完整、按时送货到采购人指定地点。</w:t>
      </w:r>
    </w:p>
    <w:p w14:paraId="30C28490">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34A8E13E">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6AB9076B">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2C7132FB">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54B6ABF7">
      <w:pPr>
        <w:numPr>
          <w:ilvl w:val="0"/>
          <w:numId w:val="11"/>
        </w:numPr>
        <w:tabs>
          <w:tab w:val="left" w:pos="420"/>
        </w:tabs>
        <w:spacing w:line="360" w:lineRule="auto"/>
        <w:rPr>
          <w:rFonts w:ascii="宋体" w:hAnsi="宋体"/>
          <w:sz w:val="24"/>
        </w:rPr>
      </w:pPr>
      <w:r>
        <w:rPr>
          <w:rFonts w:hint="eastAsia" w:ascii="宋体" w:hAnsi="宋体"/>
          <w:sz w:val="24"/>
        </w:rPr>
        <w:t>验收要求</w:t>
      </w:r>
    </w:p>
    <w:p w14:paraId="1E7EDAE1">
      <w:pPr>
        <w:numPr>
          <w:ilvl w:val="-1"/>
          <w:numId w:val="0"/>
        </w:numPr>
        <w:tabs>
          <w:tab w:val="left" w:pos="420"/>
        </w:tabs>
        <w:spacing w:line="360" w:lineRule="auto"/>
        <w:ind w:firstLine="480" w:firstLineChars="200"/>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7E626D70">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61DBD38F">
      <w:pPr>
        <w:numPr>
          <w:ilvl w:val="0"/>
          <w:numId w:val="15"/>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28CC912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★采购清单中货物的质保期最少为验收合格之日起</w:t>
      </w:r>
      <w:r>
        <w:rPr>
          <w:rFonts w:hint="eastAsia" w:ascii="宋体" w:hAnsi="宋体"/>
          <w:sz w:val="24"/>
          <w:lang w:val="en-US" w:eastAsia="zh-CN"/>
        </w:rPr>
        <w:t>5</w:t>
      </w:r>
      <w:r>
        <w:rPr>
          <w:rFonts w:hint="eastAsia" w:ascii="宋体" w:hAnsi="宋体"/>
          <w:sz w:val="24"/>
        </w:rPr>
        <w:t>年（不少于</w:t>
      </w:r>
      <w:r>
        <w:rPr>
          <w:rFonts w:hint="eastAsia" w:ascii="宋体" w:hAnsi="宋体"/>
          <w:sz w:val="24"/>
          <w:lang w:val="en-US" w:eastAsia="zh-CN"/>
        </w:rPr>
        <w:t>5</w:t>
      </w:r>
      <w:r>
        <w:rPr>
          <w:rFonts w:hint="eastAsia" w:ascii="宋体" w:hAnsi="宋体"/>
          <w:sz w:val="24"/>
        </w:rPr>
        <w:t>年）。</w:t>
      </w:r>
    </w:p>
    <w:p w14:paraId="54FE319E">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在质保期内供应商对所供货物实行包修、包换、包退、</w:t>
      </w:r>
      <w:r>
        <w:rPr>
          <w:rFonts w:hint="eastAsia" w:ascii="宋体" w:hAnsi="宋体"/>
          <w:sz w:val="24"/>
          <w:lang w:val="en-US" w:eastAsia="zh-CN"/>
        </w:rPr>
        <w:t>包</w:t>
      </w:r>
      <w:r>
        <w:rPr>
          <w:rFonts w:hint="eastAsia" w:ascii="宋体" w:hAnsi="宋体"/>
          <w:sz w:val="24"/>
        </w:rPr>
        <w:t>温控器数据通信服务费用</w:t>
      </w:r>
      <w:r>
        <w:rPr>
          <w:rFonts w:hint="eastAsia" w:ascii="宋体" w:hAnsi="宋体"/>
          <w:sz w:val="24"/>
          <w:lang w:eastAsia="zh-CN"/>
        </w:rPr>
        <w:t>、</w:t>
      </w:r>
      <w:r>
        <w:rPr>
          <w:rFonts w:hint="eastAsia" w:ascii="宋体" w:hAnsi="宋体"/>
          <w:sz w:val="24"/>
          <w:lang w:val="en-US" w:eastAsia="zh-CN"/>
        </w:rPr>
        <w:t>包维护保养及内置系统升级。</w:t>
      </w:r>
      <w:r>
        <w:rPr>
          <w:rFonts w:hint="eastAsia" w:ascii="宋体" w:hAnsi="宋体"/>
          <w:sz w:val="24"/>
        </w:rPr>
        <w:t>费用由供应商负责，不再向采购人收取费用。</w:t>
      </w:r>
      <w:r>
        <w:rPr>
          <w:rFonts w:hint="eastAsia" w:ascii="宋体" w:hAnsi="宋体"/>
          <w:sz w:val="24"/>
          <w:szCs w:val="24"/>
        </w:rPr>
        <w:t>质保期内故障温控器由采购方负责拆下并邮寄到</w:t>
      </w:r>
      <w:r>
        <w:rPr>
          <w:rFonts w:hint="eastAsia" w:ascii="宋体" w:hAnsi="宋体"/>
          <w:sz w:val="24"/>
        </w:rPr>
        <w:t>供应商</w:t>
      </w:r>
      <w:r>
        <w:rPr>
          <w:rFonts w:hint="eastAsia" w:ascii="宋体" w:hAnsi="宋体"/>
          <w:sz w:val="24"/>
          <w:szCs w:val="24"/>
        </w:rPr>
        <w:t>进行更换或维修，来回运费由</w:t>
      </w:r>
      <w:r>
        <w:rPr>
          <w:rFonts w:hint="eastAsia" w:ascii="宋体" w:hAnsi="宋体"/>
          <w:sz w:val="24"/>
        </w:rPr>
        <w:t>供应商</w:t>
      </w:r>
      <w:r>
        <w:rPr>
          <w:rFonts w:hint="eastAsia" w:ascii="宋体" w:hAnsi="宋体"/>
          <w:sz w:val="24"/>
          <w:szCs w:val="24"/>
        </w:rPr>
        <w:t>负责，修复或更换的温控器需10日内寄回采购方，时间</w:t>
      </w:r>
      <w:r>
        <w:rPr>
          <w:rFonts w:hint="eastAsia" w:ascii="宋体" w:hAnsi="宋体"/>
          <w:sz w:val="24"/>
          <w:szCs w:val="24"/>
          <w:lang w:val="en-US" w:eastAsia="zh-CN"/>
        </w:rPr>
        <w:t>节</w:t>
      </w:r>
      <w:r>
        <w:rPr>
          <w:rFonts w:hint="eastAsia" w:ascii="宋体" w:hAnsi="宋体"/>
          <w:sz w:val="24"/>
          <w:szCs w:val="24"/>
        </w:rPr>
        <w:t>点以收货时间为准</w:t>
      </w:r>
      <w:r>
        <w:rPr>
          <w:rFonts w:hint="eastAsia" w:ascii="宋体" w:hAnsi="宋体"/>
          <w:sz w:val="24"/>
          <w:szCs w:val="24"/>
          <w:lang w:eastAsia="zh-CN"/>
        </w:rPr>
        <w:t>。</w:t>
      </w:r>
    </w:p>
    <w:p w14:paraId="71CBD112">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如出现严重质量问题或产品厂商推诿质量、服务责任时，供应商应承担责任并提供质量和服务保障。</w:t>
      </w:r>
    </w:p>
    <w:p w14:paraId="1AAE5BD5">
      <w:pPr>
        <w:pStyle w:val="7"/>
        <w:spacing w:line="360" w:lineRule="auto"/>
        <w:rPr>
          <w:rFonts w:hint="default" w:eastAsiaTheme="minorEastAsia"/>
          <w:lang w:val="en-US" w:eastAsia="zh-CN"/>
        </w:rPr>
      </w:pPr>
      <w:r>
        <w:rPr>
          <w:rFonts w:hint="eastAsia" w:ascii="宋体" w:hAnsi="宋体"/>
          <w:sz w:val="24"/>
          <w:lang w:val="en-US" w:eastAsia="zh-CN"/>
        </w:rPr>
        <w:t xml:space="preserve">    5、中标后中标单位需要在</w:t>
      </w:r>
      <w:r>
        <w:rPr>
          <w:rFonts w:hint="eastAsia" w:ascii="宋体" w:hAnsi="宋体"/>
          <w:sz w:val="24"/>
          <w:highlight w:val="none"/>
          <w:lang w:val="en-US" w:eastAsia="zh-CN"/>
        </w:rPr>
        <w:t>两周内完成物联网温控器管理平台软件对</w:t>
      </w:r>
      <w:r>
        <w:rPr>
          <w:rFonts w:hint="eastAsia" w:ascii="宋体" w:hAnsi="宋体"/>
          <w:sz w:val="24"/>
          <w:lang w:val="en-US" w:eastAsia="zh-CN"/>
        </w:rPr>
        <w:t>接（对接费用由投标人自行负责），如中标单位不能再规定时间内完成对接的，取消其中标资格，中标资格顺延至下一位中标候选人。</w:t>
      </w:r>
    </w:p>
    <w:p w14:paraId="61914EA7">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0990F6B1">
      <w:pPr>
        <w:numPr>
          <w:ilvl w:val="0"/>
          <w:numId w:val="16"/>
        </w:numPr>
        <w:tabs>
          <w:tab w:val="left" w:pos="420"/>
        </w:tabs>
        <w:spacing w:line="360" w:lineRule="auto"/>
        <w:rPr>
          <w:rFonts w:hint="eastAsia" w:ascii="宋体" w:hAnsi="宋体"/>
          <w:sz w:val="24"/>
        </w:rPr>
      </w:pPr>
      <w:r>
        <w:rPr>
          <w:rFonts w:hint="eastAsia" w:ascii="宋体" w:hAnsi="宋体"/>
          <w:sz w:val="24"/>
        </w:rPr>
        <w:t>★付款方式：</w:t>
      </w:r>
    </w:p>
    <w:p w14:paraId="1DB4B64D">
      <w:pPr>
        <w:numPr>
          <w:ilvl w:val="-1"/>
          <w:numId w:val="0"/>
        </w:numPr>
        <w:tabs>
          <w:tab w:val="left" w:pos="420"/>
        </w:tabs>
        <w:spacing w:line="360" w:lineRule="auto"/>
        <w:ind w:left="0" w:firstLine="480" w:firstLineChars="200"/>
        <w:rPr>
          <w:rFonts w:ascii="宋体" w:hAnsi="宋体"/>
          <w:sz w:val="24"/>
        </w:rPr>
      </w:pPr>
      <w:r>
        <w:rPr>
          <w:rFonts w:hint="eastAsia" w:ascii="宋体" w:hAnsi="宋体"/>
          <w:sz w:val="24"/>
        </w:rPr>
        <w:t>1、全部货物货到现场并经需方验收合格后付至结算价的80%，全部货物经甲方安装调试验收合格签字和收到供方相关的技术资料后15天内支付至结算价的95%款项，同时余下结算价的5%作为质保金，</w:t>
      </w:r>
      <w:r>
        <w:rPr>
          <w:rFonts w:hint="eastAsia" w:ascii="宋体" w:hAnsi="宋体"/>
          <w:b/>
          <w:bCs/>
          <w:sz w:val="24"/>
        </w:rPr>
        <w:t>质保期不少于</w:t>
      </w:r>
      <w:r>
        <w:rPr>
          <w:rFonts w:hint="eastAsia" w:ascii="宋体" w:hAnsi="宋体"/>
          <w:b/>
          <w:bCs/>
          <w:sz w:val="24"/>
          <w:lang w:val="en-US" w:eastAsia="zh-CN"/>
        </w:rPr>
        <w:t>5</w:t>
      </w:r>
      <w:r>
        <w:rPr>
          <w:rFonts w:hint="eastAsia" w:ascii="宋体" w:hAnsi="宋体"/>
          <w:b/>
          <w:bCs/>
          <w:sz w:val="24"/>
        </w:rPr>
        <w:t>年，</w:t>
      </w:r>
      <w:r>
        <w:rPr>
          <w:rFonts w:hint="eastAsia" w:ascii="宋体" w:hAnsi="宋体"/>
          <w:b w:val="0"/>
          <w:bCs w:val="0"/>
          <w:sz w:val="24"/>
        </w:rPr>
        <w:t>质保期</w:t>
      </w:r>
      <w:r>
        <w:rPr>
          <w:rFonts w:hint="eastAsia" w:ascii="宋体" w:hAnsi="宋体"/>
          <w:sz w:val="24"/>
        </w:rPr>
        <w:t>自货物安装调试验收合格之日起算，质保期满供方履行完质保期义务后付清余款。付款前供方开具相应金额增值税(含13%增值税)专用发票给需方。其中，温控器数据通信服务费用，自供方安装调试完毕并验收合格之日起算。</w:t>
      </w:r>
    </w:p>
    <w:p w14:paraId="28D42652">
      <w:pPr>
        <w:numPr>
          <w:ilvl w:val="0"/>
          <w:numId w:val="16"/>
        </w:numPr>
        <w:tabs>
          <w:tab w:val="left" w:pos="420"/>
        </w:tabs>
        <w:spacing w:line="360" w:lineRule="auto"/>
        <w:rPr>
          <w:rFonts w:ascii="宋体" w:hAnsi="宋体"/>
          <w:sz w:val="24"/>
        </w:rPr>
      </w:pPr>
      <w:r>
        <w:rPr>
          <w:rFonts w:hint="eastAsia" w:ascii="宋体" w:hAnsi="宋体"/>
          <w:sz w:val="24"/>
        </w:rPr>
        <w:t>违约责任</w:t>
      </w:r>
    </w:p>
    <w:p w14:paraId="3B07945A">
      <w:pPr>
        <w:numPr>
          <w:ilvl w:val="0"/>
          <w:numId w:val="17"/>
        </w:numPr>
        <w:tabs>
          <w:tab w:val="left" w:pos="420"/>
        </w:tabs>
        <w:spacing w:line="360" w:lineRule="auto"/>
        <w:rPr>
          <w:rFonts w:ascii="宋体" w:hAnsi="宋体"/>
          <w:sz w:val="24"/>
        </w:rPr>
      </w:pPr>
      <w:r>
        <w:rPr>
          <w:rFonts w:hint="eastAsia" w:ascii="宋体" w:hAnsi="宋体"/>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w:t>
      </w:r>
      <w:r>
        <w:rPr>
          <w:rFonts w:hint="eastAsia" w:ascii="宋体" w:hAnsi="宋体"/>
          <w:sz w:val="24"/>
          <w:u w:val="single"/>
        </w:rPr>
        <w:t>10_</w:t>
      </w:r>
      <w:r>
        <w:rPr>
          <w:rFonts w:hint="eastAsia" w:ascii="宋体" w:hAnsi="宋体"/>
          <w:sz w:val="24"/>
        </w:rPr>
        <w:t>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14:paraId="4C85918D">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5B78128">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质保期内发现重大质量不合格问题（该重大质量问题应界定为达不到质量标准要求或同类型故障出现超过3次情形的），供应商必须在规定的期限调整或改正并达到采购需求约定的质量标准。</w:t>
      </w:r>
    </w:p>
    <w:p w14:paraId="49D7483D">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保修期内，供应商不履行保修义务，采购人有权要求供应商每次支付不超过采购项目总价5%的违约金，且采购人有权委托第三方予以维修，因此而产生的一切费用由供应商承担。</w:t>
      </w:r>
    </w:p>
    <w:p w14:paraId="665FCB36">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未经采购人同意，供应商拒不履行或</w:t>
      </w:r>
      <w:r>
        <w:rPr>
          <w:rFonts w:hint="eastAsia" w:ascii="宋体" w:hAnsi="宋体"/>
          <w:kern w:val="0"/>
          <w:sz w:val="24"/>
        </w:rPr>
        <w:t>部分不履行采购项目的，供应商按未履行部分采购项目金额的20%向采购人支付违约金。</w:t>
      </w:r>
    </w:p>
    <w:p w14:paraId="5FC762F4">
      <w:pPr>
        <w:spacing w:line="360" w:lineRule="auto"/>
        <w:rPr>
          <w:rFonts w:ascii="宋体" w:hAnsi="宋体"/>
        </w:rPr>
        <w:sectPr>
          <w:footerReference r:id="rId3" w:type="default"/>
          <w:pgSz w:w="11906" w:h="16838"/>
          <w:pgMar w:top="1440" w:right="1800" w:bottom="1440" w:left="1800" w:header="851" w:footer="992" w:gutter="0"/>
          <w:cols w:space="425" w:num="1"/>
          <w:docGrid w:type="lines" w:linePitch="312" w:charSpace="0"/>
        </w:sectPr>
      </w:pPr>
    </w:p>
    <w:p w14:paraId="20977954">
      <w:pPr>
        <w:rPr>
          <w:rFonts w:hint="eastAsia"/>
          <w:lang w:val="en-US" w:eastAsia="zh-CN"/>
        </w:rPr>
      </w:pPr>
      <w:r>
        <w:rPr>
          <w:rFonts w:hint="eastAsia" w:asciiTheme="minorEastAsia" w:hAnsiTheme="minorEastAsia" w:cstheme="minorEastAsia"/>
          <w:sz w:val="28"/>
          <w:szCs w:val="28"/>
          <w:lang w:val="en-US" w:eastAsia="zh-CN"/>
        </w:rPr>
        <w:t>附件1.1</w:t>
      </w:r>
    </w:p>
    <w:p w14:paraId="00B82F37">
      <w:pPr>
        <w:jc w:val="center"/>
        <w:rPr>
          <w:rFonts w:ascii="宋体" w:hAnsi="宋体" w:eastAsia="宋体" w:cs="宋体"/>
          <w:b/>
          <w:sz w:val="30"/>
          <w:szCs w:val="30"/>
        </w:rPr>
      </w:pPr>
      <w:r>
        <w:rPr>
          <w:rFonts w:hint="eastAsia" w:ascii="宋体" w:hAnsi="宋体" w:eastAsia="宋体" w:cs="宋体"/>
          <w:b/>
          <w:sz w:val="28"/>
          <w:szCs w:val="28"/>
          <w:lang w:val="en-US" w:eastAsia="zh-CN"/>
        </w:rPr>
        <w:t>用户</w:t>
      </w:r>
      <w:r>
        <w:rPr>
          <w:rFonts w:hint="eastAsia" w:ascii="宋体" w:hAnsi="宋体" w:eastAsia="宋体" w:cs="宋体"/>
          <w:b/>
          <w:sz w:val="28"/>
          <w:szCs w:val="28"/>
        </w:rPr>
        <w:t>需求书</w:t>
      </w:r>
    </w:p>
    <w:p w14:paraId="56B0AB8A">
      <w:pPr>
        <w:numPr>
          <w:ilvl w:val="0"/>
          <w:numId w:val="18"/>
        </w:numPr>
        <w:spacing w:line="360" w:lineRule="auto"/>
        <w:rPr>
          <w:rFonts w:ascii="宋体" w:hAnsi="宋体" w:eastAsia="宋体" w:cs="宋体"/>
          <w:b/>
          <w:sz w:val="21"/>
          <w:szCs w:val="21"/>
        </w:rPr>
      </w:pPr>
      <w:r>
        <w:rPr>
          <w:rFonts w:hint="eastAsia" w:ascii="宋体" w:hAnsi="宋体" w:eastAsia="宋体" w:cs="宋体"/>
          <w:b/>
          <w:sz w:val="21"/>
          <w:szCs w:val="21"/>
        </w:rPr>
        <w:t>项目名称</w:t>
      </w:r>
    </w:p>
    <w:p w14:paraId="7BD6592F">
      <w:pPr>
        <w:ind w:firstLine="420" w:firstLineChars="200"/>
        <w:rPr>
          <w:rFonts w:ascii="宋体" w:hAnsi="宋体" w:eastAsia="宋体" w:cs="宋体"/>
          <w:sz w:val="21"/>
          <w:szCs w:val="21"/>
        </w:rPr>
      </w:pPr>
      <w:r>
        <w:rPr>
          <w:rFonts w:hint="eastAsia" w:ascii="宋体" w:hAnsi="宋体" w:eastAsia="宋体" w:cs="宋体"/>
          <w:sz w:val="21"/>
          <w:szCs w:val="21"/>
        </w:rPr>
        <w:t>星海音乐学院学生宿舍中央空调计时计费系统项目</w:t>
      </w:r>
    </w:p>
    <w:p w14:paraId="297AABCE">
      <w:pPr>
        <w:numPr>
          <w:ilvl w:val="0"/>
          <w:numId w:val="18"/>
        </w:numPr>
        <w:spacing w:line="360" w:lineRule="auto"/>
        <w:rPr>
          <w:rFonts w:ascii="宋体" w:hAnsi="宋体" w:eastAsia="宋体" w:cs="宋体"/>
          <w:b/>
          <w:sz w:val="21"/>
          <w:szCs w:val="21"/>
        </w:rPr>
      </w:pPr>
      <w:r>
        <w:rPr>
          <w:rFonts w:hint="eastAsia" w:ascii="宋体" w:hAnsi="宋体" w:eastAsia="宋体" w:cs="宋体"/>
          <w:b/>
          <w:sz w:val="21"/>
          <w:szCs w:val="21"/>
        </w:rPr>
        <w:t>项目的工作范围及内容</w:t>
      </w:r>
    </w:p>
    <w:p w14:paraId="54A706E0">
      <w:pPr>
        <w:numPr>
          <w:ilvl w:val="0"/>
          <w:numId w:val="19"/>
        </w:numPr>
        <w:spacing w:line="360" w:lineRule="auto"/>
        <w:ind w:left="420"/>
        <w:rPr>
          <w:rFonts w:ascii="宋体" w:hAnsi="宋体" w:eastAsia="宋体" w:cs="宋体"/>
          <w:sz w:val="21"/>
          <w:szCs w:val="21"/>
        </w:rPr>
      </w:pPr>
      <w:r>
        <w:rPr>
          <w:rFonts w:hint="eastAsia" w:ascii="宋体" w:hAnsi="宋体" w:eastAsia="宋体" w:cs="宋体"/>
          <w:sz w:val="21"/>
          <w:szCs w:val="21"/>
        </w:rPr>
        <w:t>施工地点和数量</w:t>
      </w:r>
    </w:p>
    <w:p w14:paraId="1A441479">
      <w:pPr>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施工地点：星海音乐学院学生宿舍</w:t>
      </w:r>
    </w:p>
    <w:p w14:paraId="7EB02185">
      <w:pPr>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数量：</w:t>
      </w:r>
      <w:r>
        <w:rPr>
          <w:rFonts w:ascii="宋体" w:hAnsi="宋体" w:eastAsia="宋体" w:cs="宋体"/>
          <w:sz w:val="21"/>
          <w:szCs w:val="21"/>
        </w:rPr>
        <w:t>853</w:t>
      </w:r>
      <w:r>
        <w:rPr>
          <w:rFonts w:hint="eastAsia" w:ascii="宋体" w:hAnsi="宋体" w:eastAsia="宋体" w:cs="宋体"/>
          <w:sz w:val="21"/>
          <w:szCs w:val="21"/>
        </w:rPr>
        <w:t>台新型物联网中央空调计费器</w:t>
      </w:r>
    </w:p>
    <w:p w14:paraId="0BD0A1AA">
      <w:pPr>
        <w:spacing w:line="360" w:lineRule="auto"/>
        <w:ind w:left="420"/>
        <w:rPr>
          <w:rFonts w:ascii="宋体" w:hAnsi="宋体" w:eastAsia="宋体" w:cs="宋体"/>
          <w:sz w:val="21"/>
          <w:szCs w:val="21"/>
        </w:rPr>
      </w:pPr>
      <w:r>
        <w:rPr>
          <w:rFonts w:hint="eastAsia" w:ascii="宋体" w:hAnsi="宋体" w:eastAsia="宋体" w:cs="宋体"/>
          <w:sz w:val="21"/>
          <w:szCs w:val="21"/>
        </w:rPr>
        <w:t>2、工作范围和内容</w:t>
      </w:r>
    </w:p>
    <w:p w14:paraId="128696A0">
      <w:pPr>
        <w:spacing w:line="360" w:lineRule="auto"/>
        <w:ind w:left="420"/>
        <w:rPr>
          <w:rFonts w:ascii="宋体" w:hAnsi="宋体" w:eastAsia="宋体" w:cs="宋体"/>
          <w:sz w:val="21"/>
          <w:szCs w:val="21"/>
        </w:rPr>
      </w:pPr>
      <w:r>
        <w:rPr>
          <w:rFonts w:hint="eastAsia" w:ascii="宋体" w:hAnsi="宋体" w:eastAsia="宋体" w:cs="宋体"/>
          <w:sz w:val="21"/>
          <w:szCs w:val="21"/>
        </w:rPr>
        <w:t xml:space="preserve">    向乙方采购中央空调联网计时型温控器。</w:t>
      </w:r>
    </w:p>
    <w:p w14:paraId="31911596">
      <w:pPr>
        <w:rPr>
          <w:rFonts w:ascii="宋体" w:hAnsi="宋体" w:eastAsia="宋体" w:cs="宋体"/>
          <w:sz w:val="21"/>
          <w:szCs w:val="21"/>
        </w:rPr>
      </w:pPr>
      <w:r>
        <w:rPr>
          <w:rFonts w:hint="eastAsia" w:ascii="宋体" w:hAnsi="宋体" w:eastAsia="宋体" w:cs="宋体"/>
          <w:sz w:val="21"/>
          <w:szCs w:val="21"/>
        </w:rPr>
        <w:t>3、技术指标需求如下：</w:t>
      </w:r>
    </w:p>
    <w:p w14:paraId="5F5F6B1D">
      <w:pPr>
        <w:pStyle w:val="23"/>
        <w:spacing w:line="360" w:lineRule="auto"/>
        <w:ind w:left="554" w:leftChars="264" w:firstLineChars="150"/>
        <w:jc w:val="left"/>
        <w:rPr>
          <w:rFonts w:ascii="宋体" w:hAnsi="宋体" w:eastAsia="宋体" w:cs="宋体"/>
          <w:sz w:val="21"/>
          <w:szCs w:val="21"/>
        </w:rPr>
      </w:pPr>
      <w:r>
        <w:rPr>
          <w:rFonts w:hint="eastAsia" w:ascii="宋体" w:hAnsi="宋体" w:eastAsia="宋体" w:cs="宋体"/>
          <w:sz w:val="21"/>
          <w:szCs w:val="21"/>
        </w:rPr>
        <w:t>本用户需求书及物联网温控器管理平台软件功能介绍所涉及技术参数为最低要求，并未对一切细节作出规定，未充分引述有关标准和规范的条文，投标方应保证提供符合本用户需求书及物联网温控器管理平台软件功能介绍和相关最新工业标准的产品。在签订合同前，招标人保留对本技术规格及要求提出补充要求和修改的权力，投标方应承诺予以无条件配合。本用户需求书及物联网温控器管理平台软件功能介绍所使用标准如与投标方所执行标准发生矛盾时，按较高标准执行。</w:t>
      </w:r>
    </w:p>
    <w:p w14:paraId="56ADF2AD">
      <w:pPr>
        <w:widowControl/>
        <w:jc w:val="left"/>
        <w:rPr>
          <w:rFonts w:ascii="宋体" w:hAnsi="宋体" w:eastAsia="宋体" w:cs="宋体"/>
          <w:sz w:val="21"/>
          <w:szCs w:val="21"/>
        </w:rPr>
      </w:pPr>
      <w:r>
        <w:rPr>
          <w:rFonts w:hint="eastAsia" w:ascii="宋体" w:hAnsi="宋体" w:eastAsia="宋体" w:cs="宋体"/>
          <w:sz w:val="21"/>
          <w:szCs w:val="21"/>
        </w:rPr>
        <w:t xml:space="preserve">    主要设备技术指标（带★号为必要条件）:</w:t>
      </w:r>
    </w:p>
    <w:p w14:paraId="2FBD2DB9">
      <w:pPr>
        <w:widowControl/>
        <w:spacing w:line="360" w:lineRule="auto"/>
        <w:ind w:left="142"/>
        <w:jc w:val="left"/>
        <w:rPr>
          <w:rFonts w:ascii="宋体" w:hAnsi="宋体" w:eastAsia="宋体" w:cs="宋体"/>
          <w:bCs/>
          <w:color w:val="000000"/>
          <w:sz w:val="21"/>
          <w:szCs w:val="21"/>
        </w:rPr>
      </w:pPr>
      <w:r>
        <w:rPr>
          <w:rFonts w:hint="eastAsia" w:ascii="宋体" w:hAnsi="宋体" w:eastAsia="宋体" w:cs="宋体"/>
          <w:b/>
          <w:color w:val="000000"/>
          <w:sz w:val="21"/>
          <w:szCs w:val="21"/>
        </w:rPr>
        <w:t>★（2）</w:t>
      </w:r>
      <w:r>
        <w:rPr>
          <w:rFonts w:hint="eastAsia" w:ascii="宋体" w:hAnsi="宋体" w:eastAsia="宋体" w:cs="宋体"/>
          <w:bCs/>
          <w:color w:val="000000"/>
          <w:sz w:val="21"/>
          <w:szCs w:val="21"/>
        </w:rPr>
        <w:t xml:space="preserve">中央空调联网计时型温控器需求： </w:t>
      </w:r>
    </w:p>
    <w:p w14:paraId="35B2F4D5">
      <w:pPr>
        <w:widowControl/>
        <w:spacing w:line="360" w:lineRule="auto"/>
        <w:ind w:left="284"/>
        <w:jc w:val="left"/>
        <w:rPr>
          <w:rFonts w:ascii="宋体" w:hAnsi="宋体" w:eastAsia="宋体" w:cs="宋体"/>
          <w:bCs/>
          <w:color w:val="000000"/>
          <w:sz w:val="21"/>
          <w:szCs w:val="21"/>
        </w:rPr>
      </w:pPr>
      <w:r>
        <w:rPr>
          <w:rFonts w:hint="eastAsia" w:ascii="宋体" w:hAnsi="宋体" w:eastAsia="宋体" w:cs="宋体"/>
          <w:bCs/>
          <w:color w:val="000000"/>
          <w:sz w:val="21"/>
          <w:szCs w:val="21"/>
        </w:rPr>
        <w:t>A、基本功能：</w:t>
      </w:r>
    </w:p>
    <w:p w14:paraId="4FDBB02D">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1）电子式液晶中央空调温控器</w:t>
      </w:r>
    </w:p>
    <w:p w14:paraId="20D01467">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2）内置感温元件：NTC；</w:t>
      </w:r>
    </w:p>
    <w:p w14:paraId="329ED9D7">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3）可设定温度范围：5℃~35℃；</w:t>
      </w:r>
    </w:p>
    <w:p w14:paraId="4995BE53">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4）控温精度：±1℃；</w:t>
      </w:r>
    </w:p>
    <w:p w14:paraId="228C6A4C">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5）有高、中、低、自动风速设定；</w:t>
      </w:r>
    </w:p>
    <w:p w14:paraId="3900C8B2">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6）自耗功率：&lt;1W；</w:t>
      </w:r>
    </w:p>
    <w:p w14:paraId="34AA91C0">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7）工作电压：200-240VAC，50/60HZ；</w:t>
      </w:r>
    </w:p>
    <w:p w14:paraId="243BCF3D">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8）负载电流：≤3A；</w:t>
      </w:r>
    </w:p>
    <w:p w14:paraId="5572CE59">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9）外壳材料：PC+ABS（阻燃）；</w:t>
      </w:r>
    </w:p>
    <w:p w14:paraId="6AFC99A5">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10）外形尺寸：86X86X13mm（标准86盒）；</w:t>
      </w:r>
    </w:p>
    <w:p w14:paraId="0D839997">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11）高中低风速三挡应具有自复位的过电流短路保护装置。</w:t>
      </w:r>
    </w:p>
    <w:p w14:paraId="37EFA386">
      <w:pPr>
        <w:widowControl/>
        <w:spacing w:line="360" w:lineRule="auto"/>
        <w:jc w:val="left"/>
        <w:rPr>
          <w:rFonts w:ascii="宋体" w:hAnsi="宋体" w:eastAsia="宋体" w:cs="宋体"/>
          <w:bCs/>
          <w:color w:val="000000"/>
          <w:sz w:val="21"/>
          <w:szCs w:val="21"/>
        </w:rPr>
      </w:pPr>
      <w:r>
        <w:rPr>
          <w:rFonts w:hint="eastAsia" w:ascii="宋体" w:hAnsi="宋体" w:eastAsia="宋体" w:cs="宋体"/>
          <w:bCs/>
          <w:color w:val="000000"/>
          <w:sz w:val="21"/>
          <w:szCs w:val="21"/>
        </w:rPr>
        <w:t>B、其他常规功能：</w:t>
      </w:r>
    </w:p>
    <w:p w14:paraId="2901A3A2">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 xml:space="preserve">1）通讯方式：温控器内置4G无线通信模块； </w:t>
      </w:r>
    </w:p>
    <w:p w14:paraId="31AFC7B8">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2）前置面板激光刻印大学城能源公司商标LOGO和客服电话400-8876-540；</w:t>
      </w:r>
    </w:p>
    <w:p w14:paraId="2A9A0A2D">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3）具有记忆功能，能设定在开机状态下断电重启后选择是关机状态还是开机状态；</w:t>
      </w:r>
    </w:p>
    <w:p w14:paraId="13B20A93">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4）具有远程调温功能和远程限温功能，系统下发可调温度区间命令后，则用户只能在温控器限定的温度区间进行调温，例如限定用户只能在22℃~28℃区间内调温，区间外的调温不能操作。</w:t>
      </w:r>
    </w:p>
    <w:p w14:paraId="0C0BF2A7">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5）具有远程调风速档功能和远程限风速档功能，例如系统下发限中档命令后，则用户不能操作其他档位，风速限定在中档；</w:t>
      </w:r>
    </w:p>
    <w:p w14:paraId="393643D3">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6）具有远程开关温控器功能；</w:t>
      </w:r>
    </w:p>
    <w:p w14:paraId="76E9CA1A">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7）具有远程锁定功能，下发远程锁定命令后，除开关外其余功能全部锁定，例如禁止调温，禁止调档，用户只能开和关；</w:t>
      </w:r>
    </w:p>
    <w:p w14:paraId="1330FE68">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8）具有远程禁用功能，下发远程禁用命令后，全部功能禁用，用户在温控器面板不能任何操作包括开关操作，取消禁用操作后温控器处于关机待机状态；</w:t>
      </w:r>
    </w:p>
    <w:p w14:paraId="5B674A56">
      <w:pPr>
        <w:widowControl/>
        <w:spacing w:line="360" w:lineRule="auto"/>
        <w:ind w:left="567"/>
        <w:jc w:val="left"/>
        <w:rPr>
          <w:rFonts w:ascii="宋体" w:hAnsi="宋体" w:eastAsia="宋体" w:cs="宋体"/>
          <w:bCs/>
          <w:color w:val="000000"/>
          <w:sz w:val="21"/>
          <w:szCs w:val="21"/>
        </w:rPr>
      </w:pPr>
      <w:r>
        <w:rPr>
          <w:rFonts w:hint="eastAsia" w:ascii="宋体" w:hAnsi="宋体" w:eastAsia="宋体" w:cs="宋体"/>
          <w:bCs/>
          <w:color w:val="000000"/>
          <w:sz w:val="21"/>
          <w:szCs w:val="21"/>
        </w:rPr>
        <w:t>9）液晶面板能切换显示六位数累计时间和六位数剩余时间，显示单位是小时，远程读取的单位精确到分钟；</w:t>
      </w:r>
    </w:p>
    <w:p w14:paraId="2E779CDE">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10）温控器兼容两种计时方式，风机计时和二通阀当量时间计时，可通过本地按键操作切换计时方式。风机计时方式为开机即开风机进行计时，关机即关风机结束计时，二通阀当量时间计时方式为采集二通阀通断的累计时间；</w:t>
      </w:r>
    </w:p>
    <w:p w14:paraId="5E651CBE">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11）累计时间和剩余时间都具有储存和远程读写功能，即使网络断线也不影响就地使用，累计时间为递增，剩余时间为递减，当递减为0时能自动关闭并禁用温控器；</w:t>
      </w:r>
    </w:p>
    <w:p w14:paraId="6E69E480">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 xml:space="preserve">12）温控器本地能储存三挡风速系数和22℃~28℃的温度系数，能远程读写。风机计时方式的累计时间和剩余时间由高中低三挡风机运行采集时间乘以温度系数和风速系数得出，二通阀当量时间计时方式的累计时间和剩余时间由高中低三挡二通阀运行采集时间乘以风速系数得出，即得出的累计时间和剩余时间是折算成26℃低档标准节能工况下的时间； </w:t>
      </w:r>
    </w:p>
    <w:p w14:paraId="03FC46C9">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13）加密芯片功能：电源部分无法通过简单电平信号控制，需要面板进行加密数据通信，才可正常进行风机和阀门控制。</w:t>
      </w:r>
    </w:p>
    <w:p w14:paraId="1F13FE91">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14）防盗装置：温控器应具有防拆功能，内三角防盗螺丝封装或设置防盗铅封装置（专用标记及编码由中标人提供）。</w:t>
      </w:r>
    </w:p>
    <w:p w14:paraId="25533265">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15）状态主动上报功能：温控器需具备定时主动上报状态的功能，方便后台查询温控器的实时状态。</w:t>
      </w:r>
    </w:p>
    <w:p w14:paraId="105909B3">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16）运营服务商：</w:t>
      </w:r>
      <w:r>
        <w:rPr>
          <w:rFonts w:ascii="宋体" w:hAnsi="宋体" w:eastAsia="宋体" w:cs="宋体"/>
          <w:bCs/>
          <w:color w:val="000000"/>
          <w:sz w:val="21"/>
          <w:szCs w:val="21"/>
        </w:rPr>
        <w:t>5</w:t>
      </w:r>
      <w:r>
        <w:rPr>
          <w:rFonts w:hint="eastAsia" w:ascii="宋体" w:hAnsi="宋体" w:eastAsia="宋体" w:cs="宋体"/>
          <w:bCs/>
          <w:color w:val="000000"/>
          <w:sz w:val="21"/>
          <w:szCs w:val="21"/>
        </w:rPr>
        <w:t>年或以上物联网温控器数据通信服务（每台温控器的流量不低于500M/年）。</w:t>
      </w:r>
    </w:p>
    <w:p w14:paraId="305E7B37">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17）在线升级功能：本定制温控器应具备在线升级表内内置系统的功能，质保期内需提供免费的的维护保养以及表内内置系统升级。</w:t>
      </w:r>
    </w:p>
    <w:p w14:paraId="2399A01B">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18）备用温控器流转：购方负责拆下并邮寄到中标方进行更换或维修，来回运费由中标方负责，修复或更换的新温控器需10日内寄回采购方，时间戳点以收货时间为准。中标方免费提供2%总量温控器备表存放在采购方作维修更换流转使用，故障表由采购方寄回给中标方。</w:t>
      </w:r>
    </w:p>
    <w:p w14:paraId="2E707E69">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19）中标方需要在两周内对接完成，满足物联网温控器管理平台软件功能要求（</w:t>
      </w:r>
      <w:r>
        <w:rPr>
          <w:rFonts w:hint="eastAsia" w:ascii="宋体" w:hAnsi="宋体" w:eastAsia="宋体" w:cs="宋体"/>
          <w:sz w:val="21"/>
          <w:szCs w:val="21"/>
        </w:rPr>
        <w:t>附件：物联网温控器管理平台软件功能介绍</w:t>
      </w:r>
      <w:r>
        <w:rPr>
          <w:rFonts w:hint="eastAsia" w:ascii="宋体" w:hAnsi="宋体" w:eastAsia="宋体" w:cs="宋体"/>
          <w:bCs/>
          <w:color w:val="000000"/>
          <w:sz w:val="21"/>
          <w:szCs w:val="21"/>
        </w:rPr>
        <w:t>）。</w:t>
      </w:r>
    </w:p>
    <w:p w14:paraId="7DE41826">
      <w:pPr>
        <w:spacing w:line="360" w:lineRule="auto"/>
        <w:rPr>
          <w:rFonts w:ascii="宋体" w:hAnsi="宋体" w:eastAsia="宋体" w:cs="宋体"/>
          <w:b/>
          <w:bCs/>
          <w:color w:val="000000"/>
          <w:sz w:val="21"/>
          <w:szCs w:val="21"/>
        </w:rPr>
      </w:pPr>
    </w:p>
    <w:p w14:paraId="2263A87F">
      <w:pPr>
        <w:rPr>
          <w:rFonts w:ascii="宋体" w:hAnsi="宋体" w:eastAsia="宋体" w:cs="宋体"/>
          <w:sz w:val="21"/>
          <w:szCs w:val="21"/>
        </w:rPr>
      </w:pPr>
      <w:r>
        <w:rPr>
          <w:rFonts w:hint="eastAsia" w:ascii="宋体" w:hAnsi="宋体" w:eastAsia="宋体" w:cs="宋体"/>
          <w:sz w:val="21"/>
          <w:szCs w:val="21"/>
        </w:rPr>
        <w:t>4、温控器质量要求</w:t>
      </w:r>
    </w:p>
    <w:p w14:paraId="5B2B53DD">
      <w:pPr>
        <w:widowControl/>
        <w:spacing w:line="360" w:lineRule="auto"/>
        <w:ind w:left="426" w:firstLine="420" w:firstLineChars="200"/>
        <w:jc w:val="left"/>
        <w:rPr>
          <w:rFonts w:ascii="宋体" w:hAnsi="宋体" w:eastAsia="宋体" w:cs="宋体"/>
          <w:bCs/>
          <w:color w:val="000000"/>
          <w:sz w:val="21"/>
          <w:szCs w:val="21"/>
        </w:rPr>
      </w:pPr>
      <w:r>
        <w:rPr>
          <w:rFonts w:hint="eastAsia" w:ascii="宋体" w:hAnsi="宋体" w:eastAsia="宋体" w:cs="宋体"/>
          <w:bCs/>
          <w:color w:val="000000"/>
          <w:sz w:val="21"/>
          <w:szCs w:val="21"/>
        </w:rPr>
        <w:t>本项目定制温控器要求质保期不少于（含）</w:t>
      </w:r>
      <w:r>
        <w:rPr>
          <w:rFonts w:ascii="宋体" w:hAnsi="宋体" w:eastAsia="宋体" w:cs="宋体"/>
          <w:bCs/>
          <w:color w:val="000000"/>
          <w:sz w:val="21"/>
          <w:szCs w:val="21"/>
        </w:rPr>
        <w:t>5</w:t>
      </w:r>
      <w:r>
        <w:rPr>
          <w:rFonts w:hint="eastAsia" w:ascii="宋体" w:hAnsi="宋体" w:eastAsia="宋体" w:cs="宋体"/>
          <w:bCs/>
          <w:color w:val="000000"/>
          <w:sz w:val="21"/>
          <w:szCs w:val="21"/>
        </w:rPr>
        <w:t>年。温控器应使用寿命长、故障率低，性能稳定，质保期内发生故障，除人为破坏外，温控器故障台数占总在用温控器数量的1%/年以下。</w:t>
      </w:r>
    </w:p>
    <w:p w14:paraId="275F1DC6">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故障率考核计算公式为：</w:t>
      </w:r>
    </w:p>
    <w:p w14:paraId="61FCC7F7">
      <w:pPr>
        <w:widowControl/>
        <w:spacing w:line="360" w:lineRule="auto"/>
        <w:ind w:left="426"/>
        <w:jc w:val="left"/>
        <w:rPr>
          <w:rFonts w:ascii="宋体" w:hAnsi="宋体" w:eastAsia="宋体" w:cs="宋体"/>
          <w:bCs/>
          <w:color w:val="000000"/>
          <w:sz w:val="21"/>
          <w:szCs w:val="21"/>
        </w:rPr>
      </w:pPr>
      <w:r>
        <w:rPr>
          <w:rFonts w:hint="eastAsia" w:ascii="宋体" w:hAnsi="宋体" w:eastAsia="宋体" w:cs="宋体"/>
          <w:bCs/>
          <w:color w:val="000000"/>
          <w:sz w:val="21"/>
          <w:szCs w:val="21"/>
        </w:rPr>
        <w:t>当年由于产品质量导致温控器故障数量/本项目共投入使用温控器的总数≤1%；</w:t>
      </w:r>
    </w:p>
    <w:p w14:paraId="3CC0300A">
      <w:pPr>
        <w:spacing w:line="360" w:lineRule="auto"/>
        <w:rPr>
          <w:rFonts w:ascii="宋体" w:hAnsi="宋体" w:eastAsia="宋体" w:cs="宋体"/>
          <w:sz w:val="21"/>
          <w:szCs w:val="21"/>
        </w:rPr>
      </w:pPr>
    </w:p>
    <w:p w14:paraId="40CA32A6">
      <w:pPr>
        <w:spacing w:line="360" w:lineRule="auto"/>
        <w:ind w:left="420"/>
        <w:rPr>
          <w:rFonts w:ascii="宋体" w:hAnsi="宋体" w:eastAsia="宋体" w:cs="宋体"/>
          <w:b/>
          <w:sz w:val="21"/>
          <w:szCs w:val="21"/>
        </w:rPr>
      </w:pPr>
      <w:r>
        <w:rPr>
          <w:rFonts w:hint="eastAsia" w:ascii="宋体" w:hAnsi="宋体" w:eastAsia="宋体" w:cs="宋体"/>
          <w:b/>
          <w:sz w:val="21"/>
          <w:szCs w:val="21"/>
        </w:rPr>
        <w:t>四、交货期及工期要求</w:t>
      </w:r>
    </w:p>
    <w:p w14:paraId="0FBCAC68">
      <w:pPr>
        <w:ind w:firstLine="420" w:firstLineChars="200"/>
        <w:rPr>
          <w:rFonts w:ascii="宋体" w:hAnsi="宋体" w:eastAsia="宋体" w:cs="宋体"/>
          <w:sz w:val="21"/>
          <w:szCs w:val="21"/>
        </w:rPr>
      </w:pPr>
      <w:r>
        <w:rPr>
          <w:rFonts w:hint="eastAsia" w:ascii="宋体" w:hAnsi="宋体" w:eastAsia="宋体" w:cs="宋体"/>
          <w:sz w:val="21"/>
          <w:szCs w:val="21"/>
        </w:rPr>
        <w:t xml:space="preserve">   合同签订后</w:t>
      </w:r>
      <w:r>
        <w:rPr>
          <w:rFonts w:ascii="宋体" w:hAnsi="宋体" w:eastAsia="宋体" w:cs="宋体"/>
          <w:sz w:val="21"/>
          <w:szCs w:val="21"/>
        </w:rPr>
        <w:t>20</w:t>
      </w:r>
      <w:r>
        <w:rPr>
          <w:rFonts w:hint="eastAsia" w:ascii="宋体" w:hAnsi="宋体" w:eastAsia="宋体" w:cs="宋体"/>
          <w:sz w:val="21"/>
          <w:szCs w:val="21"/>
        </w:rPr>
        <w:t>个自然天内交货。</w:t>
      </w:r>
    </w:p>
    <w:p w14:paraId="4D870B02">
      <w:pPr>
        <w:rPr>
          <w:rFonts w:hint="eastAsia" w:asciiTheme="minorEastAsia" w:hAnsiTheme="minorEastAsia" w:cstheme="minorEastAsia"/>
          <w:sz w:val="24"/>
        </w:rPr>
      </w:pPr>
    </w:p>
    <w:p w14:paraId="148905A9">
      <w:pPr>
        <w:rPr>
          <w:rFonts w:hint="eastAsia" w:asciiTheme="minorEastAsia" w:hAnsiTheme="minorEastAsia" w:cstheme="minorEastAsia"/>
          <w:sz w:val="24"/>
          <w:lang w:val="en-US" w:eastAsia="zh-CN"/>
        </w:rPr>
        <w:sectPr>
          <w:pgSz w:w="11906" w:h="16838"/>
          <w:pgMar w:top="1440" w:right="1800" w:bottom="1440" w:left="1800" w:header="851" w:footer="992" w:gutter="0"/>
          <w:cols w:space="720" w:num="1"/>
          <w:docGrid w:type="lines" w:linePitch="312" w:charSpace="0"/>
        </w:sectPr>
      </w:pPr>
    </w:p>
    <w:p w14:paraId="553126D3">
      <w:pP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附件1.2</w:t>
      </w:r>
    </w:p>
    <w:p w14:paraId="01166923">
      <w:pPr>
        <w:spacing w:line="360" w:lineRule="auto"/>
        <w:ind w:firstLine="1680" w:firstLineChars="700"/>
        <w:rPr>
          <w:rFonts w:ascii="宋体" w:hAnsi="宋体" w:cs="宋体"/>
          <w:sz w:val="24"/>
          <w:szCs w:val="24"/>
        </w:rPr>
      </w:pPr>
      <w:bookmarkStart w:id="1" w:name="_Toc182816544"/>
      <w:bookmarkStart w:id="2" w:name="_Toc76742082"/>
      <w:bookmarkStart w:id="3" w:name="_Toc77259501"/>
      <w:bookmarkStart w:id="4" w:name="_Toc80606207"/>
      <w:bookmarkStart w:id="5" w:name="_Toc77154819"/>
      <w:bookmarkStart w:id="6" w:name="_Toc77259428"/>
      <w:r>
        <w:rPr>
          <w:rFonts w:hint="eastAsia" w:ascii="宋体" w:hAnsi="宋体" w:cs="宋体"/>
          <w:sz w:val="24"/>
          <w:szCs w:val="24"/>
        </w:rPr>
        <w:t>物联网温控器管理平台软件功能介绍</w:t>
      </w:r>
    </w:p>
    <w:p w14:paraId="5E081205">
      <w:pPr>
        <w:pStyle w:val="12"/>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1、管理软件和手机微信小程序</w:t>
      </w:r>
    </w:p>
    <w:p w14:paraId="050E1DA3">
      <w:pPr>
        <w:tabs>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（1）系统管理软件功能特点：</w:t>
      </w:r>
    </w:p>
    <w:p w14:paraId="7E28AA29">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多功能应用平台，支持中央空调综合计费管理；支持空调冷/热量使用时间的数据采集、分析、管理、控制等；支持中央空调风机盘管的监控及盘管机的通断电等；</w:t>
      </w:r>
    </w:p>
    <w:p w14:paraId="0EF7A9C1">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系统实时采集显示空调等各种数据，并根据要求自动存储于数据库；</w:t>
      </w:r>
    </w:p>
    <w:p w14:paraId="66B30463">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系统支持阀控功能，可根据具体应用情况完成自动控制末端温控器开关电源等操作；</w:t>
      </w:r>
    </w:p>
    <w:p w14:paraId="66FD62D6">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系统支持多种接口、多种协议功能的仪表的组网，包括M-BUS,485接口，及188协议、Zigbee、Modbus、Lora 、NBiot、4G LTE CAT1等常用通讯方式的协议；</w:t>
      </w:r>
    </w:p>
    <w:p w14:paraId="31ABEDE1">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系统具备完善的查询、检索功能，包括对楼层、数据时间、计费类型、用户编号、用户姓名等条件的过滤功能，管理员可以方便快捷地查找到数据。查询检索条件可选；</w:t>
      </w:r>
    </w:p>
    <w:p w14:paraId="776CBEC7">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系统可对各种计量表计、数据采集器、网络参数、进行配置；</w:t>
      </w:r>
    </w:p>
    <w:p w14:paraId="131ED0CA">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系统实时监控所有设备（计量表计、数据采集器、网络状态）的运行状况，并生成系统运行日志，严重异常系统将自动报警；</w:t>
      </w:r>
    </w:p>
    <w:p w14:paraId="7F7A351D">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系统支持多权限的设置，可具体地设定各级别的操作员的每一项权限，比仅按此操作员级别进行权限设置的方式更灵活；</w:t>
      </w:r>
    </w:p>
    <w:p w14:paraId="2FBC2771">
      <w:pPr>
        <w:tabs>
          <w:tab w:val="left" w:pos="720"/>
          <w:tab w:val="left" w:pos="2211"/>
        </w:tabs>
        <w:snapToGrid w:val="0"/>
        <w:spacing w:line="360" w:lineRule="auto"/>
        <w:ind w:left="603"/>
        <w:rPr>
          <w:rFonts w:hint="eastAsia" w:ascii="宋体" w:hAnsi="宋体" w:eastAsia="宋体" w:cs="宋体"/>
          <w:bCs/>
          <w:sz w:val="21"/>
          <w:szCs w:val="21"/>
        </w:rPr>
      </w:pPr>
    </w:p>
    <w:p w14:paraId="3569157D">
      <w:pPr>
        <w:tabs>
          <w:tab w:val="left" w:pos="720"/>
          <w:tab w:val="left" w:pos="960"/>
          <w:tab w:val="left" w:pos="2211"/>
        </w:tabs>
        <w:snapToGrid w:val="0"/>
        <w:spacing w:line="360" w:lineRule="auto"/>
        <w:ind w:left="603"/>
        <w:rPr>
          <w:rFonts w:hint="eastAsia" w:ascii="宋体" w:hAnsi="宋体" w:eastAsia="宋体" w:cs="宋体"/>
          <w:bCs/>
          <w:sz w:val="21"/>
          <w:szCs w:val="21"/>
        </w:rPr>
      </w:pPr>
      <w:r>
        <w:rPr>
          <w:rFonts w:hint="eastAsia" w:ascii="宋体" w:hAnsi="宋体" w:eastAsia="宋体" w:cs="宋体"/>
          <w:bCs/>
          <w:sz w:val="21"/>
          <w:szCs w:val="21"/>
        </w:rPr>
        <w:t>（2）手机小程序</w:t>
      </w:r>
    </w:p>
    <w:p w14:paraId="545C4A42">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每个用户都可注册一个个人用户账号，每间宿舍的温控器绑定一个公共账号，个人用户账号对公共账号进行充值和退款的操作，公共账号的余额关联温控器的可使用时间。</w:t>
      </w:r>
    </w:p>
    <w:p w14:paraId="6BF7A6F3">
      <w:pPr>
        <w:numPr>
          <w:ilvl w:val="0"/>
          <w:numId w:val="20"/>
        </w:numPr>
        <w:tabs>
          <w:tab w:val="left" w:pos="720"/>
          <w:tab w:val="left" w:pos="2211"/>
        </w:tabs>
        <w:snapToGrid w:val="0"/>
        <w:spacing w:line="360" w:lineRule="auto"/>
        <w:ind w:left="-97" w:leftChars="-46" w:firstLine="525" w:firstLineChars="250"/>
        <w:rPr>
          <w:rFonts w:hint="eastAsia" w:ascii="宋体" w:hAnsi="宋体" w:eastAsia="宋体" w:cs="宋体"/>
          <w:bCs/>
          <w:sz w:val="21"/>
          <w:szCs w:val="21"/>
        </w:rPr>
      </w:pPr>
      <w:r>
        <w:rPr>
          <w:rFonts w:hint="eastAsia" w:ascii="宋体" w:hAnsi="宋体" w:eastAsia="宋体" w:cs="宋体"/>
          <w:bCs/>
          <w:sz w:val="21"/>
          <w:szCs w:val="21"/>
        </w:rPr>
        <w:t>在后台选择了启用计费的温控器才需要充值，没有启用计费的温控器免费使用。</w:t>
      </w:r>
    </w:p>
    <w:p w14:paraId="222AE39F">
      <w:pPr>
        <w:spacing w:line="360" w:lineRule="auto"/>
        <w:rPr>
          <w:rFonts w:hint="eastAsia" w:ascii="宋体" w:hAnsi="宋体" w:eastAsia="宋体" w:cs="宋体"/>
          <w:b/>
          <w:sz w:val="21"/>
          <w:szCs w:val="21"/>
        </w:rPr>
      </w:pPr>
      <w:r>
        <w:rPr>
          <w:rFonts w:hint="eastAsia" w:ascii="宋体" w:hAnsi="宋体" w:eastAsia="宋体" w:cs="宋体"/>
          <w:b/>
          <w:sz w:val="21"/>
          <w:szCs w:val="21"/>
        </w:rPr>
        <w:t>小程序示意图：</w:t>
      </w:r>
    </w:p>
    <w:p w14:paraId="510C2FC3">
      <w:pPr>
        <w:spacing w:line="360" w:lineRule="auto"/>
        <w:jc w:val="center"/>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2021840" cy="3599180"/>
            <wp:effectExtent l="128270" t="90170" r="326390" b="330200"/>
            <wp:docPr id="3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6375" cy="3660726"/>
                    </a:xfrm>
                    <a:prstGeom prst="rect">
                      <a:avLst/>
                    </a:prstGeom>
                    <a:ln>
                      <a:noFill/>
                    </a:ln>
                    <a:effectLst>
                      <a:outerShdw blurRad="292100" dist="139700" dir="2700000" algn="tl" rotWithShape="0">
                        <a:srgbClr val="333333">
                          <a:alpha val="65000"/>
                        </a:srgbClr>
                      </a:outerShdw>
                    </a:effectLst>
                  </pic:spPr>
                </pic:pic>
              </a:graphicData>
            </a:graphic>
          </wp:inline>
        </w:drawing>
      </w:r>
      <w:r>
        <w:rPr>
          <w:rFonts w:hint="eastAsia" w:ascii="宋体" w:hAnsi="宋体" w:eastAsia="宋体" w:cs="宋体"/>
          <w:sz w:val="21"/>
          <w:szCs w:val="21"/>
        </w:rPr>
        <w:drawing>
          <wp:inline distT="0" distB="0" distL="0" distR="0">
            <wp:extent cx="1995805" cy="3552825"/>
            <wp:effectExtent l="128270" t="90170" r="333375" b="338455"/>
            <wp:docPr id="3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8076" cy="3610202"/>
                    </a:xfrm>
                    <a:prstGeom prst="rect">
                      <a:avLst/>
                    </a:prstGeom>
                    <a:ln>
                      <a:noFill/>
                    </a:ln>
                    <a:effectLst>
                      <a:outerShdw blurRad="292100" dist="139700" dir="2700000" algn="tl" rotWithShape="0">
                        <a:srgbClr val="333333">
                          <a:alpha val="65000"/>
                        </a:srgbClr>
                      </a:outerShdw>
                    </a:effectLst>
                  </pic:spPr>
                </pic:pic>
              </a:graphicData>
            </a:graphic>
          </wp:inline>
        </w:drawing>
      </w:r>
    </w:p>
    <w:p w14:paraId="277E78A7">
      <w:pPr>
        <w:spacing w:line="360" w:lineRule="auto"/>
        <w:jc w:val="center"/>
        <w:rPr>
          <w:rFonts w:hint="eastAsia" w:ascii="宋体" w:hAnsi="宋体" w:eastAsia="宋体" w:cs="宋体"/>
          <w:sz w:val="21"/>
          <w:szCs w:val="21"/>
        </w:rPr>
      </w:pPr>
    </w:p>
    <w:p w14:paraId="0F038F78">
      <w:pPr>
        <w:spacing w:line="360" w:lineRule="auto"/>
        <w:jc w:val="center"/>
        <w:rPr>
          <w:rFonts w:hint="eastAsia" w:ascii="宋体" w:hAnsi="宋体" w:eastAsia="宋体" w:cs="宋体"/>
          <w:sz w:val="21"/>
          <w:szCs w:val="21"/>
        </w:rPr>
      </w:pPr>
    </w:p>
    <w:p w14:paraId="14AF25A9">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2、系统安全防护</w:t>
      </w:r>
    </w:p>
    <w:p w14:paraId="60AAAAEB">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安全定级</w:t>
      </w:r>
    </w:p>
    <w:p w14:paraId="031440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平台按等级保护三级的安全标准建设。</w:t>
      </w:r>
    </w:p>
    <w:p w14:paraId="70FCE8D6">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物理安全</w:t>
      </w:r>
    </w:p>
    <w:p w14:paraId="4397044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参考现有机房物理安全标准。</w:t>
      </w:r>
    </w:p>
    <w:p w14:paraId="614C601D">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网络安全</w:t>
      </w:r>
    </w:p>
    <w:p w14:paraId="4DBC99C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在城投现有网络环境部署。</w:t>
      </w:r>
    </w:p>
    <w:p w14:paraId="74CA913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WEB服务器安全，部署在防火墙后，只开放https应用指定端口。</w:t>
      </w:r>
    </w:p>
    <w:p w14:paraId="6EF787D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支付网关安全，部署在防火墙后，与第三方支付绑定限定IP对接。</w:t>
      </w:r>
    </w:p>
    <w:p w14:paraId="5D1E99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末端设备接口前置安全，部署在防火墙后，使用报文MAC核验请求合法性。</w:t>
      </w:r>
    </w:p>
    <w:p w14:paraId="1965FC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外系统接口前置安全，部署在防火墙后，与各高校能耗平台绑定IP对接。</w:t>
      </w:r>
    </w:p>
    <w:p w14:paraId="3393CD44">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内部网络安全策略</w:t>
      </w:r>
    </w:p>
    <w:p w14:paraId="7CD8D60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各服务器之间使用内部IP地址进行通信。</w:t>
      </w:r>
    </w:p>
    <w:p w14:paraId="2243981B">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操作系统</w:t>
      </w:r>
    </w:p>
    <w:p w14:paraId="3D9F47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操作系统安全是系统安全和网络安全的基础。操作系统应提供用户身份认证、资源权限划分、访问控制和日志审计等手段，保护信息资源不被非法访问和使用。</w:t>
      </w:r>
    </w:p>
    <w:p w14:paraId="126BA6BF">
      <w:pPr>
        <w:numPr>
          <w:ilvl w:val="0"/>
          <w:numId w:val="21"/>
        </w:numPr>
        <w:spacing w:line="360" w:lineRule="auto"/>
        <w:rPr>
          <w:rFonts w:hint="eastAsia" w:ascii="宋体" w:hAnsi="宋体" w:eastAsia="宋体" w:cs="宋体"/>
          <w:sz w:val="21"/>
          <w:szCs w:val="21"/>
        </w:rPr>
      </w:pPr>
      <w:r>
        <w:rPr>
          <w:rFonts w:hint="eastAsia" w:ascii="宋体" w:hAnsi="宋体" w:eastAsia="宋体" w:cs="宋体"/>
          <w:sz w:val="21"/>
          <w:szCs w:val="21"/>
        </w:rPr>
        <w:t>关闭root用户远程登录，关闭telnet，ftp端口。</w:t>
      </w:r>
    </w:p>
    <w:p w14:paraId="20908C76">
      <w:pPr>
        <w:numPr>
          <w:ilvl w:val="0"/>
          <w:numId w:val="21"/>
        </w:numPr>
        <w:spacing w:line="360" w:lineRule="auto"/>
        <w:rPr>
          <w:rFonts w:hint="eastAsia" w:ascii="宋体" w:hAnsi="宋体" w:eastAsia="宋体" w:cs="宋体"/>
          <w:sz w:val="21"/>
          <w:szCs w:val="21"/>
        </w:rPr>
      </w:pPr>
      <w:r>
        <w:rPr>
          <w:rFonts w:hint="eastAsia" w:ascii="宋体" w:hAnsi="宋体" w:eastAsia="宋体" w:cs="宋体"/>
          <w:sz w:val="21"/>
          <w:szCs w:val="21"/>
        </w:rPr>
        <w:t>常用SSH端口通过防火墙映射为其他端口。</w:t>
      </w:r>
    </w:p>
    <w:p w14:paraId="29FB7932">
      <w:pPr>
        <w:numPr>
          <w:ilvl w:val="0"/>
          <w:numId w:val="21"/>
        </w:numPr>
        <w:spacing w:line="360" w:lineRule="auto"/>
        <w:rPr>
          <w:rFonts w:hint="eastAsia" w:ascii="宋体" w:hAnsi="宋体" w:eastAsia="宋体" w:cs="宋体"/>
          <w:sz w:val="21"/>
          <w:szCs w:val="21"/>
        </w:rPr>
      </w:pPr>
      <w:r>
        <w:rPr>
          <w:rFonts w:hint="eastAsia" w:ascii="宋体" w:hAnsi="宋体" w:eastAsia="宋体" w:cs="宋体"/>
          <w:sz w:val="21"/>
          <w:szCs w:val="21"/>
        </w:rPr>
        <w:t>区分日志查询用户、运行用户权限。</w:t>
      </w:r>
    </w:p>
    <w:p w14:paraId="2894F365">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数据库安全</w:t>
      </w:r>
    </w:p>
    <w:p w14:paraId="28C74D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数据库安全关系到公司业务基础数据安全和用户隐私安全，我们将采用以下措施保障数据库的安全性：</w:t>
      </w:r>
    </w:p>
    <w:p w14:paraId="5F966E60">
      <w:pPr>
        <w:numPr>
          <w:ilvl w:val="0"/>
          <w:numId w:val="22"/>
        </w:numPr>
        <w:spacing w:line="360" w:lineRule="auto"/>
        <w:rPr>
          <w:rFonts w:hint="eastAsia" w:ascii="宋体" w:hAnsi="宋体" w:eastAsia="宋体" w:cs="宋体"/>
          <w:sz w:val="21"/>
          <w:szCs w:val="21"/>
        </w:rPr>
      </w:pPr>
      <w:r>
        <w:rPr>
          <w:rFonts w:hint="eastAsia" w:ascii="宋体" w:hAnsi="宋体" w:eastAsia="宋体" w:cs="宋体"/>
          <w:sz w:val="21"/>
          <w:szCs w:val="21"/>
        </w:rPr>
        <w:t>关闭root用户远程登录。</w:t>
      </w:r>
    </w:p>
    <w:p w14:paraId="04C6E6B1">
      <w:pPr>
        <w:numPr>
          <w:ilvl w:val="0"/>
          <w:numId w:val="22"/>
        </w:numPr>
        <w:spacing w:line="360" w:lineRule="auto"/>
        <w:rPr>
          <w:rFonts w:hint="eastAsia" w:ascii="宋体" w:hAnsi="宋体" w:eastAsia="宋体" w:cs="宋体"/>
          <w:sz w:val="21"/>
          <w:szCs w:val="21"/>
        </w:rPr>
      </w:pPr>
      <w:r>
        <w:rPr>
          <w:rFonts w:hint="eastAsia" w:ascii="宋体" w:hAnsi="宋体" w:eastAsia="宋体" w:cs="宋体"/>
          <w:sz w:val="21"/>
          <w:szCs w:val="21"/>
        </w:rPr>
        <w:t>常用数据库端口改为其他端口。</w:t>
      </w:r>
    </w:p>
    <w:p w14:paraId="56D432DB">
      <w:pPr>
        <w:numPr>
          <w:ilvl w:val="0"/>
          <w:numId w:val="22"/>
        </w:numPr>
        <w:spacing w:line="360" w:lineRule="auto"/>
        <w:rPr>
          <w:rFonts w:hint="eastAsia" w:ascii="宋体" w:hAnsi="宋体" w:eastAsia="宋体" w:cs="宋体"/>
          <w:sz w:val="21"/>
          <w:szCs w:val="21"/>
        </w:rPr>
      </w:pPr>
      <w:r>
        <w:rPr>
          <w:rFonts w:hint="eastAsia" w:ascii="宋体" w:hAnsi="宋体" w:eastAsia="宋体" w:cs="宋体"/>
          <w:sz w:val="21"/>
          <w:szCs w:val="21"/>
        </w:rPr>
        <w:t>区分日志查询用户、运行用户权限。</w:t>
      </w:r>
    </w:p>
    <w:p w14:paraId="6823E37E">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应用系统安全</w:t>
      </w:r>
    </w:p>
    <w:p w14:paraId="068AE1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系统采用数据校验、访问控制、用户身份鉴别、用户权限控制等。</w:t>
      </w:r>
    </w:p>
    <w:p w14:paraId="3E40939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应用系统使用https方式连接，并且防止SQL注入。</w:t>
      </w:r>
    </w:p>
    <w:p w14:paraId="3329B8CE">
      <w:pPr>
        <w:keepNext/>
        <w:keepLines/>
        <w:numPr>
          <w:ilvl w:val="3"/>
          <w:numId w:val="0"/>
        </w:numPr>
        <w:spacing w:before="280" w:after="290" w:line="360" w:lineRule="auto"/>
        <w:ind w:left="864" w:hanging="864"/>
        <w:outlineLvl w:val="3"/>
        <w:rPr>
          <w:rFonts w:hint="eastAsia" w:ascii="宋体" w:hAnsi="宋体" w:eastAsia="宋体" w:cs="宋体"/>
          <w:b/>
          <w:bCs/>
          <w:sz w:val="21"/>
          <w:szCs w:val="21"/>
        </w:rPr>
      </w:pPr>
      <w:r>
        <w:rPr>
          <w:rFonts w:hint="eastAsia" w:ascii="宋体" w:hAnsi="宋体" w:eastAsia="宋体" w:cs="宋体"/>
          <w:b/>
          <w:bCs/>
          <w:sz w:val="21"/>
          <w:szCs w:val="21"/>
        </w:rPr>
        <w:t>应用备份</w:t>
      </w:r>
    </w:p>
    <w:p w14:paraId="53336D7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应用服务器备份，云上服务器与本地服务器保持实时同步，正常情况在云服务器承载业务，当云服务器出现故障时，业务主动切换至本地服务器，保证业务可靠性</w:t>
      </w:r>
    </w:p>
    <w:p w14:paraId="245CD2E2">
      <w:pPr>
        <w:spacing w:line="360" w:lineRule="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4962525" cy="3076575"/>
            <wp:effectExtent l="0" t="0" r="9525" b="9525"/>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7" cstate="print"/>
                    <a:stretch>
                      <a:fillRect/>
                    </a:stretch>
                  </pic:blipFill>
                  <pic:spPr>
                    <a:xfrm>
                      <a:off x="0" y="0"/>
                      <a:ext cx="4962525" cy="3076575"/>
                    </a:xfrm>
                    <a:prstGeom prst="rect">
                      <a:avLst/>
                    </a:prstGeom>
                  </pic:spPr>
                </pic:pic>
              </a:graphicData>
            </a:graphic>
          </wp:inline>
        </w:drawing>
      </w:r>
    </w:p>
    <w:p w14:paraId="0EF93FA9">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3、云平台介绍</w:t>
      </w:r>
    </w:p>
    <w:p w14:paraId="23724BAE">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中央空调联网计时型温控器供应商负责终端接入云平台，确保调试成功。</w:t>
      </w:r>
    </w:p>
    <w:p w14:paraId="17FB6F03">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使用模式为每个宿舍舍长或课室负责人通过温控器微信小程序绑定该房间的温控器并充值，金额转到学校的微信账户，同时金额转换成小时数通过网络下发到本地温控器，平台做好账单记录，本地温控器的剩余时间在使用过程中自动递减，到0小时后自动解绑充值的账号，自动关闭并禁用温控器，需要用户重新绑定并充值才能使用温控器。充值的用户使用过程中可以通过手机控制温控器，退款原路退还给充值方。</w:t>
      </w:r>
    </w:p>
    <w:p w14:paraId="4D4DF6E2">
      <w:pPr>
        <w:spacing w:line="360" w:lineRule="auto"/>
        <w:rPr>
          <w:rFonts w:hint="eastAsia" w:ascii="宋体" w:hAnsi="宋体" w:eastAsia="宋体" w:cs="宋体"/>
          <w:bCs/>
          <w:color w:val="000000"/>
          <w:sz w:val="21"/>
          <w:szCs w:val="21"/>
        </w:rPr>
      </w:pPr>
    </w:p>
    <w:p w14:paraId="089B2D5B">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网页端功能包括但不限于以下内容：</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6486"/>
      </w:tblGrid>
      <w:tr w14:paraId="5A7A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18" w:type="dxa"/>
            <w:tcBorders>
              <w:top w:val="single" w:color="auto" w:sz="4" w:space="0"/>
              <w:left w:val="single" w:color="auto" w:sz="4" w:space="0"/>
              <w:bottom w:val="single" w:color="auto" w:sz="4" w:space="0"/>
              <w:right w:val="single" w:color="auto" w:sz="4" w:space="0"/>
            </w:tcBorders>
            <w:shd w:val="clear" w:color="auto" w:fill="BEBEBE"/>
            <w:vAlign w:val="center"/>
          </w:tcPr>
          <w:p w14:paraId="710626DD">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主菜单</w:t>
            </w:r>
          </w:p>
        </w:tc>
        <w:tc>
          <w:tcPr>
            <w:tcW w:w="1418" w:type="dxa"/>
            <w:tcBorders>
              <w:top w:val="single" w:color="auto" w:sz="4" w:space="0"/>
              <w:left w:val="single" w:color="auto" w:sz="4" w:space="0"/>
              <w:bottom w:val="single" w:color="auto" w:sz="4" w:space="0"/>
              <w:right w:val="single" w:color="auto" w:sz="4" w:space="0"/>
            </w:tcBorders>
            <w:shd w:val="clear" w:color="auto" w:fill="BEBEBE"/>
            <w:vAlign w:val="center"/>
          </w:tcPr>
          <w:p w14:paraId="3643D68D">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子菜单</w:t>
            </w:r>
          </w:p>
        </w:tc>
        <w:tc>
          <w:tcPr>
            <w:tcW w:w="6486" w:type="dxa"/>
            <w:tcBorders>
              <w:top w:val="single" w:color="auto" w:sz="4" w:space="0"/>
              <w:left w:val="single" w:color="auto" w:sz="4" w:space="0"/>
              <w:bottom w:val="single" w:color="auto" w:sz="4" w:space="0"/>
              <w:right w:val="single" w:color="auto" w:sz="4" w:space="0"/>
            </w:tcBorders>
            <w:shd w:val="clear" w:color="auto" w:fill="BEBEBE"/>
            <w:vAlign w:val="center"/>
          </w:tcPr>
          <w:p w14:paraId="510FD874">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r>
      <w:tr w14:paraId="0A72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418" w:type="dxa"/>
            <w:vAlign w:val="center"/>
          </w:tcPr>
          <w:p w14:paraId="2626ED34">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总览</w:t>
            </w:r>
          </w:p>
        </w:tc>
        <w:tc>
          <w:tcPr>
            <w:tcW w:w="1418" w:type="dxa"/>
            <w:vAlign w:val="center"/>
          </w:tcPr>
          <w:p w14:paraId="141A9851">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物联网温控器管理平台总览</w:t>
            </w:r>
          </w:p>
        </w:tc>
        <w:tc>
          <w:tcPr>
            <w:tcW w:w="6486" w:type="dxa"/>
            <w:vAlign w:val="center"/>
          </w:tcPr>
          <w:p w14:paraId="251A8005">
            <w:pPr>
              <w:pStyle w:val="23"/>
              <w:ind w:left="473"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能大屏显示，按每栋楼宇分类，包括但不限于以下内容：</w:t>
            </w:r>
          </w:p>
          <w:p w14:paraId="5928E8BA">
            <w:pPr>
              <w:pStyle w:val="23"/>
              <w:numPr>
                <w:ilvl w:val="0"/>
                <w:numId w:val="23"/>
              </w:numPr>
              <w:ind w:left="33" w:firstLine="440"/>
              <w:rPr>
                <w:rFonts w:hint="eastAsia" w:ascii="宋体" w:hAnsi="宋体" w:eastAsia="宋体" w:cs="宋体"/>
                <w:color w:val="000000"/>
                <w:sz w:val="21"/>
                <w:szCs w:val="21"/>
              </w:rPr>
            </w:pPr>
            <w:r>
              <w:rPr>
                <w:rFonts w:hint="eastAsia" w:ascii="宋体" w:hAnsi="宋体" w:eastAsia="宋体" w:cs="宋体"/>
                <w:color w:val="000000"/>
                <w:sz w:val="21"/>
                <w:szCs w:val="21"/>
              </w:rPr>
              <w:t>动态显示时间型温控器的情况：当前开机、关机、离线设备数统计、当前各个房间温控器运行状态的平面示意图，分各层显示，温控器开机是绿色、关机是灰色、离线是红色。温控器图显示室温、设定温度、档位设定、累计时间，只是显示不控制，控制功能在终端控制页面。</w:t>
            </w:r>
          </w:p>
          <w:p w14:paraId="0E84D1D7">
            <w:pPr>
              <w:pStyle w:val="23"/>
              <w:numPr>
                <w:ilvl w:val="0"/>
                <w:numId w:val="23"/>
              </w:numPr>
              <w:ind w:left="33" w:firstLine="440"/>
              <w:rPr>
                <w:rFonts w:hint="eastAsia" w:ascii="宋体" w:hAnsi="宋体" w:eastAsia="宋体" w:cs="宋体"/>
                <w:color w:val="000000"/>
                <w:sz w:val="21"/>
                <w:szCs w:val="21"/>
              </w:rPr>
            </w:pPr>
            <w:r>
              <w:rPr>
                <w:rFonts w:hint="eastAsia" w:ascii="宋体" w:hAnsi="宋体" w:eastAsia="宋体" w:cs="宋体"/>
                <w:color w:val="000000"/>
                <w:sz w:val="21"/>
                <w:szCs w:val="21"/>
              </w:rPr>
              <w:t>显示时间型温控器的统计数据：上一小时平均开机数量、当天每一小时平均开机数量曲线、当月每天平均开机数量曲线、当年每月平均开机数量曲线、每小时平均开机数量和开机明细列表。</w:t>
            </w:r>
          </w:p>
          <w:p w14:paraId="63117251">
            <w:pPr>
              <w:pStyle w:val="23"/>
              <w:numPr>
                <w:ilvl w:val="0"/>
                <w:numId w:val="23"/>
              </w:numPr>
              <w:ind w:left="33" w:firstLine="440"/>
              <w:rPr>
                <w:rFonts w:hint="eastAsia" w:ascii="宋体" w:hAnsi="宋体" w:eastAsia="宋体" w:cs="宋体"/>
                <w:color w:val="000000"/>
                <w:sz w:val="21"/>
                <w:szCs w:val="21"/>
              </w:rPr>
            </w:pPr>
            <w:r>
              <w:rPr>
                <w:rFonts w:hint="eastAsia" w:ascii="宋体" w:hAnsi="宋体" w:eastAsia="宋体" w:cs="宋体"/>
                <w:color w:val="000000"/>
                <w:sz w:val="21"/>
                <w:szCs w:val="21"/>
              </w:rPr>
              <w:t>房间温控器上一天用冷时间排名前十，当月排名前十、当年排名前十。房间温控器上一月充值总额排名前十，当年排名前十</w:t>
            </w:r>
          </w:p>
        </w:tc>
      </w:tr>
      <w:tr w14:paraId="1409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18" w:type="dxa"/>
            <w:vMerge w:val="restart"/>
            <w:vAlign w:val="center"/>
          </w:tcPr>
          <w:p w14:paraId="556B6AC1">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设备监控</w:t>
            </w:r>
          </w:p>
        </w:tc>
        <w:tc>
          <w:tcPr>
            <w:tcW w:w="1418" w:type="dxa"/>
            <w:vAlign w:val="center"/>
          </w:tcPr>
          <w:p w14:paraId="487A7E2B">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运行状态</w:t>
            </w:r>
          </w:p>
        </w:tc>
        <w:tc>
          <w:tcPr>
            <w:tcW w:w="6486" w:type="dxa"/>
            <w:vAlign w:val="center"/>
          </w:tcPr>
          <w:p w14:paraId="33365F5C">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显示设备编号，设备所在地，设备状态，室内温度，设定的温度，当前档位、累计时间、剩余时间等信息，并能通过下拉菜单选择进行条件查询。</w:t>
            </w:r>
          </w:p>
        </w:tc>
      </w:tr>
      <w:tr w14:paraId="26D9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18" w:type="dxa"/>
            <w:vMerge w:val="continue"/>
            <w:vAlign w:val="center"/>
          </w:tcPr>
          <w:p w14:paraId="2B2283AB">
            <w:pPr>
              <w:tabs>
                <w:tab w:val="left" w:pos="567"/>
              </w:tabs>
              <w:jc w:val="center"/>
              <w:rPr>
                <w:rFonts w:hint="eastAsia" w:ascii="宋体" w:hAnsi="宋体" w:eastAsia="宋体" w:cs="宋体"/>
                <w:color w:val="000000"/>
                <w:sz w:val="21"/>
                <w:szCs w:val="21"/>
              </w:rPr>
            </w:pPr>
          </w:p>
        </w:tc>
        <w:tc>
          <w:tcPr>
            <w:tcW w:w="1418" w:type="dxa"/>
            <w:vAlign w:val="center"/>
          </w:tcPr>
          <w:p w14:paraId="151A87DA">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设备地图</w:t>
            </w:r>
          </w:p>
        </w:tc>
        <w:tc>
          <w:tcPr>
            <w:tcW w:w="6486" w:type="dxa"/>
            <w:vAlign w:val="center"/>
          </w:tcPr>
          <w:p w14:paraId="3635DB70">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通过GIS地图形式显示各个设备的位置和运行情况。</w:t>
            </w:r>
          </w:p>
        </w:tc>
      </w:tr>
      <w:tr w14:paraId="7AC9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18" w:type="dxa"/>
            <w:vMerge w:val="continue"/>
            <w:vAlign w:val="center"/>
          </w:tcPr>
          <w:p w14:paraId="03E98EC1">
            <w:pPr>
              <w:tabs>
                <w:tab w:val="left" w:pos="567"/>
              </w:tabs>
              <w:jc w:val="center"/>
              <w:rPr>
                <w:rFonts w:hint="eastAsia" w:ascii="宋体" w:hAnsi="宋体" w:eastAsia="宋体" w:cs="宋体"/>
                <w:color w:val="000000"/>
                <w:sz w:val="21"/>
                <w:szCs w:val="21"/>
              </w:rPr>
            </w:pPr>
          </w:p>
        </w:tc>
        <w:tc>
          <w:tcPr>
            <w:tcW w:w="1418" w:type="dxa"/>
            <w:vAlign w:val="center"/>
          </w:tcPr>
          <w:p w14:paraId="5773F5D3">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拓扑展示</w:t>
            </w:r>
          </w:p>
        </w:tc>
        <w:tc>
          <w:tcPr>
            <w:tcW w:w="6486" w:type="dxa"/>
            <w:vAlign w:val="center"/>
          </w:tcPr>
          <w:p w14:paraId="4C05A68E">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用可视化的方式展现设备的拓扑情况及设备信息，如设备和网关之间的连接方式。</w:t>
            </w:r>
          </w:p>
        </w:tc>
      </w:tr>
      <w:tr w14:paraId="647F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18" w:type="dxa"/>
            <w:vMerge w:val="continue"/>
            <w:vAlign w:val="center"/>
          </w:tcPr>
          <w:p w14:paraId="7866142E">
            <w:pPr>
              <w:tabs>
                <w:tab w:val="left" w:pos="567"/>
              </w:tabs>
              <w:jc w:val="center"/>
              <w:rPr>
                <w:rFonts w:hint="eastAsia" w:ascii="宋体" w:hAnsi="宋体" w:eastAsia="宋体" w:cs="宋体"/>
                <w:color w:val="000000"/>
                <w:sz w:val="21"/>
                <w:szCs w:val="21"/>
              </w:rPr>
            </w:pPr>
          </w:p>
        </w:tc>
        <w:tc>
          <w:tcPr>
            <w:tcW w:w="1418" w:type="dxa"/>
            <w:vAlign w:val="center"/>
          </w:tcPr>
          <w:p w14:paraId="5EA031CC">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终端管理</w:t>
            </w:r>
          </w:p>
        </w:tc>
        <w:tc>
          <w:tcPr>
            <w:tcW w:w="6486" w:type="dxa"/>
            <w:vAlign w:val="center"/>
          </w:tcPr>
          <w:p w14:paraId="0E30F02C">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记录末端设备和网关信息，包括编号、设备名称、所在建筑、设备具体位置、通信端口、波特率、所用网络、所属基站、负责人、负责人联系方式等数据。能自行增加或删减末端设备配置和定义。记录温控器所对应的空调制冷功率。</w:t>
            </w:r>
          </w:p>
        </w:tc>
      </w:tr>
      <w:tr w14:paraId="7AA5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418" w:type="dxa"/>
            <w:vMerge w:val="restart"/>
            <w:vAlign w:val="center"/>
          </w:tcPr>
          <w:p w14:paraId="2BD44F6E">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设备控制</w:t>
            </w:r>
          </w:p>
        </w:tc>
        <w:tc>
          <w:tcPr>
            <w:tcW w:w="1418" w:type="dxa"/>
            <w:vAlign w:val="center"/>
          </w:tcPr>
          <w:p w14:paraId="7F013E11">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基础控制</w:t>
            </w:r>
          </w:p>
        </w:tc>
        <w:tc>
          <w:tcPr>
            <w:tcW w:w="6486" w:type="dxa"/>
            <w:vAlign w:val="center"/>
          </w:tcPr>
          <w:p w14:paraId="437928E2">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记录设备编号，设备所在地，设备状态，室内温度，设定的温度，当前档位等信息。通过能源平台/小程序对指定设备终端进行开关控制，调温、调档等基本控制操作，并能通过下拉菜单选择进行条件查询。</w:t>
            </w:r>
          </w:p>
        </w:tc>
      </w:tr>
      <w:tr w14:paraId="1D6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18" w:type="dxa"/>
            <w:vMerge w:val="continue"/>
            <w:vAlign w:val="center"/>
          </w:tcPr>
          <w:p w14:paraId="514BC645">
            <w:pPr>
              <w:tabs>
                <w:tab w:val="left" w:pos="567"/>
              </w:tabs>
              <w:jc w:val="center"/>
              <w:rPr>
                <w:rFonts w:hint="eastAsia" w:ascii="宋体" w:hAnsi="宋体" w:eastAsia="宋体" w:cs="宋体"/>
                <w:color w:val="000000"/>
                <w:sz w:val="21"/>
                <w:szCs w:val="21"/>
              </w:rPr>
            </w:pPr>
          </w:p>
        </w:tc>
        <w:tc>
          <w:tcPr>
            <w:tcW w:w="1418" w:type="dxa"/>
            <w:vAlign w:val="center"/>
          </w:tcPr>
          <w:p w14:paraId="74EFEB6E">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高级控制</w:t>
            </w:r>
          </w:p>
        </w:tc>
        <w:tc>
          <w:tcPr>
            <w:tcW w:w="6486" w:type="dxa"/>
            <w:vAlign w:val="center"/>
          </w:tcPr>
          <w:p w14:paraId="5E988436">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记录了设备编号，设备所在地，设备状态，可调温控范围，累计时间，剩余时间，计费状态，禁用状态等信息，点击对应编辑按键，即可进行高级控制，例如禁用某温控器，某温控器解除禁用，某温控器开始计费，某温控器累计时间清零，某温控器的剩余时间增加，调节限制某温控器可调节温度范围（可起到节约能源作用）。该页面支持一定程度的条件查询，模糊搜索等。温度系数和风速系数等参数设定</w:t>
            </w:r>
          </w:p>
        </w:tc>
      </w:tr>
      <w:tr w14:paraId="70EF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418" w:type="dxa"/>
            <w:vMerge w:val="continue"/>
            <w:vAlign w:val="center"/>
          </w:tcPr>
          <w:p w14:paraId="140FA2EE">
            <w:pPr>
              <w:tabs>
                <w:tab w:val="left" w:pos="567"/>
              </w:tabs>
              <w:jc w:val="center"/>
              <w:rPr>
                <w:rFonts w:hint="eastAsia" w:ascii="宋体" w:hAnsi="宋体" w:eastAsia="宋体" w:cs="宋体"/>
                <w:color w:val="000000"/>
                <w:sz w:val="21"/>
                <w:szCs w:val="21"/>
              </w:rPr>
            </w:pPr>
          </w:p>
        </w:tc>
        <w:tc>
          <w:tcPr>
            <w:tcW w:w="1418" w:type="dxa"/>
            <w:vAlign w:val="center"/>
          </w:tcPr>
          <w:p w14:paraId="78FA0AAA">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定时任务</w:t>
            </w:r>
          </w:p>
        </w:tc>
        <w:tc>
          <w:tcPr>
            <w:tcW w:w="6486" w:type="dxa"/>
            <w:vAlign w:val="center"/>
          </w:tcPr>
          <w:p w14:paraId="0DA4730A">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记录定时任务编号、学校、设备组名称、任务状态、任务周期等数据。管理人员可在该页面进行任务的开关，编辑具体任务情况和课程表，如某学校下的某温控器（支持多个温控器）在某时间进行关机动作或禁用操作；在该页面可新增定时任务，也可模糊搜索，支持一定程度的条件查询。</w:t>
            </w:r>
          </w:p>
        </w:tc>
      </w:tr>
      <w:tr w14:paraId="42AA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F04BF64">
            <w:pPr>
              <w:tabs>
                <w:tab w:val="left" w:pos="567"/>
              </w:tabs>
              <w:jc w:val="center"/>
              <w:rPr>
                <w:rFonts w:hint="eastAsia" w:ascii="宋体" w:hAnsi="宋体" w:eastAsia="宋体" w:cs="宋体"/>
                <w:color w:val="000000"/>
                <w:sz w:val="21"/>
                <w:szCs w:val="21"/>
              </w:rPr>
            </w:pPr>
          </w:p>
        </w:tc>
        <w:tc>
          <w:tcPr>
            <w:tcW w:w="1418" w:type="dxa"/>
            <w:vAlign w:val="center"/>
          </w:tcPr>
          <w:p w14:paraId="100FF297">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控制规则</w:t>
            </w:r>
          </w:p>
        </w:tc>
        <w:tc>
          <w:tcPr>
            <w:tcW w:w="6486" w:type="dxa"/>
            <w:vAlign w:val="center"/>
          </w:tcPr>
          <w:p w14:paraId="42BD7D00">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用户能根据需要增加或减少规则池里的温控器，中央空调控制系统能判断在线的温控器工作情况，如果全部温控器都关闭则输出关信号到板换间控制水泵关，如果有一个以上温控器打开工作则输出开信号到板换间控制水泵开。在该页面可新增控制规则，也可模糊搜索，支持一定程度的条件查询。</w:t>
            </w:r>
          </w:p>
        </w:tc>
      </w:tr>
      <w:tr w14:paraId="2960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14:paraId="5BF27447">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消费管理</w:t>
            </w:r>
          </w:p>
        </w:tc>
        <w:tc>
          <w:tcPr>
            <w:tcW w:w="1418" w:type="dxa"/>
            <w:vAlign w:val="center"/>
          </w:tcPr>
          <w:p w14:paraId="5BF83BA2">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消费记录</w:t>
            </w:r>
          </w:p>
        </w:tc>
        <w:tc>
          <w:tcPr>
            <w:tcW w:w="6486" w:type="dxa"/>
            <w:vAlign w:val="center"/>
          </w:tcPr>
          <w:p w14:paraId="34FE60B3">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按表格记录了消费账号、消费方式（移动支付）、消费开始时间、结束消费时间、消费总时长（h）、消费金额、消费终端编号、消费终端位置等信息，可按时间、消费方式、消费终端位置分类查询。</w:t>
            </w:r>
          </w:p>
        </w:tc>
      </w:tr>
      <w:tr w14:paraId="390F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1BC584BE">
            <w:pPr>
              <w:tabs>
                <w:tab w:val="left" w:pos="567"/>
              </w:tabs>
              <w:jc w:val="center"/>
              <w:rPr>
                <w:rFonts w:hint="eastAsia" w:ascii="宋体" w:hAnsi="宋体" w:eastAsia="宋体" w:cs="宋体"/>
                <w:color w:val="000000"/>
                <w:sz w:val="21"/>
                <w:szCs w:val="21"/>
              </w:rPr>
            </w:pPr>
          </w:p>
        </w:tc>
        <w:tc>
          <w:tcPr>
            <w:tcW w:w="1418" w:type="dxa"/>
            <w:vAlign w:val="center"/>
          </w:tcPr>
          <w:p w14:paraId="10FEF036">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单价调整</w:t>
            </w:r>
          </w:p>
        </w:tc>
        <w:tc>
          <w:tcPr>
            <w:tcW w:w="6486" w:type="dxa"/>
            <w:vAlign w:val="center"/>
          </w:tcPr>
          <w:p w14:paraId="2963238D">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通过能源平台对指定设备终端进行单价调整，并使用表格记录设备的设备编号、所在建筑、具体位置、单价（分低中高三档价格）。温度系数和风速系数设定。</w:t>
            </w:r>
          </w:p>
        </w:tc>
      </w:tr>
      <w:tr w14:paraId="7B2A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20303894">
            <w:pPr>
              <w:tabs>
                <w:tab w:val="left" w:pos="567"/>
              </w:tabs>
              <w:jc w:val="center"/>
              <w:rPr>
                <w:rFonts w:hint="eastAsia" w:ascii="宋体" w:hAnsi="宋体" w:eastAsia="宋体" w:cs="宋体"/>
                <w:color w:val="000000"/>
                <w:sz w:val="21"/>
                <w:szCs w:val="21"/>
              </w:rPr>
            </w:pPr>
          </w:p>
        </w:tc>
        <w:tc>
          <w:tcPr>
            <w:tcW w:w="1418" w:type="dxa"/>
            <w:vAlign w:val="center"/>
          </w:tcPr>
          <w:p w14:paraId="2726055F">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账号信息</w:t>
            </w:r>
          </w:p>
        </w:tc>
        <w:tc>
          <w:tcPr>
            <w:tcW w:w="6486" w:type="dxa"/>
            <w:vAlign w:val="center"/>
          </w:tcPr>
          <w:p w14:paraId="54F706AD">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按表格记录消费账号的相关信息，包括学校、专业、性别、年龄、联系方式、余额。</w:t>
            </w:r>
          </w:p>
        </w:tc>
      </w:tr>
      <w:tr w14:paraId="0678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0288A92F">
            <w:pPr>
              <w:tabs>
                <w:tab w:val="left" w:pos="567"/>
              </w:tabs>
              <w:jc w:val="center"/>
              <w:rPr>
                <w:rFonts w:hint="eastAsia" w:ascii="宋体" w:hAnsi="宋体" w:eastAsia="宋体" w:cs="宋体"/>
                <w:color w:val="000000"/>
                <w:sz w:val="21"/>
                <w:szCs w:val="21"/>
              </w:rPr>
            </w:pPr>
          </w:p>
        </w:tc>
        <w:tc>
          <w:tcPr>
            <w:tcW w:w="1418" w:type="dxa"/>
            <w:vAlign w:val="center"/>
          </w:tcPr>
          <w:p w14:paraId="30D335B8">
            <w:pPr>
              <w:tabs>
                <w:tab w:val="left" w:pos="567"/>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退款管理</w:t>
            </w:r>
          </w:p>
        </w:tc>
        <w:tc>
          <w:tcPr>
            <w:tcW w:w="6486" w:type="dxa"/>
            <w:vAlign w:val="center"/>
          </w:tcPr>
          <w:p w14:paraId="5145BF5F">
            <w:pPr>
              <w:tabs>
                <w:tab w:val="left" w:pos="567"/>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提供退款管理功能，绑定的账号操作退款，提交申请10个工作日内财务完成审批原路回退。</w:t>
            </w:r>
          </w:p>
        </w:tc>
      </w:tr>
      <w:tr w14:paraId="28AF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2AEE9307">
            <w:pPr>
              <w:tabs>
                <w:tab w:val="left" w:pos="567"/>
              </w:tabs>
              <w:jc w:val="center"/>
              <w:rPr>
                <w:rFonts w:hint="eastAsia" w:ascii="宋体" w:hAnsi="宋体" w:eastAsia="宋体" w:cs="宋体"/>
                <w:color w:val="000000"/>
                <w:sz w:val="21"/>
                <w:szCs w:val="21"/>
              </w:rPr>
            </w:pPr>
          </w:p>
        </w:tc>
        <w:tc>
          <w:tcPr>
            <w:tcW w:w="1418" w:type="dxa"/>
            <w:vAlign w:val="center"/>
          </w:tcPr>
          <w:p w14:paraId="260A01DA">
            <w:pPr>
              <w:keepNext/>
              <w:keepLines/>
              <w:numPr>
                <w:ilvl w:val="2"/>
                <w:numId w:val="0"/>
              </w:numPr>
              <w:spacing w:before="260" w:after="260" w:line="360" w:lineRule="auto"/>
              <w:ind w:left="720" w:hanging="720"/>
              <w:outlineLvl w:val="2"/>
              <w:rPr>
                <w:rFonts w:hint="eastAsia" w:ascii="宋体" w:hAnsi="宋体" w:eastAsia="宋体" w:cs="宋体"/>
                <w:b/>
                <w:bCs/>
                <w:sz w:val="21"/>
                <w:szCs w:val="21"/>
              </w:rPr>
            </w:pPr>
            <w:r>
              <w:rPr>
                <w:rFonts w:hint="eastAsia" w:ascii="宋体" w:hAnsi="宋体" w:eastAsia="宋体" w:cs="宋体"/>
                <w:b/>
                <w:bCs/>
                <w:sz w:val="21"/>
                <w:szCs w:val="21"/>
              </w:rPr>
              <w:t>充值管理</w:t>
            </w:r>
          </w:p>
          <w:p w14:paraId="5024EAF2">
            <w:pPr>
              <w:tabs>
                <w:tab w:val="left" w:pos="567"/>
              </w:tabs>
              <w:jc w:val="center"/>
              <w:rPr>
                <w:rFonts w:hint="eastAsia" w:ascii="宋体" w:hAnsi="宋体" w:eastAsia="宋体" w:cs="宋体"/>
                <w:color w:val="000000"/>
                <w:sz w:val="21"/>
                <w:szCs w:val="21"/>
              </w:rPr>
            </w:pPr>
          </w:p>
        </w:tc>
        <w:tc>
          <w:tcPr>
            <w:tcW w:w="6486" w:type="dxa"/>
            <w:vAlign w:val="center"/>
          </w:tcPr>
          <w:p w14:paraId="71577DB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每间宿舍的舍长或课室负责人注册一个个人账号，并且绑定该房间的温控器，该个人账号可以进行充值和退款的操作，该个人账号的余额关联温控器的可使用时间，该账号可多人登录使用。</w:t>
            </w:r>
          </w:p>
          <w:p w14:paraId="64F93C1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每台温控器只能绑定一个账号，但一个账号可以绑定多台温控器，当用户余额为0后自动解绑，下次充值需要绑定才能充值和退款。绑定后的账号可以对温控器远程操作，没有绑定的账号不能操作温控器。</w:t>
            </w:r>
          </w:p>
          <w:p w14:paraId="51648EC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用户可以在手机小程序上充值和退款，管理员在平台也可以对温控器充值，例如每个月学校发放的空调补贴，系统要区分两种操作，用户充值的剩余时间优先使用，用户充值余额到0后则自动解绑，温控器继续使用平台充值的时间，直到总剩余时间为0。</w:t>
            </w:r>
          </w:p>
          <w:p w14:paraId="0D275B9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网计时型温控器计费逻辑：累计时间和剩余时间是由温控器本地的温度系数和风速系数得出，得出的时间是折算成26℃低档标准节能工况下的时间，例如25℃的温度系数是1.1，中档系数是1.1，累计初值是100小时，用户充值10元，系统根据0.5元/小时单价折算成20小时充进温控器剩余时间为20小时，则以25℃中档运行1小时的累计时间为1.21小时，累计时间为101.21小时，剩余时间为18.79小时，同时平台的余额也刷新并在平台和手机上显示，当剩余时间为0时自动关闭温控器。其他温度系数和风速系数计算以此类推。</w:t>
            </w:r>
          </w:p>
        </w:tc>
      </w:tr>
      <w:tr w14:paraId="0596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5C45D7F2">
            <w:pPr>
              <w:tabs>
                <w:tab w:val="left" w:pos="567"/>
              </w:tabs>
              <w:jc w:val="center"/>
              <w:rPr>
                <w:rFonts w:hint="eastAsia" w:ascii="宋体" w:hAnsi="宋体" w:eastAsia="宋体" w:cs="宋体"/>
                <w:color w:val="000000"/>
                <w:sz w:val="21"/>
                <w:szCs w:val="21"/>
              </w:rPr>
            </w:pPr>
          </w:p>
        </w:tc>
        <w:tc>
          <w:tcPr>
            <w:tcW w:w="1418" w:type="dxa"/>
            <w:vAlign w:val="center"/>
          </w:tcPr>
          <w:p w14:paraId="54C27811">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充值退款记录</w:t>
            </w:r>
          </w:p>
        </w:tc>
        <w:tc>
          <w:tcPr>
            <w:tcW w:w="6486" w:type="dxa"/>
            <w:vAlign w:val="center"/>
          </w:tcPr>
          <w:p w14:paraId="5E6C11DC">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提供记录和查询充值退款等操作的明细。</w:t>
            </w:r>
          </w:p>
        </w:tc>
      </w:tr>
      <w:tr w14:paraId="7D06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14:paraId="3DF13349">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数据分析</w:t>
            </w:r>
          </w:p>
        </w:tc>
        <w:tc>
          <w:tcPr>
            <w:tcW w:w="1418" w:type="dxa"/>
            <w:vAlign w:val="center"/>
          </w:tcPr>
          <w:p w14:paraId="20499CEE">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营收分析</w:t>
            </w:r>
          </w:p>
        </w:tc>
        <w:tc>
          <w:tcPr>
            <w:tcW w:w="6486" w:type="dxa"/>
            <w:vAlign w:val="center"/>
          </w:tcPr>
          <w:p w14:paraId="237C2A91">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按时间段查询消费情况，包括各高校总消费额对比（柱状图）、各高校总消费额占比（饼形图）、消费趋势（折线图）、消费余额（柱状图）</w:t>
            </w:r>
          </w:p>
        </w:tc>
      </w:tr>
      <w:tr w14:paraId="1F68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0FC8011F">
            <w:pPr>
              <w:tabs>
                <w:tab w:val="left" w:pos="567"/>
              </w:tabs>
              <w:jc w:val="center"/>
              <w:rPr>
                <w:rFonts w:hint="eastAsia" w:ascii="宋体" w:hAnsi="宋体" w:eastAsia="宋体" w:cs="宋体"/>
                <w:color w:val="000000"/>
                <w:sz w:val="21"/>
                <w:szCs w:val="21"/>
              </w:rPr>
            </w:pPr>
          </w:p>
        </w:tc>
        <w:tc>
          <w:tcPr>
            <w:tcW w:w="1418" w:type="dxa"/>
            <w:vAlign w:val="center"/>
          </w:tcPr>
          <w:p w14:paraId="6BC7DF33">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使用时长分析</w:t>
            </w:r>
          </w:p>
        </w:tc>
        <w:tc>
          <w:tcPr>
            <w:tcW w:w="6486" w:type="dxa"/>
            <w:vAlign w:val="center"/>
          </w:tcPr>
          <w:p w14:paraId="2B62403A">
            <w:pPr>
              <w:tabs>
                <w:tab w:val="left" w:pos="567"/>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此模块功能是根据终端控制器收集上来的数据，进行整理分析，出具报表。根据需求进行数据挖掘工作，为院校的改进、管理，提供数据支持。</w:t>
            </w:r>
          </w:p>
        </w:tc>
      </w:tr>
      <w:tr w14:paraId="188F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7B86AEBC">
            <w:pPr>
              <w:tabs>
                <w:tab w:val="left" w:pos="567"/>
              </w:tabs>
              <w:jc w:val="center"/>
              <w:rPr>
                <w:rFonts w:hint="eastAsia" w:ascii="宋体" w:hAnsi="宋体" w:eastAsia="宋体" w:cs="宋体"/>
                <w:color w:val="000000"/>
                <w:sz w:val="21"/>
                <w:szCs w:val="21"/>
              </w:rPr>
            </w:pPr>
          </w:p>
        </w:tc>
        <w:tc>
          <w:tcPr>
            <w:tcW w:w="1418" w:type="dxa"/>
            <w:vAlign w:val="center"/>
          </w:tcPr>
          <w:p w14:paraId="364C7DDB">
            <w:pPr>
              <w:tabs>
                <w:tab w:val="left" w:pos="567"/>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智能分析</w:t>
            </w:r>
          </w:p>
        </w:tc>
        <w:tc>
          <w:tcPr>
            <w:tcW w:w="6486" w:type="dxa"/>
            <w:vAlign w:val="center"/>
          </w:tcPr>
          <w:p w14:paraId="3E7EB99D">
            <w:pPr>
              <w:tabs>
                <w:tab w:val="left" w:pos="567"/>
              </w:tabs>
              <w:rPr>
                <w:rFonts w:hint="eastAsia" w:ascii="宋体" w:hAnsi="宋体" w:eastAsia="宋体" w:cs="宋体"/>
                <w:color w:val="000000"/>
                <w:sz w:val="21"/>
                <w:szCs w:val="21"/>
              </w:rPr>
            </w:pPr>
            <w:r>
              <w:rPr>
                <w:rFonts w:hint="eastAsia" w:ascii="宋体" w:hAnsi="宋体" w:eastAsia="宋体" w:cs="宋体"/>
                <w:color w:val="000000"/>
                <w:sz w:val="21"/>
                <w:szCs w:val="21"/>
              </w:rPr>
              <w:t>通过过去7天的冷气使用时长和天气温度的关系建立模型，推算出关系函数，通过关系函数和本周未来七天的天气温度预测本周7天的冷气使用时长（该预测每周日更新一次，使用折线图和柱状图展示）</w:t>
            </w:r>
          </w:p>
        </w:tc>
      </w:tr>
      <w:tr w14:paraId="1592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AB8C19B">
            <w:pPr>
              <w:tabs>
                <w:tab w:val="left" w:pos="567"/>
              </w:tabs>
              <w:spacing w:line="360" w:lineRule="auto"/>
              <w:jc w:val="center"/>
              <w:rPr>
                <w:rFonts w:hint="eastAsia" w:ascii="宋体" w:hAnsi="宋体" w:eastAsia="宋体" w:cs="宋体"/>
                <w:sz w:val="21"/>
                <w:szCs w:val="21"/>
              </w:rPr>
            </w:pPr>
          </w:p>
        </w:tc>
        <w:tc>
          <w:tcPr>
            <w:tcW w:w="1418" w:type="dxa"/>
            <w:vAlign w:val="center"/>
          </w:tcPr>
          <w:p w14:paraId="4997BDA5">
            <w:pPr>
              <w:tabs>
                <w:tab w:val="left" w:pos="945"/>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财务分析</w:t>
            </w:r>
          </w:p>
          <w:p w14:paraId="4A498DAF">
            <w:pPr>
              <w:tabs>
                <w:tab w:val="left" w:pos="567"/>
              </w:tabs>
              <w:spacing w:line="360" w:lineRule="auto"/>
              <w:jc w:val="center"/>
              <w:rPr>
                <w:rFonts w:hint="eastAsia" w:ascii="宋体" w:hAnsi="宋体" w:eastAsia="宋体" w:cs="宋体"/>
                <w:color w:val="000000"/>
                <w:sz w:val="21"/>
                <w:szCs w:val="21"/>
              </w:rPr>
            </w:pPr>
          </w:p>
        </w:tc>
        <w:tc>
          <w:tcPr>
            <w:tcW w:w="6486" w:type="dxa"/>
            <w:vAlign w:val="center"/>
          </w:tcPr>
          <w:p w14:paraId="2109F87A">
            <w:pPr>
              <w:tabs>
                <w:tab w:val="left" w:pos="945"/>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有消费金额、余额、充值总额和充值次数的情况展示，通过柱状图的方式展示出消费额趋势，并且进行学校消费排名。</w:t>
            </w:r>
          </w:p>
        </w:tc>
      </w:tr>
      <w:tr w14:paraId="1483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18C31ABF">
            <w:pPr>
              <w:tabs>
                <w:tab w:val="left" w:pos="567"/>
              </w:tabs>
              <w:spacing w:line="360" w:lineRule="auto"/>
              <w:jc w:val="center"/>
              <w:rPr>
                <w:rFonts w:hint="eastAsia" w:ascii="宋体" w:hAnsi="宋体" w:eastAsia="宋体" w:cs="宋体"/>
                <w:sz w:val="21"/>
                <w:szCs w:val="21"/>
              </w:rPr>
            </w:pPr>
          </w:p>
        </w:tc>
        <w:tc>
          <w:tcPr>
            <w:tcW w:w="1418" w:type="dxa"/>
            <w:vAlign w:val="center"/>
          </w:tcPr>
          <w:p w14:paraId="5B682EB9">
            <w:pPr>
              <w:tabs>
                <w:tab w:val="left" w:pos="945"/>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设备分析</w:t>
            </w:r>
          </w:p>
          <w:p w14:paraId="435B8EC1">
            <w:pPr>
              <w:tabs>
                <w:tab w:val="left" w:pos="567"/>
              </w:tabs>
              <w:spacing w:line="360" w:lineRule="auto"/>
              <w:jc w:val="center"/>
              <w:rPr>
                <w:rFonts w:hint="eastAsia" w:ascii="宋体" w:hAnsi="宋体" w:eastAsia="宋体" w:cs="宋体"/>
                <w:color w:val="000000"/>
                <w:sz w:val="21"/>
                <w:szCs w:val="21"/>
              </w:rPr>
            </w:pPr>
          </w:p>
        </w:tc>
        <w:tc>
          <w:tcPr>
            <w:tcW w:w="6486" w:type="dxa"/>
            <w:vAlign w:val="center"/>
          </w:tcPr>
          <w:p w14:paraId="4C413CF2">
            <w:pPr>
              <w:tabs>
                <w:tab w:val="left" w:pos="945"/>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有设备情况展示，通过柱状图的方式展示出设备情况趋势，并且进行学校消费排名。</w:t>
            </w:r>
          </w:p>
        </w:tc>
      </w:tr>
      <w:tr w14:paraId="7337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2FDB4D80">
            <w:pPr>
              <w:tabs>
                <w:tab w:val="left" w:pos="567"/>
              </w:tabs>
              <w:spacing w:line="360" w:lineRule="auto"/>
              <w:jc w:val="center"/>
              <w:rPr>
                <w:rFonts w:hint="eastAsia" w:ascii="宋体" w:hAnsi="宋体" w:eastAsia="宋体" w:cs="宋体"/>
                <w:sz w:val="21"/>
                <w:szCs w:val="21"/>
              </w:rPr>
            </w:pPr>
          </w:p>
        </w:tc>
        <w:tc>
          <w:tcPr>
            <w:tcW w:w="1418" w:type="dxa"/>
            <w:vAlign w:val="center"/>
          </w:tcPr>
          <w:p w14:paraId="286CEB1D">
            <w:pPr>
              <w:tabs>
                <w:tab w:val="left" w:pos="567"/>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数据下载</w:t>
            </w:r>
          </w:p>
        </w:tc>
        <w:tc>
          <w:tcPr>
            <w:tcW w:w="6486" w:type="dxa"/>
            <w:vAlign w:val="center"/>
          </w:tcPr>
          <w:p w14:paraId="05B22D37">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提供数据分类汇总和下载功能，提供运营报表和财务报表，按用户需求定制数据报表格式。包括但不限于以下数据：</w:t>
            </w:r>
          </w:p>
          <w:p w14:paraId="76807E4A">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汇总各台盘管风机、吊顶风机和落地风柜的制冷量，得出与标准盘管风机的制冷量比例，如标准盘管制冷量是2kw,505房间的吊顶制冷量是5kw，则505房间制冷量比例是2.5倍标准盘管，汇总各个温控器对应的制冷量比例，列表并提供下载；</w:t>
            </w:r>
          </w:p>
          <w:p w14:paraId="3B5BF22B">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统计每小时各个温控器用冷时间，乘以相应制冷量比例，汇总后得出每小时总的用冷时间，结合每小时用电量和每小时冷量得出每小时折算到每台标准盘管风机的平均电量和平均冷量。提供每小时各个温控器用冷时间列表、每小时总用冷时间、每小时平均电量和每小时平均冷量数据下载；</w:t>
            </w:r>
          </w:p>
          <w:p w14:paraId="6C540ADB">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3、每个温控器开关机时间、离线时间明细数据下载；</w:t>
            </w:r>
          </w:p>
          <w:p w14:paraId="63C30F52">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4、每小时各个温控器开关机时间、离线时间明细数据下载；</w:t>
            </w:r>
          </w:p>
          <w:p w14:paraId="58A90D8E">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5、每小时温控器开关机数量、离线数量汇总数据下载；</w:t>
            </w:r>
          </w:p>
          <w:p w14:paraId="1FD587C3">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6、每个温控器每天用冷时间和总用冷时间统计，按天、月、年统计并可以数据下载；</w:t>
            </w:r>
          </w:p>
          <w:p w14:paraId="18E32005">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7、每个温控器室内温度10分钟记录一次并提供数据下载；</w:t>
            </w:r>
          </w:p>
          <w:p w14:paraId="404CAF3A">
            <w:pPr>
              <w:pStyle w:val="23"/>
              <w:ind w:left="36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8、提供运营报表和财务报表数据下载，如充值记录和退款记录等。</w:t>
            </w:r>
          </w:p>
        </w:tc>
      </w:tr>
      <w:tr w14:paraId="4231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42F5B737">
            <w:pPr>
              <w:tabs>
                <w:tab w:val="left" w:pos="567"/>
              </w:tabs>
              <w:spacing w:line="360" w:lineRule="auto"/>
              <w:jc w:val="center"/>
              <w:rPr>
                <w:rFonts w:hint="eastAsia" w:ascii="宋体" w:hAnsi="宋体" w:eastAsia="宋体" w:cs="宋体"/>
                <w:sz w:val="21"/>
                <w:szCs w:val="21"/>
              </w:rPr>
            </w:pPr>
          </w:p>
        </w:tc>
        <w:tc>
          <w:tcPr>
            <w:tcW w:w="1418" w:type="dxa"/>
          </w:tcPr>
          <w:p w14:paraId="07417D80">
            <w:pPr>
              <w:spacing w:line="360" w:lineRule="auto"/>
              <w:rPr>
                <w:rFonts w:hint="eastAsia" w:ascii="宋体" w:hAnsi="宋体" w:eastAsia="宋体" w:cs="宋体"/>
                <w:sz w:val="21"/>
                <w:szCs w:val="21"/>
              </w:rPr>
            </w:pPr>
            <w:r>
              <w:rPr>
                <w:rFonts w:hint="eastAsia" w:ascii="宋体" w:hAnsi="宋体" w:eastAsia="宋体" w:cs="宋体"/>
                <w:sz w:val="21"/>
                <w:szCs w:val="21"/>
              </w:rPr>
              <w:t>操作记录和查询</w:t>
            </w:r>
          </w:p>
        </w:tc>
        <w:tc>
          <w:tcPr>
            <w:tcW w:w="6486" w:type="dxa"/>
          </w:tcPr>
          <w:p w14:paraId="54DB246E">
            <w:pPr>
              <w:spacing w:line="360" w:lineRule="auto"/>
              <w:rPr>
                <w:rFonts w:hint="eastAsia" w:ascii="宋体" w:hAnsi="宋体" w:eastAsia="宋体" w:cs="宋体"/>
                <w:sz w:val="21"/>
                <w:szCs w:val="21"/>
              </w:rPr>
            </w:pPr>
            <w:r>
              <w:rPr>
                <w:rFonts w:hint="eastAsia" w:ascii="宋体" w:hAnsi="宋体" w:eastAsia="宋体" w:cs="宋体"/>
                <w:sz w:val="21"/>
                <w:szCs w:val="21"/>
              </w:rPr>
              <w:t>系统应能对本地操作、客户端手机操作、平台网页端操作、管理端手机操作进行区分记录。对开机、关机、调温、调档、禁用、解禁、限温等操作信息进行记录和查询，记录保存24个月以上</w:t>
            </w:r>
          </w:p>
        </w:tc>
      </w:tr>
      <w:tr w14:paraId="5817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14:paraId="75CA9ABE">
            <w:pPr>
              <w:tabs>
                <w:tab w:val="left" w:pos="567"/>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系统管理</w:t>
            </w:r>
          </w:p>
        </w:tc>
        <w:tc>
          <w:tcPr>
            <w:tcW w:w="1418" w:type="dxa"/>
            <w:vAlign w:val="center"/>
          </w:tcPr>
          <w:p w14:paraId="3B7E0DEC">
            <w:pPr>
              <w:tabs>
                <w:tab w:val="left" w:pos="567"/>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权限管理</w:t>
            </w:r>
          </w:p>
        </w:tc>
        <w:tc>
          <w:tcPr>
            <w:tcW w:w="6486" w:type="dxa"/>
            <w:vAlign w:val="center"/>
          </w:tcPr>
          <w:p w14:paraId="66B9C789">
            <w:pPr>
              <w:tabs>
                <w:tab w:val="left" w:pos="567"/>
              </w:tabs>
              <w:spacing w:line="360" w:lineRule="auto"/>
              <w:rPr>
                <w:rFonts w:hint="eastAsia" w:ascii="宋体" w:hAnsi="宋体" w:eastAsia="宋体" w:cs="宋体"/>
                <w:sz w:val="21"/>
                <w:szCs w:val="21"/>
              </w:rPr>
            </w:pPr>
            <w:r>
              <w:rPr>
                <w:rFonts w:hint="eastAsia" w:ascii="宋体" w:hAnsi="宋体" w:eastAsia="宋体" w:cs="宋体"/>
                <w:sz w:val="21"/>
                <w:szCs w:val="21"/>
              </w:rPr>
              <w:t>对各个使用者设定权限分级管理，对登录和操作进行系统记录。</w:t>
            </w:r>
          </w:p>
        </w:tc>
      </w:tr>
      <w:tr w14:paraId="60A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33116967">
            <w:pPr>
              <w:tabs>
                <w:tab w:val="left" w:pos="567"/>
              </w:tabs>
              <w:spacing w:line="360" w:lineRule="auto"/>
              <w:jc w:val="center"/>
              <w:rPr>
                <w:rFonts w:hint="eastAsia" w:ascii="宋体" w:hAnsi="宋体" w:eastAsia="宋体" w:cs="宋体"/>
                <w:color w:val="000000"/>
                <w:sz w:val="21"/>
                <w:szCs w:val="21"/>
              </w:rPr>
            </w:pPr>
          </w:p>
        </w:tc>
        <w:tc>
          <w:tcPr>
            <w:tcW w:w="1418" w:type="dxa"/>
            <w:vAlign w:val="center"/>
          </w:tcPr>
          <w:p w14:paraId="002888A9">
            <w:pPr>
              <w:tabs>
                <w:tab w:val="left" w:pos="567"/>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账户管理</w:t>
            </w:r>
          </w:p>
        </w:tc>
        <w:tc>
          <w:tcPr>
            <w:tcW w:w="6486" w:type="dxa"/>
            <w:vAlign w:val="center"/>
          </w:tcPr>
          <w:p w14:paraId="51C22CE3">
            <w:pPr>
              <w:tabs>
                <w:tab w:val="left" w:pos="945"/>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可创建用户，需填写内容包括用户名，密码，确认密码，邮箱，手机号码，部门。可查询用户信息，可展示用户列表，默认最多展示10个用户信息。删除用户信息或注销用户账号，以及账号下的所有信息。修改用户信息，除了用户名不能修改，其他信息都可进行修改。</w:t>
            </w:r>
          </w:p>
        </w:tc>
      </w:tr>
      <w:tr w14:paraId="37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3CCF3677">
            <w:pPr>
              <w:tabs>
                <w:tab w:val="left" w:pos="567"/>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设备异常报警</w:t>
            </w:r>
          </w:p>
        </w:tc>
        <w:tc>
          <w:tcPr>
            <w:tcW w:w="1418" w:type="dxa"/>
            <w:vAlign w:val="center"/>
          </w:tcPr>
          <w:p w14:paraId="284EB451">
            <w:pPr>
              <w:tabs>
                <w:tab w:val="left" w:pos="567"/>
              </w:tabs>
              <w:spacing w:line="360" w:lineRule="auto"/>
              <w:jc w:val="center"/>
              <w:rPr>
                <w:rFonts w:hint="eastAsia" w:ascii="宋体" w:hAnsi="宋体" w:eastAsia="宋体" w:cs="宋体"/>
                <w:color w:val="000000"/>
                <w:sz w:val="21"/>
                <w:szCs w:val="21"/>
              </w:rPr>
            </w:pPr>
          </w:p>
        </w:tc>
        <w:tc>
          <w:tcPr>
            <w:tcW w:w="6486" w:type="dxa"/>
            <w:vAlign w:val="center"/>
          </w:tcPr>
          <w:p w14:paraId="4C4813FD">
            <w:pPr>
              <w:tabs>
                <w:tab w:val="left" w:pos="567"/>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提供设备异常等情况报警功能，告警信息，温控器离线需要报警并记录，需要在系统弹窗，需要与管理者或维保人员的微信关联，能第一时间通知到维保人员到场处理。设备离线到管理者收到报警信息不超过5分钟。</w:t>
            </w:r>
          </w:p>
        </w:tc>
      </w:tr>
      <w:tr w14:paraId="71DD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14:paraId="25558295">
            <w:pPr>
              <w:tabs>
                <w:tab w:val="left" w:pos="567"/>
              </w:tabs>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系统安全防护</w:t>
            </w:r>
          </w:p>
          <w:p w14:paraId="066C8559">
            <w:pPr>
              <w:tabs>
                <w:tab w:val="left" w:pos="567"/>
              </w:tabs>
              <w:spacing w:line="360" w:lineRule="auto"/>
              <w:jc w:val="center"/>
              <w:rPr>
                <w:rFonts w:hint="eastAsia" w:ascii="宋体" w:hAnsi="宋体" w:eastAsia="宋体" w:cs="宋体"/>
                <w:color w:val="000000"/>
                <w:sz w:val="21"/>
                <w:szCs w:val="21"/>
              </w:rPr>
            </w:pPr>
          </w:p>
        </w:tc>
        <w:tc>
          <w:tcPr>
            <w:tcW w:w="1418" w:type="dxa"/>
            <w:vAlign w:val="center"/>
          </w:tcPr>
          <w:p w14:paraId="73236412">
            <w:pPr>
              <w:tabs>
                <w:tab w:val="left" w:pos="567"/>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物理安全</w:t>
            </w:r>
          </w:p>
        </w:tc>
        <w:tc>
          <w:tcPr>
            <w:tcW w:w="6486" w:type="dxa"/>
            <w:vAlign w:val="center"/>
          </w:tcPr>
          <w:p w14:paraId="0F7935A8">
            <w:pPr>
              <w:tabs>
                <w:tab w:val="left" w:pos="567"/>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做好用电环境、消防安全、空调设备、防偷防盗等安全措施。</w:t>
            </w:r>
          </w:p>
        </w:tc>
      </w:tr>
      <w:tr w14:paraId="2159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5FBD2CB0">
            <w:pPr>
              <w:tabs>
                <w:tab w:val="left" w:pos="567"/>
              </w:tabs>
              <w:spacing w:line="360" w:lineRule="auto"/>
              <w:jc w:val="center"/>
              <w:rPr>
                <w:rFonts w:hint="eastAsia" w:ascii="宋体" w:hAnsi="宋体" w:eastAsia="宋体" w:cs="宋体"/>
                <w:color w:val="000000"/>
                <w:sz w:val="21"/>
                <w:szCs w:val="21"/>
              </w:rPr>
            </w:pPr>
          </w:p>
        </w:tc>
        <w:tc>
          <w:tcPr>
            <w:tcW w:w="1418" w:type="dxa"/>
            <w:vAlign w:val="center"/>
          </w:tcPr>
          <w:p w14:paraId="6E097C13">
            <w:pPr>
              <w:tabs>
                <w:tab w:val="left" w:pos="567"/>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网络安全</w:t>
            </w:r>
          </w:p>
        </w:tc>
        <w:tc>
          <w:tcPr>
            <w:tcW w:w="6486" w:type="dxa"/>
            <w:vAlign w:val="center"/>
          </w:tcPr>
          <w:p w14:paraId="538F1E7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 xml:space="preserve">网络安全主要通过网络设备设置和传输的加密，保证数据在网络传输和系统访问的安全。 </w:t>
            </w:r>
          </w:p>
        </w:tc>
      </w:tr>
      <w:tr w14:paraId="3D69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EF35E2D">
            <w:pPr>
              <w:tabs>
                <w:tab w:val="left" w:pos="567"/>
              </w:tabs>
              <w:spacing w:line="360" w:lineRule="auto"/>
              <w:jc w:val="center"/>
              <w:rPr>
                <w:rFonts w:hint="eastAsia" w:ascii="宋体" w:hAnsi="宋体" w:eastAsia="宋体" w:cs="宋体"/>
                <w:color w:val="000000"/>
                <w:sz w:val="21"/>
                <w:szCs w:val="21"/>
              </w:rPr>
            </w:pPr>
          </w:p>
        </w:tc>
        <w:tc>
          <w:tcPr>
            <w:tcW w:w="1418" w:type="dxa"/>
            <w:vAlign w:val="center"/>
          </w:tcPr>
          <w:p w14:paraId="2C60FF82">
            <w:pPr>
              <w:tabs>
                <w:tab w:val="left" w:pos="567"/>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操作系统安全设置</w:t>
            </w:r>
          </w:p>
        </w:tc>
        <w:tc>
          <w:tcPr>
            <w:tcW w:w="6486" w:type="dxa"/>
            <w:vAlign w:val="center"/>
          </w:tcPr>
          <w:p w14:paraId="71675064">
            <w:pPr>
              <w:tabs>
                <w:tab w:val="left" w:pos="567"/>
              </w:tabs>
              <w:spacing w:line="360" w:lineRule="auto"/>
              <w:rPr>
                <w:rFonts w:hint="eastAsia" w:ascii="宋体" w:hAnsi="宋体" w:eastAsia="宋体" w:cs="宋体"/>
                <w:color w:val="000000"/>
                <w:sz w:val="21"/>
                <w:szCs w:val="21"/>
              </w:rPr>
            </w:pPr>
            <w:r>
              <w:rPr>
                <w:rFonts w:hint="eastAsia" w:ascii="宋体" w:hAnsi="宋体" w:eastAsia="宋体" w:cs="宋体"/>
                <w:sz w:val="21"/>
                <w:szCs w:val="21"/>
              </w:rPr>
              <w:t>系统安全主要通过制定系统资源访问限制策略，实现系统的数据访问安全</w:t>
            </w:r>
          </w:p>
        </w:tc>
      </w:tr>
      <w:tr w14:paraId="38E9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4DE8D4C7">
            <w:pPr>
              <w:tabs>
                <w:tab w:val="left" w:pos="567"/>
              </w:tabs>
              <w:spacing w:line="360" w:lineRule="auto"/>
              <w:jc w:val="center"/>
              <w:rPr>
                <w:rFonts w:hint="eastAsia" w:ascii="宋体" w:hAnsi="宋体" w:eastAsia="宋体" w:cs="宋体"/>
                <w:color w:val="000000"/>
                <w:sz w:val="21"/>
                <w:szCs w:val="21"/>
              </w:rPr>
            </w:pPr>
          </w:p>
        </w:tc>
        <w:tc>
          <w:tcPr>
            <w:tcW w:w="1418" w:type="dxa"/>
            <w:vAlign w:val="center"/>
          </w:tcPr>
          <w:p w14:paraId="5B39ACEC">
            <w:pPr>
              <w:tabs>
                <w:tab w:val="left" w:pos="567"/>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数据库安全</w:t>
            </w:r>
          </w:p>
          <w:p w14:paraId="2E46C079">
            <w:pPr>
              <w:tabs>
                <w:tab w:val="left" w:pos="567"/>
              </w:tabs>
              <w:spacing w:line="360" w:lineRule="auto"/>
              <w:jc w:val="center"/>
              <w:rPr>
                <w:rFonts w:hint="eastAsia" w:ascii="宋体" w:hAnsi="宋体" w:eastAsia="宋体" w:cs="宋体"/>
                <w:color w:val="000000"/>
                <w:sz w:val="21"/>
                <w:szCs w:val="21"/>
              </w:rPr>
            </w:pPr>
          </w:p>
        </w:tc>
        <w:tc>
          <w:tcPr>
            <w:tcW w:w="6486" w:type="dxa"/>
            <w:vAlign w:val="center"/>
          </w:tcPr>
          <w:p w14:paraId="5E86CB26">
            <w:pPr>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选用合适的数据库管理系统，主从部署，系统用户划分为多级权限，由超级管理员为不同用户设置权限，这样尽可能的屏蔽非法操作带来的操作风险，另外将数据库服务器独立配置，安装网络防火墙和IP地址检测，在网络空间阻止了非法的用户进入数据库的可能，进一步保障了数据库的安全。</w:t>
            </w:r>
          </w:p>
        </w:tc>
      </w:tr>
      <w:tr w14:paraId="17C8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76681913">
            <w:pPr>
              <w:tabs>
                <w:tab w:val="left" w:pos="567"/>
              </w:tabs>
              <w:spacing w:line="360" w:lineRule="auto"/>
              <w:jc w:val="center"/>
              <w:rPr>
                <w:rFonts w:hint="eastAsia" w:ascii="宋体" w:hAnsi="宋体" w:eastAsia="宋体" w:cs="宋体"/>
                <w:color w:val="000000"/>
                <w:sz w:val="21"/>
                <w:szCs w:val="21"/>
              </w:rPr>
            </w:pPr>
          </w:p>
        </w:tc>
        <w:tc>
          <w:tcPr>
            <w:tcW w:w="1418" w:type="dxa"/>
            <w:vAlign w:val="center"/>
          </w:tcPr>
          <w:p w14:paraId="58F1125E">
            <w:pPr>
              <w:tabs>
                <w:tab w:val="left" w:pos="567"/>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应用备份</w:t>
            </w:r>
          </w:p>
          <w:p w14:paraId="45C8DA55">
            <w:pPr>
              <w:tabs>
                <w:tab w:val="left" w:pos="567"/>
              </w:tabs>
              <w:spacing w:line="360" w:lineRule="auto"/>
              <w:jc w:val="center"/>
              <w:rPr>
                <w:rFonts w:hint="eastAsia" w:ascii="宋体" w:hAnsi="宋体" w:eastAsia="宋体" w:cs="宋体"/>
                <w:sz w:val="21"/>
                <w:szCs w:val="21"/>
              </w:rPr>
            </w:pPr>
          </w:p>
        </w:tc>
        <w:tc>
          <w:tcPr>
            <w:tcW w:w="6486" w:type="dxa"/>
            <w:vAlign w:val="center"/>
          </w:tcPr>
          <w:p w14:paraId="703A48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应用服务器备份，云上服务器与本地服务器保持实时同步，正常情况在云服务器承载业务，当本地服务器出现故障时，业务主动切换至云上服务器，保证业务可靠性。</w:t>
            </w:r>
          </w:p>
        </w:tc>
      </w:tr>
    </w:tbl>
    <w:p w14:paraId="5A6E3423">
      <w:pPr>
        <w:rPr>
          <w:rFonts w:hint="eastAsia" w:ascii="宋体" w:hAnsi="宋体" w:eastAsia="宋体" w:cs="宋体"/>
          <w:bCs/>
          <w:color w:val="000000"/>
          <w:sz w:val="21"/>
          <w:szCs w:val="21"/>
        </w:rPr>
      </w:pPr>
    </w:p>
    <w:p w14:paraId="32255F9D">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微信小程序功能要求： </w:t>
      </w: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27"/>
        <w:gridCol w:w="5533"/>
      </w:tblGrid>
      <w:tr w14:paraId="00B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BEBEBE"/>
          </w:tcPr>
          <w:p w14:paraId="3A25AAAE">
            <w:pPr>
              <w:spacing w:line="360" w:lineRule="auto"/>
              <w:rPr>
                <w:rFonts w:hint="eastAsia" w:ascii="宋体" w:hAnsi="宋体" w:eastAsia="宋体" w:cs="宋体"/>
                <w:b/>
                <w:sz w:val="21"/>
                <w:szCs w:val="21"/>
              </w:rPr>
            </w:pPr>
          </w:p>
        </w:tc>
        <w:tc>
          <w:tcPr>
            <w:tcW w:w="2127" w:type="dxa"/>
            <w:shd w:val="clear" w:color="auto" w:fill="BEBEBE"/>
          </w:tcPr>
          <w:p w14:paraId="0A1D2C6D">
            <w:pPr>
              <w:spacing w:line="360" w:lineRule="auto"/>
              <w:rPr>
                <w:rFonts w:hint="eastAsia" w:ascii="宋体" w:hAnsi="宋体" w:eastAsia="宋体" w:cs="宋体"/>
                <w:b/>
                <w:sz w:val="21"/>
                <w:szCs w:val="21"/>
              </w:rPr>
            </w:pPr>
            <w:r>
              <w:rPr>
                <w:rFonts w:hint="eastAsia" w:ascii="宋体" w:hAnsi="宋体" w:eastAsia="宋体" w:cs="宋体"/>
                <w:b/>
                <w:sz w:val="21"/>
                <w:szCs w:val="21"/>
              </w:rPr>
              <w:t>功能名称</w:t>
            </w:r>
          </w:p>
        </w:tc>
        <w:tc>
          <w:tcPr>
            <w:tcW w:w="5533" w:type="dxa"/>
            <w:shd w:val="clear" w:color="auto" w:fill="BEBEBE"/>
          </w:tcPr>
          <w:p w14:paraId="17C99934">
            <w:pPr>
              <w:spacing w:line="360" w:lineRule="auto"/>
              <w:rPr>
                <w:rFonts w:hint="eastAsia" w:ascii="宋体" w:hAnsi="宋体" w:eastAsia="宋体" w:cs="宋体"/>
                <w:b/>
                <w:sz w:val="21"/>
                <w:szCs w:val="21"/>
              </w:rPr>
            </w:pPr>
            <w:r>
              <w:rPr>
                <w:rFonts w:hint="eastAsia" w:ascii="宋体" w:hAnsi="宋体" w:eastAsia="宋体" w:cs="宋体"/>
                <w:b/>
                <w:sz w:val="21"/>
                <w:szCs w:val="21"/>
              </w:rPr>
              <w:t>具体要求</w:t>
            </w:r>
          </w:p>
        </w:tc>
      </w:tr>
      <w:tr w14:paraId="6468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848605E">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客户端微信小程序</w:t>
            </w:r>
          </w:p>
        </w:tc>
        <w:tc>
          <w:tcPr>
            <w:tcW w:w="2127" w:type="dxa"/>
          </w:tcPr>
          <w:p w14:paraId="37CCEA78">
            <w:pPr>
              <w:spacing w:line="360" w:lineRule="auto"/>
              <w:rPr>
                <w:rFonts w:hint="eastAsia" w:ascii="宋体" w:hAnsi="宋体" w:eastAsia="宋体" w:cs="宋体"/>
                <w:sz w:val="21"/>
                <w:szCs w:val="21"/>
              </w:rPr>
            </w:pPr>
            <w:r>
              <w:rPr>
                <w:rFonts w:hint="eastAsia" w:ascii="宋体" w:hAnsi="宋体" w:eastAsia="宋体" w:cs="宋体"/>
                <w:sz w:val="21"/>
                <w:szCs w:val="21"/>
              </w:rPr>
              <w:t>注册</w:t>
            </w:r>
          </w:p>
        </w:tc>
        <w:tc>
          <w:tcPr>
            <w:tcW w:w="5533" w:type="dxa"/>
          </w:tcPr>
          <w:p w14:paraId="13DEBAAF">
            <w:pPr>
              <w:spacing w:line="360" w:lineRule="auto"/>
              <w:rPr>
                <w:rFonts w:hint="eastAsia" w:ascii="宋体" w:hAnsi="宋体" w:eastAsia="宋体" w:cs="宋体"/>
                <w:sz w:val="21"/>
                <w:szCs w:val="21"/>
              </w:rPr>
            </w:pPr>
            <w:r>
              <w:rPr>
                <w:rFonts w:hint="eastAsia" w:ascii="宋体" w:hAnsi="宋体" w:eastAsia="宋体" w:cs="宋体"/>
                <w:sz w:val="21"/>
                <w:szCs w:val="21"/>
              </w:rPr>
              <w:t>通过二维码或者微信查找下载小程序，用户进行注册。可以通过微信用户快速登录。</w:t>
            </w:r>
          </w:p>
        </w:tc>
      </w:tr>
      <w:tr w14:paraId="69B1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6D458B6">
            <w:pPr>
              <w:spacing w:line="360" w:lineRule="auto"/>
              <w:rPr>
                <w:rFonts w:hint="eastAsia" w:ascii="宋体" w:hAnsi="宋体" w:eastAsia="宋体" w:cs="宋体"/>
                <w:b/>
                <w:sz w:val="21"/>
                <w:szCs w:val="21"/>
              </w:rPr>
            </w:pPr>
          </w:p>
        </w:tc>
        <w:tc>
          <w:tcPr>
            <w:tcW w:w="2127" w:type="dxa"/>
          </w:tcPr>
          <w:p w14:paraId="5B69909A">
            <w:pPr>
              <w:spacing w:line="360" w:lineRule="auto"/>
              <w:rPr>
                <w:rFonts w:hint="eastAsia" w:ascii="宋体" w:hAnsi="宋体" w:eastAsia="宋体" w:cs="宋体"/>
                <w:sz w:val="21"/>
                <w:szCs w:val="21"/>
              </w:rPr>
            </w:pPr>
            <w:r>
              <w:rPr>
                <w:rFonts w:hint="eastAsia" w:ascii="宋体" w:hAnsi="宋体" w:eastAsia="宋体" w:cs="宋体"/>
                <w:sz w:val="21"/>
                <w:szCs w:val="21"/>
              </w:rPr>
              <w:t>绑定</w:t>
            </w:r>
          </w:p>
        </w:tc>
        <w:tc>
          <w:tcPr>
            <w:tcW w:w="5533" w:type="dxa"/>
          </w:tcPr>
          <w:p w14:paraId="3458850C">
            <w:pPr>
              <w:spacing w:line="360" w:lineRule="auto"/>
              <w:rPr>
                <w:rFonts w:hint="eastAsia" w:ascii="宋体" w:hAnsi="宋体" w:eastAsia="宋体" w:cs="宋体"/>
                <w:sz w:val="21"/>
                <w:szCs w:val="21"/>
              </w:rPr>
            </w:pPr>
            <w:r>
              <w:rPr>
                <w:rFonts w:hint="eastAsia" w:ascii="宋体" w:hAnsi="宋体" w:eastAsia="宋体" w:cs="宋体"/>
                <w:sz w:val="21"/>
                <w:szCs w:val="21"/>
              </w:rPr>
              <w:t>用户注册后通过二维码或搜索列表可以找到已经绑定和未绑定的温控器。</w:t>
            </w:r>
          </w:p>
        </w:tc>
      </w:tr>
      <w:tr w14:paraId="41FB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1CDC337">
            <w:pPr>
              <w:spacing w:line="360" w:lineRule="auto"/>
              <w:rPr>
                <w:rFonts w:hint="eastAsia" w:ascii="宋体" w:hAnsi="宋体" w:eastAsia="宋体" w:cs="宋体"/>
                <w:b/>
                <w:sz w:val="21"/>
                <w:szCs w:val="21"/>
              </w:rPr>
            </w:pPr>
          </w:p>
        </w:tc>
        <w:tc>
          <w:tcPr>
            <w:tcW w:w="2127" w:type="dxa"/>
          </w:tcPr>
          <w:p w14:paraId="7640C51D">
            <w:pPr>
              <w:spacing w:line="360" w:lineRule="auto"/>
              <w:rPr>
                <w:rFonts w:hint="eastAsia" w:ascii="宋体" w:hAnsi="宋体" w:eastAsia="宋体" w:cs="宋体"/>
                <w:sz w:val="21"/>
                <w:szCs w:val="21"/>
              </w:rPr>
            </w:pPr>
            <w:r>
              <w:rPr>
                <w:rFonts w:hint="eastAsia" w:ascii="宋体" w:hAnsi="宋体" w:eastAsia="宋体" w:cs="宋体"/>
                <w:sz w:val="21"/>
                <w:szCs w:val="21"/>
              </w:rPr>
              <w:t>充值</w:t>
            </w:r>
          </w:p>
        </w:tc>
        <w:tc>
          <w:tcPr>
            <w:tcW w:w="5533" w:type="dxa"/>
          </w:tcPr>
          <w:p w14:paraId="6CCB5EB6">
            <w:pPr>
              <w:spacing w:line="360" w:lineRule="auto"/>
              <w:rPr>
                <w:rFonts w:hint="eastAsia" w:ascii="宋体" w:hAnsi="宋体" w:eastAsia="宋体" w:cs="宋体"/>
                <w:sz w:val="21"/>
                <w:szCs w:val="21"/>
              </w:rPr>
            </w:pPr>
            <w:r>
              <w:rPr>
                <w:rFonts w:hint="eastAsia" w:ascii="宋体" w:hAnsi="宋体" w:eastAsia="宋体" w:cs="宋体"/>
                <w:sz w:val="21"/>
                <w:szCs w:val="21"/>
              </w:rPr>
              <w:t>用户进行绑定操作并同时调用微信支付充值，充值到温控器的充值时间不大于10秒。一个账号可以绑定多个温控器进行充值和控制。</w:t>
            </w:r>
          </w:p>
        </w:tc>
      </w:tr>
      <w:tr w14:paraId="60AB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C401347">
            <w:pPr>
              <w:spacing w:line="360" w:lineRule="auto"/>
              <w:rPr>
                <w:rFonts w:hint="eastAsia" w:ascii="宋体" w:hAnsi="宋体" w:eastAsia="宋体" w:cs="宋体"/>
                <w:sz w:val="21"/>
                <w:szCs w:val="21"/>
              </w:rPr>
            </w:pPr>
          </w:p>
        </w:tc>
        <w:tc>
          <w:tcPr>
            <w:tcW w:w="2127" w:type="dxa"/>
          </w:tcPr>
          <w:p w14:paraId="602B2CFD">
            <w:pPr>
              <w:spacing w:line="360" w:lineRule="auto"/>
              <w:rPr>
                <w:rFonts w:hint="eastAsia" w:ascii="宋体" w:hAnsi="宋体" w:eastAsia="宋体" w:cs="宋体"/>
                <w:sz w:val="21"/>
                <w:szCs w:val="21"/>
              </w:rPr>
            </w:pPr>
            <w:r>
              <w:rPr>
                <w:rFonts w:hint="eastAsia" w:ascii="宋体" w:hAnsi="宋体" w:eastAsia="宋体" w:cs="宋体"/>
                <w:sz w:val="21"/>
                <w:szCs w:val="21"/>
              </w:rPr>
              <w:t>温控器页面</w:t>
            </w:r>
          </w:p>
        </w:tc>
        <w:tc>
          <w:tcPr>
            <w:tcW w:w="5533" w:type="dxa"/>
          </w:tcPr>
          <w:p w14:paraId="2B170484">
            <w:pPr>
              <w:spacing w:line="360" w:lineRule="auto"/>
              <w:rPr>
                <w:rFonts w:hint="eastAsia" w:ascii="宋体" w:hAnsi="宋体" w:eastAsia="宋体" w:cs="宋体"/>
                <w:sz w:val="21"/>
                <w:szCs w:val="21"/>
              </w:rPr>
            </w:pPr>
            <w:r>
              <w:rPr>
                <w:rFonts w:hint="eastAsia" w:ascii="宋体" w:hAnsi="宋体" w:eastAsia="宋体" w:cs="宋体"/>
                <w:sz w:val="21"/>
                <w:szCs w:val="21"/>
              </w:rPr>
              <w:t>温控器控制页面要优化，能让用户易于识别和控制，有动态显示图，如风速动态图等。</w:t>
            </w:r>
          </w:p>
          <w:p w14:paraId="542AB1A0">
            <w:pPr>
              <w:spacing w:line="360" w:lineRule="auto"/>
              <w:rPr>
                <w:rFonts w:hint="eastAsia" w:ascii="宋体" w:hAnsi="宋体" w:eastAsia="宋体" w:cs="宋体"/>
                <w:sz w:val="21"/>
                <w:szCs w:val="21"/>
              </w:rPr>
            </w:pPr>
            <w:r>
              <w:rPr>
                <w:rFonts w:hint="eastAsia" w:ascii="宋体" w:hAnsi="宋体" w:eastAsia="宋体" w:cs="宋体"/>
                <w:sz w:val="21"/>
                <w:szCs w:val="21"/>
              </w:rPr>
              <w:t>充值后温控器有相应的剩余时间就可以通过现场本地开关温控器，或者通过手机小程序开关控制温控器，温控器离线也能自动运行。</w:t>
            </w:r>
          </w:p>
        </w:tc>
      </w:tr>
      <w:tr w14:paraId="095B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977E935">
            <w:pPr>
              <w:spacing w:line="360" w:lineRule="auto"/>
              <w:rPr>
                <w:rFonts w:hint="eastAsia" w:ascii="宋体" w:hAnsi="宋体" w:eastAsia="宋体" w:cs="宋体"/>
                <w:sz w:val="21"/>
                <w:szCs w:val="21"/>
              </w:rPr>
            </w:pPr>
          </w:p>
        </w:tc>
        <w:tc>
          <w:tcPr>
            <w:tcW w:w="2127" w:type="dxa"/>
          </w:tcPr>
          <w:p w14:paraId="4417E28F">
            <w:pPr>
              <w:spacing w:line="360" w:lineRule="auto"/>
              <w:rPr>
                <w:rFonts w:hint="eastAsia" w:ascii="宋体" w:hAnsi="宋体" w:eastAsia="宋体" w:cs="宋体"/>
                <w:sz w:val="21"/>
                <w:szCs w:val="21"/>
              </w:rPr>
            </w:pPr>
            <w:r>
              <w:rPr>
                <w:rFonts w:hint="eastAsia" w:ascii="宋体" w:hAnsi="宋体" w:eastAsia="宋体" w:cs="宋体"/>
                <w:sz w:val="21"/>
                <w:szCs w:val="21"/>
              </w:rPr>
              <w:t>退款</w:t>
            </w:r>
          </w:p>
        </w:tc>
        <w:tc>
          <w:tcPr>
            <w:tcW w:w="5533" w:type="dxa"/>
          </w:tcPr>
          <w:p w14:paraId="2E8D4E05">
            <w:pPr>
              <w:spacing w:line="360" w:lineRule="auto"/>
              <w:rPr>
                <w:rFonts w:hint="eastAsia" w:ascii="宋体" w:hAnsi="宋体" w:eastAsia="宋体" w:cs="宋体"/>
                <w:sz w:val="21"/>
                <w:szCs w:val="21"/>
              </w:rPr>
            </w:pPr>
            <w:r>
              <w:rPr>
                <w:rFonts w:hint="eastAsia" w:ascii="宋体" w:hAnsi="宋体" w:eastAsia="宋体" w:cs="宋体"/>
                <w:sz w:val="21"/>
                <w:szCs w:val="21"/>
              </w:rPr>
              <w:t>绑定温控器账户可以操作退款，提供退款入口，提交申请10个工作日内财务完成审批原路回退。增加退款提示标语，申请退款受理后该温控器禁用，用户账户冻结不能使用，退款完成后余额清零，温控器剩余时间清零，自动解绑账户，接受新账户的绑定。</w:t>
            </w:r>
          </w:p>
        </w:tc>
      </w:tr>
      <w:tr w14:paraId="38FC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F4256B5">
            <w:pPr>
              <w:spacing w:line="360" w:lineRule="auto"/>
              <w:rPr>
                <w:rFonts w:hint="eastAsia" w:ascii="宋体" w:hAnsi="宋体" w:eastAsia="宋体" w:cs="宋体"/>
                <w:sz w:val="21"/>
                <w:szCs w:val="21"/>
              </w:rPr>
            </w:pPr>
          </w:p>
        </w:tc>
        <w:tc>
          <w:tcPr>
            <w:tcW w:w="2127" w:type="dxa"/>
          </w:tcPr>
          <w:p w14:paraId="20884DD4">
            <w:pPr>
              <w:spacing w:line="360" w:lineRule="auto"/>
              <w:rPr>
                <w:rFonts w:hint="eastAsia" w:ascii="宋体" w:hAnsi="宋体" w:eastAsia="宋体" w:cs="宋体"/>
                <w:sz w:val="21"/>
                <w:szCs w:val="21"/>
              </w:rPr>
            </w:pPr>
            <w:r>
              <w:rPr>
                <w:rFonts w:hint="eastAsia" w:ascii="宋体" w:hAnsi="宋体" w:eastAsia="宋体" w:cs="宋体"/>
                <w:sz w:val="21"/>
                <w:szCs w:val="21"/>
              </w:rPr>
              <w:t>用冷时间查询</w:t>
            </w:r>
          </w:p>
        </w:tc>
        <w:tc>
          <w:tcPr>
            <w:tcW w:w="5533" w:type="dxa"/>
          </w:tcPr>
          <w:p w14:paraId="40BA0FB7">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过去一周的用冷时间统计 </w:t>
            </w:r>
          </w:p>
        </w:tc>
      </w:tr>
      <w:tr w14:paraId="7D12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4063217">
            <w:pPr>
              <w:spacing w:line="360" w:lineRule="auto"/>
              <w:rPr>
                <w:rFonts w:hint="eastAsia" w:ascii="宋体" w:hAnsi="宋体" w:eastAsia="宋体" w:cs="宋体"/>
                <w:sz w:val="21"/>
                <w:szCs w:val="21"/>
              </w:rPr>
            </w:pPr>
          </w:p>
        </w:tc>
        <w:tc>
          <w:tcPr>
            <w:tcW w:w="2127" w:type="dxa"/>
          </w:tcPr>
          <w:p w14:paraId="6DDE5953">
            <w:pPr>
              <w:spacing w:line="360" w:lineRule="auto"/>
              <w:rPr>
                <w:rFonts w:hint="eastAsia" w:ascii="宋体" w:hAnsi="宋体" w:eastAsia="宋体" w:cs="宋体"/>
                <w:sz w:val="21"/>
                <w:szCs w:val="21"/>
              </w:rPr>
            </w:pPr>
            <w:r>
              <w:rPr>
                <w:rFonts w:hint="eastAsia" w:ascii="宋体" w:hAnsi="宋体" w:eastAsia="宋体" w:cs="宋体"/>
                <w:sz w:val="21"/>
                <w:szCs w:val="21"/>
              </w:rPr>
              <w:t>充值记录查询</w:t>
            </w:r>
          </w:p>
        </w:tc>
        <w:tc>
          <w:tcPr>
            <w:tcW w:w="5533" w:type="dxa"/>
          </w:tcPr>
          <w:p w14:paraId="097F91FB">
            <w:pPr>
              <w:spacing w:line="360" w:lineRule="auto"/>
              <w:rPr>
                <w:rFonts w:hint="eastAsia" w:ascii="宋体" w:hAnsi="宋体" w:eastAsia="宋体" w:cs="宋体"/>
                <w:sz w:val="21"/>
                <w:szCs w:val="21"/>
              </w:rPr>
            </w:pPr>
            <w:r>
              <w:rPr>
                <w:rFonts w:hint="eastAsia" w:ascii="宋体" w:hAnsi="宋体" w:eastAsia="宋体" w:cs="宋体"/>
                <w:sz w:val="21"/>
                <w:szCs w:val="21"/>
              </w:rPr>
              <w:t>充值记录查询，包括客户端手机充值和平台网页端充值记录，记录保存24个月以上</w:t>
            </w:r>
          </w:p>
        </w:tc>
      </w:tr>
      <w:tr w14:paraId="5545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DE08D06">
            <w:pPr>
              <w:spacing w:line="360" w:lineRule="auto"/>
              <w:rPr>
                <w:rFonts w:hint="eastAsia" w:ascii="宋体" w:hAnsi="宋体" w:eastAsia="宋体" w:cs="宋体"/>
                <w:sz w:val="21"/>
                <w:szCs w:val="21"/>
              </w:rPr>
            </w:pPr>
          </w:p>
        </w:tc>
        <w:tc>
          <w:tcPr>
            <w:tcW w:w="2127" w:type="dxa"/>
          </w:tcPr>
          <w:p w14:paraId="5761CC82">
            <w:pPr>
              <w:spacing w:line="360" w:lineRule="auto"/>
              <w:rPr>
                <w:rFonts w:hint="eastAsia" w:ascii="宋体" w:hAnsi="宋体" w:eastAsia="宋体" w:cs="宋体"/>
                <w:sz w:val="21"/>
                <w:szCs w:val="21"/>
              </w:rPr>
            </w:pPr>
            <w:r>
              <w:rPr>
                <w:rFonts w:hint="eastAsia" w:ascii="宋体" w:hAnsi="宋体" w:eastAsia="宋体" w:cs="宋体"/>
                <w:sz w:val="21"/>
                <w:szCs w:val="21"/>
              </w:rPr>
              <w:t>系统设置</w:t>
            </w:r>
          </w:p>
        </w:tc>
        <w:tc>
          <w:tcPr>
            <w:tcW w:w="5533" w:type="dxa"/>
          </w:tcPr>
          <w:p w14:paraId="7791FFAE">
            <w:pPr>
              <w:spacing w:line="360" w:lineRule="auto"/>
              <w:rPr>
                <w:rFonts w:hint="eastAsia" w:ascii="宋体" w:hAnsi="宋体" w:eastAsia="宋体" w:cs="宋体"/>
                <w:sz w:val="21"/>
                <w:szCs w:val="21"/>
              </w:rPr>
            </w:pPr>
            <w:r>
              <w:rPr>
                <w:rFonts w:hint="eastAsia" w:ascii="宋体" w:hAnsi="宋体" w:eastAsia="宋体" w:cs="宋体"/>
                <w:sz w:val="21"/>
                <w:szCs w:val="21"/>
              </w:rPr>
              <w:t>对账户名、密码等账户信息进行设置</w:t>
            </w:r>
          </w:p>
        </w:tc>
      </w:tr>
      <w:tr w14:paraId="277E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1A314F6">
            <w:pPr>
              <w:spacing w:line="360" w:lineRule="auto"/>
              <w:rPr>
                <w:rFonts w:hint="eastAsia" w:ascii="宋体" w:hAnsi="宋体" w:eastAsia="宋体" w:cs="宋体"/>
                <w:sz w:val="21"/>
                <w:szCs w:val="21"/>
              </w:rPr>
            </w:pPr>
          </w:p>
        </w:tc>
        <w:tc>
          <w:tcPr>
            <w:tcW w:w="2127" w:type="dxa"/>
          </w:tcPr>
          <w:p w14:paraId="1EE9B45E">
            <w:pPr>
              <w:spacing w:line="360" w:lineRule="auto"/>
              <w:rPr>
                <w:rFonts w:hint="eastAsia" w:ascii="宋体" w:hAnsi="宋体" w:eastAsia="宋体" w:cs="宋体"/>
                <w:sz w:val="21"/>
                <w:szCs w:val="21"/>
              </w:rPr>
            </w:pPr>
            <w:r>
              <w:rPr>
                <w:rFonts w:hint="eastAsia" w:ascii="宋体" w:hAnsi="宋体" w:eastAsia="宋体" w:cs="宋体"/>
                <w:sz w:val="21"/>
                <w:szCs w:val="21"/>
              </w:rPr>
              <w:t>报修反馈</w:t>
            </w:r>
          </w:p>
        </w:tc>
        <w:tc>
          <w:tcPr>
            <w:tcW w:w="5533" w:type="dxa"/>
          </w:tcPr>
          <w:p w14:paraId="20BFFA0C">
            <w:pPr>
              <w:spacing w:line="360" w:lineRule="auto"/>
              <w:rPr>
                <w:rFonts w:hint="eastAsia" w:ascii="宋体" w:hAnsi="宋体" w:eastAsia="宋体" w:cs="宋体"/>
                <w:sz w:val="21"/>
                <w:szCs w:val="21"/>
              </w:rPr>
            </w:pPr>
            <w:r>
              <w:rPr>
                <w:rFonts w:hint="eastAsia" w:ascii="宋体" w:hAnsi="宋体" w:eastAsia="宋体" w:cs="宋体"/>
                <w:sz w:val="21"/>
                <w:szCs w:val="21"/>
              </w:rPr>
              <w:t>可对绑定的温控器进行报修或反馈建议</w:t>
            </w:r>
          </w:p>
        </w:tc>
      </w:tr>
    </w:tbl>
    <w:p w14:paraId="275A9C0F">
      <w:pPr>
        <w:rPr>
          <w:rFonts w:hint="eastAsia" w:ascii="宋体" w:hAnsi="宋体" w:eastAsia="宋体" w:cs="宋体"/>
          <w:sz w:val="21"/>
          <w:szCs w:val="21"/>
        </w:rPr>
      </w:pPr>
    </w:p>
    <w:p w14:paraId="502DCFF4">
      <w:pPr>
        <w:rPr>
          <w:rFonts w:hint="eastAsia" w:ascii="宋体" w:hAnsi="宋体" w:eastAsia="宋体" w:cs="宋体"/>
          <w:sz w:val="21"/>
          <w:szCs w:val="21"/>
        </w:rPr>
      </w:pPr>
    </w:p>
    <w:p w14:paraId="370848C9">
      <w:pPr>
        <w:rPr>
          <w:rFonts w:hint="eastAsia" w:ascii="宋体" w:hAnsi="宋体" w:eastAsia="宋体" w:cs="宋体"/>
          <w:sz w:val="21"/>
          <w:szCs w:val="21"/>
        </w:rPr>
      </w:pP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27"/>
        <w:gridCol w:w="5533"/>
      </w:tblGrid>
      <w:tr w14:paraId="314A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BEBEBE"/>
          </w:tcPr>
          <w:p w14:paraId="5B9231D0">
            <w:pPr>
              <w:spacing w:line="360" w:lineRule="auto"/>
              <w:rPr>
                <w:rFonts w:hint="eastAsia" w:ascii="宋体" w:hAnsi="宋体" w:eastAsia="宋体" w:cs="宋体"/>
                <w:b/>
                <w:sz w:val="21"/>
                <w:szCs w:val="21"/>
              </w:rPr>
            </w:pPr>
          </w:p>
        </w:tc>
        <w:tc>
          <w:tcPr>
            <w:tcW w:w="2127" w:type="dxa"/>
            <w:shd w:val="clear" w:color="auto" w:fill="BEBEBE"/>
          </w:tcPr>
          <w:p w14:paraId="32BC70E8">
            <w:pPr>
              <w:spacing w:line="360" w:lineRule="auto"/>
              <w:rPr>
                <w:rFonts w:hint="eastAsia" w:ascii="宋体" w:hAnsi="宋体" w:eastAsia="宋体" w:cs="宋体"/>
                <w:b/>
                <w:sz w:val="21"/>
                <w:szCs w:val="21"/>
              </w:rPr>
            </w:pPr>
            <w:r>
              <w:rPr>
                <w:rFonts w:hint="eastAsia" w:ascii="宋体" w:hAnsi="宋体" w:eastAsia="宋体" w:cs="宋体"/>
                <w:b/>
                <w:sz w:val="21"/>
                <w:szCs w:val="21"/>
              </w:rPr>
              <w:t>功能名称</w:t>
            </w:r>
          </w:p>
        </w:tc>
        <w:tc>
          <w:tcPr>
            <w:tcW w:w="5533" w:type="dxa"/>
            <w:shd w:val="clear" w:color="auto" w:fill="BEBEBE"/>
          </w:tcPr>
          <w:p w14:paraId="1ADA1DF9">
            <w:pPr>
              <w:spacing w:line="360" w:lineRule="auto"/>
              <w:rPr>
                <w:rFonts w:hint="eastAsia" w:ascii="宋体" w:hAnsi="宋体" w:eastAsia="宋体" w:cs="宋体"/>
                <w:b/>
                <w:sz w:val="21"/>
                <w:szCs w:val="21"/>
              </w:rPr>
            </w:pPr>
            <w:r>
              <w:rPr>
                <w:rFonts w:hint="eastAsia" w:ascii="宋体" w:hAnsi="宋体" w:eastAsia="宋体" w:cs="宋体"/>
                <w:b/>
                <w:sz w:val="21"/>
                <w:szCs w:val="21"/>
              </w:rPr>
              <w:t>具体要求</w:t>
            </w:r>
          </w:p>
        </w:tc>
      </w:tr>
      <w:tr w14:paraId="73C9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04358C56">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管理端微信小程序</w:t>
            </w:r>
          </w:p>
        </w:tc>
        <w:tc>
          <w:tcPr>
            <w:tcW w:w="2127" w:type="dxa"/>
          </w:tcPr>
          <w:p w14:paraId="355D71CD">
            <w:pPr>
              <w:spacing w:line="360" w:lineRule="auto"/>
              <w:rPr>
                <w:rFonts w:hint="eastAsia" w:ascii="宋体" w:hAnsi="宋体" w:eastAsia="宋体" w:cs="宋体"/>
                <w:sz w:val="21"/>
                <w:szCs w:val="21"/>
              </w:rPr>
            </w:pPr>
            <w:r>
              <w:rPr>
                <w:rFonts w:hint="eastAsia" w:ascii="宋体" w:hAnsi="宋体" w:eastAsia="宋体" w:cs="宋体"/>
                <w:sz w:val="21"/>
                <w:szCs w:val="21"/>
              </w:rPr>
              <w:t>登录</w:t>
            </w:r>
          </w:p>
        </w:tc>
        <w:tc>
          <w:tcPr>
            <w:tcW w:w="5533" w:type="dxa"/>
          </w:tcPr>
          <w:p w14:paraId="4296CAF5">
            <w:pPr>
              <w:spacing w:line="360" w:lineRule="auto"/>
              <w:rPr>
                <w:rFonts w:hint="eastAsia" w:ascii="宋体" w:hAnsi="宋体" w:eastAsia="宋体" w:cs="宋体"/>
                <w:sz w:val="21"/>
                <w:szCs w:val="21"/>
              </w:rPr>
            </w:pPr>
            <w:r>
              <w:rPr>
                <w:rFonts w:hint="eastAsia" w:ascii="宋体" w:hAnsi="宋体" w:eastAsia="宋体" w:cs="宋体"/>
                <w:sz w:val="21"/>
                <w:szCs w:val="21"/>
              </w:rPr>
              <w:t>通过二维码或者微信查找下载小程序，用户通过平台系统设定的权限分级进行登录。</w:t>
            </w:r>
          </w:p>
        </w:tc>
      </w:tr>
      <w:tr w14:paraId="3851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10F1A63E">
            <w:pPr>
              <w:spacing w:line="360" w:lineRule="auto"/>
              <w:jc w:val="center"/>
              <w:rPr>
                <w:rFonts w:hint="eastAsia" w:ascii="宋体" w:hAnsi="宋体" w:eastAsia="宋体" w:cs="宋体"/>
                <w:b/>
                <w:sz w:val="21"/>
                <w:szCs w:val="21"/>
              </w:rPr>
            </w:pPr>
          </w:p>
        </w:tc>
        <w:tc>
          <w:tcPr>
            <w:tcW w:w="2127" w:type="dxa"/>
          </w:tcPr>
          <w:p w14:paraId="60803E73">
            <w:pPr>
              <w:spacing w:line="360" w:lineRule="auto"/>
              <w:rPr>
                <w:rFonts w:hint="eastAsia" w:ascii="宋体" w:hAnsi="宋体" w:eastAsia="宋体" w:cs="宋体"/>
                <w:sz w:val="21"/>
                <w:szCs w:val="21"/>
              </w:rPr>
            </w:pPr>
            <w:r>
              <w:rPr>
                <w:rFonts w:hint="eastAsia" w:ascii="宋体" w:hAnsi="宋体" w:eastAsia="宋体" w:cs="宋体"/>
                <w:sz w:val="21"/>
                <w:szCs w:val="21"/>
              </w:rPr>
              <w:t>地图登录</w:t>
            </w:r>
          </w:p>
        </w:tc>
        <w:tc>
          <w:tcPr>
            <w:tcW w:w="5533" w:type="dxa"/>
          </w:tcPr>
          <w:p w14:paraId="2632A65B">
            <w:pPr>
              <w:spacing w:line="360" w:lineRule="auto"/>
              <w:rPr>
                <w:rFonts w:hint="eastAsia" w:ascii="宋体" w:hAnsi="宋体" w:eastAsia="宋体" w:cs="宋体"/>
                <w:sz w:val="21"/>
                <w:szCs w:val="21"/>
              </w:rPr>
            </w:pPr>
            <w:r>
              <w:rPr>
                <w:rFonts w:hint="eastAsia" w:ascii="宋体" w:hAnsi="宋体" w:eastAsia="宋体" w:cs="宋体"/>
                <w:sz w:val="21"/>
                <w:szCs w:val="21"/>
              </w:rPr>
              <w:t>通过地图方式进入校区，有校区统计，进入每一栋菜单有每栋的用量统计，如当前开机数量，待机数量、离线数量等。</w:t>
            </w:r>
          </w:p>
        </w:tc>
      </w:tr>
      <w:tr w14:paraId="482A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03DD7851">
            <w:pPr>
              <w:spacing w:line="360" w:lineRule="auto"/>
              <w:jc w:val="center"/>
              <w:rPr>
                <w:rFonts w:hint="eastAsia" w:ascii="宋体" w:hAnsi="宋体" w:eastAsia="宋体" w:cs="宋体"/>
                <w:b/>
                <w:sz w:val="21"/>
                <w:szCs w:val="21"/>
              </w:rPr>
            </w:pPr>
          </w:p>
        </w:tc>
        <w:tc>
          <w:tcPr>
            <w:tcW w:w="2127" w:type="dxa"/>
          </w:tcPr>
          <w:p w14:paraId="06FF7E9A">
            <w:pPr>
              <w:spacing w:line="360" w:lineRule="auto"/>
              <w:rPr>
                <w:rFonts w:hint="eastAsia" w:ascii="宋体" w:hAnsi="宋体" w:eastAsia="宋体" w:cs="宋体"/>
                <w:sz w:val="21"/>
                <w:szCs w:val="21"/>
              </w:rPr>
            </w:pPr>
            <w:r>
              <w:rPr>
                <w:rFonts w:hint="eastAsia" w:ascii="宋体" w:hAnsi="宋体" w:eastAsia="宋体" w:cs="宋体"/>
                <w:sz w:val="21"/>
                <w:szCs w:val="21"/>
              </w:rPr>
              <w:t>授权温控器列表</w:t>
            </w:r>
          </w:p>
        </w:tc>
        <w:tc>
          <w:tcPr>
            <w:tcW w:w="5533" w:type="dxa"/>
          </w:tcPr>
          <w:p w14:paraId="09227BEF">
            <w:pPr>
              <w:spacing w:line="360" w:lineRule="auto"/>
              <w:rPr>
                <w:rFonts w:hint="eastAsia" w:ascii="宋体" w:hAnsi="宋体" w:eastAsia="宋体" w:cs="宋体"/>
                <w:sz w:val="21"/>
                <w:szCs w:val="21"/>
              </w:rPr>
            </w:pPr>
            <w:r>
              <w:rPr>
                <w:rFonts w:hint="eastAsia" w:ascii="宋体" w:hAnsi="宋体" w:eastAsia="宋体" w:cs="宋体"/>
                <w:sz w:val="21"/>
                <w:szCs w:val="21"/>
              </w:rPr>
              <w:t>授权管理者登录后可以看到授权校区的温控器。</w:t>
            </w:r>
          </w:p>
        </w:tc>
      </w:tr>
      <w:tr w14:paraId="1577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524E590">
            <w:pPr>
              <w:spacing w:line="360" w:lineRule="auto"/>
              <w:rPr>
                <w:rFonts w:hint="eastAsia" w:ascii="宋体" w:hAnsi="宋体" w:eastAsia="宋体" w:cs="宋体"/>
                <w:b/>
                <w:sz w:val="21"/>
                <w:szCs w:val="21"/>
              </w:rPr>
            </w:pPr>
          </w:p>
        </w:tc>
        <w:tc>
          <w:tcPr>
            <w:tcW w:w="2127" w:type="dxa"/>
          </w:tcPr>
          <w:p w14:paraId="1FA6F1DD">
            <w:pPr>
              <w:spacing w:line="360" w:lineRule="auto"/>
              <w:rPr>
                <w:rFonts w:hint="eastAsia" w:ascii="宋体" w:hAnsi="宋体" w:eastAsia="宋体" w:cs="宋体"/>
                <w:sz w:val="21"/>
                <w:szCs w:val="21"/>
              </w:rPr>
            </w:pPr>
            <w:r>
              <w:rPr>
                <w:rFonts w:hint="eastAsia" w:ascii="宋体" w:hAnsi="宋体" w:eastAsia="宋体" w:cs="宋体"/>
                <w:sz w:val="21"/>
                <w:szCs w:val="21"/>
              </w:rPr>
              <w:t>温控器页面</w:t>
            </w:r>
          </w:p>
        </w:tc>
        <w:tc>
          <w:tcPr>
            <w:tcW w:w="5533" w:type="dxa"/>
          </w:tcPr>
          <w:p w14:paraId="10DBEB04">
            <w:pPr>
              <w:spacing w:line="360" w:lineRule="auto"/>
              <w:rPr>
                <w:rFonts w:hint="eastAsia" w:ascii="宋体" w:hAnsi="宋体" w:eastAsia="宋体" w:cs="宋体"/>
                <w:sz w:val="21"/>
                <w:szCs w:val="21"/>
              </w:rPr>
            </w:pPr>
            <w:r>
              <w:rPr>
                <w:rFonts w:hint="eastAsia" w:ascii="宋体" w:hAnsi="宋体" w:eastAsia="宋体" w:cs="宋体"/>
                <w:sz w:val="21"/>
                <w:szCs w:val="21"/>
              </w:rPr>
              <w:t>温控器控制页面要优化，能让用户易于识别和控制，有动态显示图，如风速动态图等。</w:t>
            </w:r>
          </w:p>
          <w:p w14:paraId="6B8DD509">
            <w:pPr>
              <w:spacing w:line="360" w:lineRule="auto"/>
              <w:rPr>
                <w:rFonts w:hint="eastAsia" w:ascii="宋体" w:hAnsi="宋体" w:eastAsia="宋体" w:cs="宋体"/>
                <w:sz w:val="21"/>
                <w:szCs w:val="21"/>
              </w:rPr>
            </w:pPr>
            <w:r>
              <w:rPr>
                <w:rFonts w:hint="eastAsia" w:ascii="宋体" w:hAnsi="宋体" w:eastAsia="宋体" w:cs="宋体"/>
                <w:sz w:val="21"/>
                <w:szCs w:val="21"/>
              </w:rPr>
              <w:t>能显示授权温控器的状态情况，如开关机状态、室内温度、设定温度、档位、累计时间、剩余时间、禁用状态等信息，能把这些信息分类汇总。</w:t>
            </w:r>
          </w:p>
        </w:tc>
      </w:tr>
      <w:tr w14:paraId="6CD0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72D2D6F">
            <w:pPr>
              <w:spacing w:line="360" w:lineRule="auto"/>
              <w:rPr>
                <w:rFonts w:hint="eastAsia" w:ascii="宋体" w:hAnsi="宋体" w:eastAsia="宋体" w:cs="宋体"/>
                <w:b/>
                <w:sz w:val="21"/>
                <w:szCs w:val="21"/>
              </w:rPr>
            </w:pPr>
          </w:p>
        </w:tc>
        <w:tc>
          <w:tcPr>
            <w:tcW w:w="2127" w:type="dxa"/>
          </w:tcPr>
          <w:p w14:paraId="295F621C">
            <w:pPr>
              <w:spacing w:line="360" w:lineRule="auto"/>
              <w:rPr>
                <w:rFonts w:hint="eastAsia" w:ascii="宋体" w:hAnsi="宋体" w:eastAsia="宋体" w:cs="宋体"/>
                <w:sz w:val="21"/>
                <w:szCs w:val="21"/>
              </w:rPr>
            </w:pPr>
            <w:r>
              <w:rPr>
                <w:rFonts w:hint="eastAsia" w:ascii="宋体" w:hAnsi="宋体" w:eastAsia="宋体" w:cs="宋体"/>
                <w:sz w:val="21"/>
                <w:szCs w:val="21"/>
              </w:rPr>
              <w:t>温控器控制</w:t>
            </w:r>
          </w:p>
        </w:tc>
        <w:tc>
          <w:tcPr>
            <w:tcW w:w="5533" w:type="dxa"/>
          </w:tcPr>
          <w:p w14:paraId="38EE79BF">
            <w:pPr>
              <w:spacing w:line="360" w:lineRule="auto"/>
              <w:rPr>
                <w:rFonts w:hint="eastAsia" w:ascii="宋体" w:hAnsi="宋体" w:eastAsia="宋体" w:cs="宋体"/>
                <w:sz w:val="21"/>
                <w:szCs w:val="21"/>
              </w:rPr>
            </w:pPr>
            <w:r>
              <w:rPr>
                <w:rFonts w:hint="eastAsia" w:ascii="宋体" w:hAnsi="宋体" w:eastAsia="宋体" w:cs="宋体"/>
                <w:sz w:val="21"/>
                <w:szCs w:val="21"/>
              </w:rPr>
              <w:t>点击相应的温控器图标进入温控器设定画面，可以开关机、调温、调档、禁用等操作，平台系统应能记录是管理者对温控器的操作。</w:t>
            </w:r>
          </w:p>
        </w:tc>
      </w:tr>
      <w:tr w14:paraId="0F5A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5B2926B">
            <w:pPr>
              <w:spacing w:line="360" w:lineRule="auto"/>
              <w:rPr>
                <w:rFonts w:hint="eastAsia" w:ascii="宋体" w:hAnsi="宋体" w:eastAsia="宋体" w:cs="宋体"/>
                <w:sz w:val="21"/>
                <w:szCs w:val="21"/>
              </w:rPr>
            </w:pPr>
          </w:p>
        </w:tc>
        <w:tc>
          <w:tcPr>
            <w:tcW w:w="2127" w:type="dxa"/>
          </w:tcPr>
          <w:p w14:paraId="0D618405">
            <w:pPr>
              <w:spacing w:line="360" w:lineRule="auto"/>
              <w:rPr>
                <w:rFonts w:hint="eastAsia" w:ascii="宋体" w:hAnsi="宋体" w:eastAsia="宋体" w:cs="宋体"/>
                <w:sz w:val="21"/>
                <w:szCs w:val="21"/>
              </w:rPr>
            </w:pPr>
            <w:r>
              <w:rPr>
                <w:rFonts w:hint="eastAsia" w:ascii="宋体" w:hAnsi="宋体" w:eastAsia="宋体" w:cs="宋体"/>
                <w:sz w:val="21"/>
                <w:szCs w:val="21"/>
              </w:rPr>
              <w:t>报警通知</w:t>
            </w:r>
          </w:p>
        </w:tc>
        <w:tc>
          <w:tcPr>
            <w:tcW w:w="5533" w:type="dxa"/>
          </w:tcPr>
          <w:p w14:paraId="1D1EE00F">
            <w:pPr>
              <w:spacing w:line="360" w:lineRule="auto"/>
              <w:rPr>
                <w:rFonts w:hint="eastAsia" w:ascii="宋体" w:hAnsi="宋体" w:eastAsia="宋体" w:cs="宋体"/>
                <w:sz w:val="21"/>
                <w:szCs w:val="21"/>
              </w:rPr>
            </w:pPr>
            <w:r>
              <w:rPr>
                <w:rFonts w:hint="eastAsia" w:ascii="宋体" w:hAnsi="宋体" w:eastAsia="宋体" w:cs="宋体"/>
                <w:color w:val="000000"/>
                <w:sz w:val="21"/>
                <w:szCs w:val="21"/>
              </w:rPr>
              <w:t>提供设备异常等情况报警功能，告警信息，温控器离线需要报警并记录，需要在系统弹窗，需要与管理者或维保人员的微信关联，能第一时间通知到维保人员到场处理。设备离线到管理者收到报警信息不超过5分钟。</w:t>
            </w:r>
          </w:p>
        </w:tc>
      </w:tr>
      <w:tr w14:paraId="6F23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5C088FE">
            <w:pPr>
              <w:spacing w:line="360" w:lineRule="auto"/>
              <w:rPr>
                <w:rFonts w:hint="eastAsia" w:ascii="宋体" w:hAnsi="宋体" w:eastAsia="宋体" w:cs="宋体"/>
                <w:sz w:val="21"/>
                <w:szCs w:val="21"/>
              </w:rPr>
            </w:pPr>
          </w:p>
        </w:tc>
        <w:tc>
          <w:tcPr>
            <w:tcW w:w="2127" w:type="dxa"/>
          </w:tcPr>
          <w:p w14:paraId="61D3CBCA">
            <w:pPr>
              <w:spacing w:line="360" w:lineRule="auto"/>
              <w:rPr>
                <w:rFonts w:hint="eastAsia" w:ascii="宋体" w:hAnsi="宋体" w:eastAsia="宋体" w:cs="宋体"/>
                <w:sz w:val="21"/>
                <w:szCs w:val="21"/>
              </w:rPr>
            </w:pPr>
            <w:r>
              <w:rPr>
                <w:rFonts w:hint="eastAsia" w:ascii="宋体" w:hAnsi="宋体" w:eastAsia="宋体" w:cs="宋体"/>
                <w:sz w:val="21"/>
                <w:szCs w:val="21"/>
              </w:rPr>
              <w:t>报修通知</w:t>
            </w:r>
          </w:p>
        </w:tc>
        <w:tc>
          <w:tcPr>
            <w:tcW w:w="5533" w:type="dxa"/>
          </w:tcPr>
          <w:p w14:paraId="2FC11236">
            <w:pPr>
              <w:spacing w:line="360" w:lineRule="auto"/>
              <w:rPr>
                <w:rFonts w:hint="eastAsia" w:ascii="宋体" w:hAnsi="宋体" w:eastAsia="宋体" w:cs="宋体"/>
                <w:sz w:val="21"/>
                <w:szCs w:val="21"/>
              </w:rPr>
            </w:pPr>
            <w:r>
              <w:rPr>
                <w:rFonts w:hint="eastAsia" w:ascii="宋体" w:hAnsi="宋体" w:eastAsia="宋体" w:cs="宋体"/>
                <w:sz w:val="21"/>
                <w:szCs w:val="21"/>
              </w:rPr>
              <w:t>提供用户报修的通知展示，展示报修的人的姓名和联系方式，提醒维护人员维护温控器</w:t>
            </w:r>
          </w:p>
        </w:tc>
      </w:tr>
      <w:tr w14:paraId="2FC8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21FAE33">
            <w:pPr>
              <w:spacing w:line="360" w:lineRule="auto"/>
              <w:rPr>
                <w:rFonts w:hint="eastAsia" w:ascii="宋体" w:hAnsi="宋体" w:eastAsia="宋体" w:cs="宋体"/>
                <w:sz w:val="21"/>
                <w:szCs w:val="21"/>
              </w:rPr>
            </w:pPr>
          </w:p>
        </w:tc>
        <w:tc>
          <w:tcPr>
            <w:tcW w:w="2127" w:type="dxa"/>
          </w:tcPr>
          <w:p w14:paraId="2CEDA446">
            <w:pPr>
              <w:spacing w:line="360" w:lineRule="auto"/>
              <w:rPr>
                <w:rFonts w:hint="eastAsia" w:ascii="宋体" w:hAnsi="宋体" w:eastAsia="宋体" w:cs="宋体"/>
                <w:sz w:val="21"/>
                <w:szCs w:val="21"/>
              </w:rPr>
            </w:pPr>
            <w:r>
              <w:rPr>
                <w:rFonts w:hint="eastAsia" w:ascii="宋体" w:hAnsi="宋体" w:eastAsia="宋体" w:cs="宋体"/>
                <w:sz w:val="21"/>
                <w:szCs w:val="21"/>
              </w:rPr>
              <w:t>系统设置</w:t>
            </w:r>
          </w:p>
        </w:tc>
        <w:tc>
          <w:tcPr>
            <w:tcW w:w="5533" w:type="dxa"/>
          </w:tcPr>
          <w:p w14:paraId="2D176B90">
            <w:pPr>
              <w:spacing w:line="360" w:lineRule="auto"/>
              <w:rPr>
                <w:rFonts w:hint="eastAsia" w:ascii="宋体" w:hAnsi="宋体" w:eastAsia="宋体" w:cs="宋体"/>
                <w:sz w:val="21"/>
                <w:szCs w:val="21"/>
              </w:rPr>
            </w:pPr>
            <w:r>
              <w:rPr>
                <w:rFonts w:hint="eastAsia" w:ascii="宋体" w:hAnsi="宋体" w:eastAsia="宋体" w:cs="宋体"/>
                <w:sz w:val="21"/>
                <w:szCs w:val="21"/>
              </w:rPr>
              <w:t>对账户名、密码等账户信息进行设置</w:t>
            </w:r>
          </w:p>
        </w:tc>
      </w:tr>
    </w:tbl>
    <w:p w14:paraId="7A8FA67B">
      <w:pPr>
        <w:rPr>
          <w:rFonts w:ascii="宋体" w:hAnsi="宋体" w:cs="宋体"/>
          <w:color w:val="000000" w:themeColor="text1"/>
          <w14:textFill>
            <w14:solidFill>
              <w14:schemeClr w14:val="tx1"/>
            </w14:solidFill>
          </w14:textFill>
        </w:rPr>
      </w:pPr>
    </w:p>
    <w:bookmarkEnd w:id="1"/>
    <w:bookmarkEnd w:id="2"/>
    <w:bookmarkEnd w:id="3"/>
    <w:bookmarkEnd w:id="4"/>
    <w:bookmarkEnd w:id="5"/>
    <w:bookmarkEnd w:id="6"/>
    <w:p w14:paraId="64BE4AF5">
      <w:pPr>
        <w:widowControl/>
        <w:jc w:val="left"/>
        <w:rPr>
          <w:rFonts w:hint="eastAsia" w:ascii="宋体" w:hAnsi="宋体"/>
          <w:sz w:val="32"/>
        </w:rPr>
      </w:pPr>
      <w:r>
        <w:rPr>
          <w:rFonts w:hint="eastAsia" w:ascii="宋体" w:hAnsi="宋体"/>
          <w:sz w:val="32"/>
        </w:rPr>
        <w:br w:type="page"/>
      </w:r>
    </w:p>
    <w:p w14:paraId="5BD26105">
      <w:pPr>
        <w:spacing w:line="360" w:lineRule="auto"/>
        <w:jc w:val="both"/>
        <w:rPr>
          <w:rFonts w:ascii="宋体" w:hAnsi="宋体"/>
          <w:sz w:val="32"/>
          <w:highlight w:val="none"/>
        </w:rPr>
      </w:pPr>
      <w:r>
        <w:rPr>
          <w:rFonts w:hint="eastAsia" w:ascii="宋体" w:hAnsi="宋体" w:eastAsia="宋体" w:cs="宋体"/>
          <w:sz w:val="30"/>
          <w:szCs w:val="30"/>
          <w:lang w:val="en-US" w:eastAsia="zh-CN"/>
        </w:rPr>
        <w:t xml:space="preserve">附件2                      </w:t>
      </w:r>
      <w:r>
        <w:rPr>
          <w:rFonts w:hint="eastAsia" w:ascii="宋体" w:hAnsi="宋体"/>
          <w:sz w:val="32"/>
          <w:highlight w:val="none"/>
          <w:lang w:val="en-US" w:eastAsia="zh-CN"/>
        </w:rPr>
        <w:t>包组二</w:t>
      </w:r>
      <w:r>
        <w:rPr>
          <w:rFonts w:hint="eastAsia" w:ascii="宋体" w:hAnsi="宋体"/>
          <w:sz w:val="32"/>
          <w:highlight w:val="none"/>
        </w:rPr>
        <w:t>采购需求</w:t>
      </w:r>
    </w:p>
    <w:p w14:paraId="764A5269">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67FA47F6">
      <w:pPr>
        <w:numPr>
          <w:ilvl w:val="0"/>
          <w:numId w:val="24"/>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25"/>
        </w:numPr>
        <w:tabs>
          <w:tab w:val="left" w:pos="420"/>
        </w:tabs>
        <w:spacing w:line="360" w:lineRule="auto"/>
        <w:rPr>
          <w:rFonts w:hint="eastAsia" w:ascii="宋体" w:hAnsi="宋体"/>
          <w:sz w:val="22"/>
          <w:szCs w:val="22"/>
          <w:highlight w:val="none"/>
          <w:lang w:val="en-US" w:eastAsia="zh-CN"/>
        </w:rPr>
      </w:pPr>
      <w:r>
        <w:rPr>
          <w:rFonts w:hint="eastAsia" w:ascii="宋体" w:hAnsi="宋体" w:eastAsia="宋体"/>
          <w:sz w:val="24"/>
          <w:lang w:eastAsia="zh-CN"/>
        </w:rPr>
        <w:t>星海音乐学院学生宿舍中央空调计时计费系统项目</w:t>
      </w:r>
      <w:r>
        <w:rPr>
          <w:rFonts w:hint="eastAsia" w:ascii="宋体" w:hAnsi="宋体"/>
          <w:sz w:val="24"/>
        </w:rPr>
        <w:t>材料采购清单</w:t>
      </w:r>
    </w:p>
    <w:tbl>
      <w:tblPr>
        <w:tblStyle w:val="13"/>
        <w:tblW w:w="8716" w:type="dxa"/>
        <w:tblInd w:w="0" w:type="dxa"/>
        <w:tblLayout w:type="fixed"/>
        <w:tblCellMar>
          <w:top w:w="0" w:type="dxa"/>
          <w:left w:w="108" w:type="dxa"/>
          <w:bottom w:w="0" w:type="dxa"/>
          <w:right w:w="108" w:type="dxa"/>
        </w:tblCellMar>
      </w:tblPr>
      <w:tblGrid>
        <w:gridCol w:w="691"/>
        <w:gridCol w:w="1249"/>
        <w:gridCol w:w="4031"/>
        <w:gridCol w:w="818"/>
        <w:gridCol w:w="855"/>
        <w:gridCol w:w="1072"/>
      </w:tblGrid>
      <w:tr w14:paraId="0854E7C9">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249"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4031"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249"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ascii="微软雅黑" w:hAnsi="微软雅黑" w:eastAsia="微软雅黑" w:cs="微软雅黑"/>
                <w:i w:val="0"/>
                <w:iCs w:val="0"/>
                <w:caps w:val="0"/>
                <w:color w:val="333333"/>
                <w:spacing w:val="0"/>
                <w:sz w:val="21"/>
                <w:szCs w:val="21"/>
              </w:rPr>
              <w:t>电动二通阀执行器</w:t>
            </w:r>
          </w:p>
        </w:tc>
        <w:tc>
          <w:tcPr>
            <w:tcW w:w="4031" w:type="dxa"/>
            <w:tcBorders>
              <w:top w:val="single" w:color="auto" w:sz="4" w:space="0"/>
              <w:left w:val="nil"/>
              <w:bottom w:val="single" w:color="auto" w:sz="4" w:space="0"/>
              <w:right w:val="single" w:color="auto" w:sz="4" w:space="0"/>
              <w:tl2br w:val="nil"/>
              <w:tr2bl w:val="nil"/>
            </w:tcBorders>
            <w:vAlign w:val="top"/>
          </w:tcPr>
          <w:p w14:paraId="7DDCC71A">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333333"/>
                <w:spacing w:val="0"/>
                <w:sz w:val="21"/>
                <w:szCs w:val="21"/>
              </w:rPr>
              <w:t>推荐品牌:三和易通、粤桥、汉诺尔。参考但不限于以上品牌； 型号规格：DN20，横压式，定位连接形式：三孔定位；传动齿轮材质：青铜合金；电源：AC220V；执行器驱动电机要求：6W以上</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14:paraId="5FAA2D2E">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179394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249" w:type="dxa"/>
            <w:tcBorders>
              <w:top w:val="single" w:color="auto" w:sz="4" w:space="0"/>
              <w:left w:val="single" w:color="auto" w:sz="4" w:space="0"/>
              <w:bottom w:val="single" w:color="auto" w:sz="4" w:space="0"/>
              <w:right w:val="single" w:color="auto" w:sz="4" w:space="0"/>
              <w:tl2br w:val="nil"/>
              <w:tr2bl w:val="nil"/>
            </w:tcBorders>
            <w:vAlign w:val="center"/>
          </w:tcPr>
          <w:p w14:paraId="120C4081">
            <w:pPr>
              <w:keepNext w:val="0"/>
              <w:keepLines w:val="0"/>
              <w:widowControl/>
              <w:suppressLineNumbers w:val="0"/>
              <w:jc w:val="center"/>
              <w:textAlignment w:val="center"/>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白色哑光墙漆</w:t>
            </w:r>
          </w:p>
        </w:tc>
        <w:tc>
          <w:tcPr>
            <w:tcW w:w="4031" w:type="dxa"/>
            <w:tcBorders>
              <w:top w:val="single" w:color="auto" w:sz="4" w:space="0"/>
              <w:left w:val="nil"/>
              <w:bottom w:val="single" w:color="auto" w:sz="4" w:space="0"/>
              <w:right w:val="single" w:color="auto" w:sz="4" w:space="0"/>
              <w:tl2br w:val="nil"/>
              <w:tr2bl w:val="nil"/>
            </w:tcBorders>
            <w:vAlign w:val="center"/>
          </w:tcPr>
          <w:p w14:paraId="5FFCEB80">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lang w:val="en-US" w:eastAsia="zh-CN"/>
              </w:rPr>
              <w:t>5L</w:t>
            </w:r>
          </w:p>
        </w:tc>
        <w:tc>
          <w:tcPr>
            <w:tcW w:w="818" w:type="dxa"/>
            <w:tcBorders>
              <w:top w:val="single" w:color="auto" w:sz="4" w:space="0"/>
              <w:left w:val="nil"/>
              <w:bottom w:val="single" w:color="auto" w:sz="4" w:space="0"/>
              <w:right w:val="single" w:color="auto" w:sz="4" w:space="0"/>
              <w:tl2br w:val="nil"/>
              <w:tr2bl w:val="nil"/>
            </w:tcBorders>
            <w:vAlign w:val="center"/>
          </w:tcPr>
          <w:p w14:paraId="3187D2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2B51239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1C0CD821">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14:paraId="643C2D6F">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D6D288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249" w:type="dxa"/>
            <w:tcBorders>
              <w:top w:val="single" w:color="auto" w:sz="4" w:space="0"/>
              <w:left w:val="single" w:color="auto" w:sz="4" w:space="0"/>
              <w:bottom w:val="single" w:color="auto" w:sz="4" w:space="0"/>
              <w:right w:val="single" w:color="auto" w:sz="4" w:space="0"/>
              <w:tl2br w:val="nil"/>
              <w:tr2bl w:val="nil"/>
            </w:tcBorders>
            <w:vAlign w:val="center"/>
          </w:tcPr>
          <w:p w14:paraId="5FAA379F">
            <w:pPr>
              <w:keepNext w:val="0"/>
              <w:keepLines w:val="0"/>
              <w:widowControl/>
              <w:suppressLineNumbers w:val="0"/>
              <w:jc w:val="center"/>
              <w:textAlignment w:val="center"/>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墙面补墙育</w:t>
            </w:r>
          </w:p>
        </w:tc>
        <w:tc>
          <w:tcPr>
            <w:tcW w:w="4031" w:type="dxa"/>
            <w:tcBorders>
              <w:top w:val="single" w:color="auto" w:sz="4" w:space="0"/>
              <w:left w:val="nil"/>
              <w:bottom w:val="single" w:color="auto" w:sz="4" w:space="0"/>
              <w:right w:val="single" w:color="auto" w:sz="4" w:space="0"/>
              <w:tl2br w:val="nil"/>
              <w:tr2bl w:val="nil"/>
            </w:tcBorders>
            <w:vAlign w:val="center"/>
          </w:tcPr>
          <w:p w14:paraId="35FEE681">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lang w:val="en-US" w:eastAsia="zh-CN"/>
              </w:rPr>
              <w:t>250g</w:t>
            </w:r>
          </w:p>
        </w:tc>
        <w:tc>
          <w:tcPr>
            <w:tcW w:w="818" w:type="dxa"/>
            <w:tcBorders>
              <w:top w:val="single" w:color="auto" w:sz="4" w:space="0"/>
              <w:left w:val="nil"/>
              <w:bottom w:val="single" w:color="auto" w:sz="4" w:space="0"/>
              <w:right w:val="single" w:color="auto" w:sz="4" w:space="0"/>
              <w:tl2br w:val="nil"/>
              <w:tr2bl w:val="nil"/>
            </w:tcBorders>
            <w:vAlign w:val="center"/>
          </w:tcPr>
          <w:p w14:paraId="13B643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855" w:type="dxa"/>
            <w:tcBorders>
              <w:top w:val="single" w:color="auto" w:sz="4" w:space="0"/>
              <w:left w:val="nil"/>
              <w:bottom w:val="single" w:color="auto" w:sz="4" w:space="0"/>
              <w:right w:val="single" w:color="auto" w:sz="4" w:space="0"/>
              <w:tl2br w:val="nil"/>
              <w:tr2bl w:val="nil"/>
            </w:tcBorders>
            <w:vAlign w:val="center"/>
          </w:tcPr>
          <w:p w14:paraId="1D3C8D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072" w:type="dxa"/>
            <w:tcBorders>
              <w:top w:val="single" w:color="auto" w:sz="4" w:space="0"/>
              <w:left w:val="nil"/>
              <w:bottom w:val="single" w:color="auto" w:sz="4" w:space="0"/>
              <w:right w:val="single" w:color="auto" w:sz="4" w:space="0"/>
              <w:tl2br w:val="nil"/>
              <w:tr2bl w:val="nil"/>
            </w:tcBorders>
            <w:vAlign w:val="center"/>
          </w:tcPr>
          <w:p w14:paraId="0DDC40E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bl>
    <w:p w14:paraId="1A05D660">
      <w:pPr>
        <w:spacing w:line="360" w:lineRule="auto"/>
        <w:rPr>
          <w:rFonts w:hint="eastAsia" w:ascii="宋体" w:hAnsi="宋体" w:eastAsia="宋体" w:cs="宋体"/>
          <w:color w:val="auto"/>
          <w:sz w:val="18"/>
          <w:szCs w:val="18"/>
          <w:highlight w:val="none"/>
        </w:rPr>
      </w:pPr>
    </w:p>
    <w:p w14:paraId="7B52137F">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91080BE">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4F6C0137">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14:paraId="735ABE99">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w:t>
      </w:r>
      <w:r>
        <w:rPr>
          <w:rFonts w:hint="eastAsia" w:ascii="宋体" w:hAnsi="宋体"/>
          <w:sz w:val="24"/>
          <w:highlight w:val="none"/>
        </w:rPr>
        <w:t>标处理。</w:t>
      </w:r>
    </w:p>
    <w:p w14:paraId="249BF988">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738882BD">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b/>
          <w:bCs/>
          <w:sz w:val="24"/>
          <w:highlight w:val="none"/>
          <w:lang w:val="en-US" w:eastAsia="zh-CN"/>
        </w:rPr>
        <w:t>货期要求不超过10天。</w:t>
      </w:r>
    </w:p>
    <w:p w14:paraId="3E89BB35">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五）</w:t>
      </w:r>
      <w:r>
        <w:rPr>
          <w:rFonts w:hint="eastAsia" w:ascii="宋体" w:hAnsi="宋体"/>
          <w:sz w:val="24"/>
          <w:highlight w:val="none"/>
        </w:rPr>
        <w:t>包装和装运</w:t>
      </w:r>
    </w:p>
    <w:p w14:paraId="05B4DEDC">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14:paraId="2162803D">
      <w:pPr>
        <w:numPr>
          <w:ilvl w:val="0"/>
          <w:numId w:val="29"/>
        </w:numPr>
        <w:tabs>
          <w:tab w:val="left" w:pos="420"/>
        </w:tabs>
        <w:spacing w:line="360" w:lineRule="auto"/>
        <w:rPr>
          <w:rFonts w:hint="eastAsia" w:ascii="仿宋_GB2312" w:eastAsia="仿宋_GB2312"/>
          <w:sz w:val="28"/>
          <w:szCs w:val="28"/>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2832EFF">
      <w:pPr>
        <w:numPr>
          <w:ilvl w:val="0"/>
          <w:numId w:val="2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14228ADC">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4"/>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5F24CD2E">
      <w:pPr>
        <w:widowControl/>
        <w:jc w:val="left"/>
        <w:rPr>
          <w:rFonts w:hint="default" w:ascii="宋体" w:hAnsi="宋体" w:eastAsia="宋体" w:cs="宋体"/>
          <w:sz w:val="30"/>
          <w:szCs w:val="30"/>
          <w:lang w:val="en-US" w:eastAsia="zh-CN"/>
        </w:rPr>
      </w:pPr>
    </w:p>
    <w:p w14:paraId="7ECF10F0">
      <w:pPr>
        <w:pStyle w:val="2"/>
        <w:rPr>
          <w:rFonts w:hint="default" w:ascii="宋体" w:hAnsi="宋体" w:eastAsia="宋体" w:cs="宋体"/>
          <w:sz w:val="30"/>
          <w:szCs w:val="30"/>
          <w:lang w:val="en-US" w:eastAsia="zh-CN"/>
        </w:rPr>
      </w:pPr>
    </w:p>
    <w:p w14:paraId="1FE36A0B">
      <w:pPr>
        <w:rPr>
          <w:rFonts w:hint="default" w:ascii="宋体" w:hAnsi="宋体" w:eastAsia="宋体" w:cs="宋体"/>
          <w:sz w:val="30"/>
          <w:szCs w:val="30"/>
          <w:lang w:val="en-US" w:eastAsia="zh-CN"/>
        </w:rPr>
      </w:pPr>
    </w:p>
    <w:p w14:paraId="6DDB8D83">
      <w:pPr>
        <w:pStyle w:val="2"/>
        <w:rPr>
          <w:rFonts w:hint="default" w:ascii="宋体" w:hAnsi="宋体" w:eastAsia="宋体" w:cs="宋体"/>
          <w:sz w:val="30"/>
          <w:szCs w:val="30"/>
          <w:lang w:val="en-US" w:eastAsia="zh-CN"/>
        </w:rPr>
      </w:pPr>
    </w:p>
    <w:p w14:paraId="591D5898">
      <w:pPr>
        <w:rPr>
          <w:rFonts w:hint="default" w:ascii="宋体" w:hAnsi="宋体" w:eastAsia="宋体" w:cs="宋体"/>
          <w:sz w:val="30"/>
          <w:szCs w:val="30"/>
          <w:lang w:val="en-US" w:eastAsia="zh-CN"/>
        </w:rPr>
      </w:pPr>
    </w:p>
    <w:p w14:paraId="629BB2F9">
      <w:pPr>
        <w:pStyle w:val="2"/>
        <w:rPr>
          <w:rFonts w:hint="default" w:ascii="宋体" w:hAnsi="宋体" w:eastAsia="宋体" w:cs="宋体"/>
          <w:sz w:val="30"/>
          <w:szCs w:val="30"/>
          <w:lang w:val="en-US" w:eastAsia="zh-CN"/>
        </w:rPr>
      </w:pPr>
    </w:p>
    <w:p w14:paraId="2927A397">
      <w:pPr>
        <w:rPr>
          <w:rFonts w:hint="default" w:ascii="宋体" w:hAnsi="宋体" w:eastAsia="宋体" w:cs="宋体"/>
          <w:sz w:val="30"/>
          <w:szCs w:val="30"/>
          <w:lang w:val="en-US" w:eastAsia="zh-CN"/>
        </w:rPr>
      </w:pPr>
    </w:p>
    <w:p w14:paraId="57824372">
      <w:pPr>
        <w:pStyle w:val="2"/>
        <w:rPr>
          <w:rFonts w:hint="default" w:ascii="宋体" w:hAnsi="宋体" w:eastAsia="宋体" w:cs="宋体"/>
          <w:sz w:val="30"/>
          <w:szCs w:val="30"/>
          <w:lang w:val="en-US" w:eastAsia="zh-CN"/>
        </w:rPr>
      </w:pPr>
    </w:p>
    <w:p w14:paraId="73CE585E">
      <w:pPr>
        <w:rPr>
          <w:rFonts w:hint="default" w:ascii="宋体" w:hAnsi="宋体" w:eastAsia="宋体" w:cs="宋体"/>
          <w:sz w:val="30"/>
          <w:szCs w:val="30"/>
          <w:lang w:val="en-US" w:eastAsia="zh-CN"/>
        </w:rPr>
      </w:pPr>
    </w:p>
    <w:p w14:paraId="39876DAE">
      <w:pPr>
        <w:pStyle w:val="2"/>
        <w:rPr>
          <w:rFonts w:hint="default" w:ascii="宋体" w:hAnsi="宋体" w:eastAsia="宋体" w:cs="宋体"/>
          <w:sz w:val="30"/>
          <w:szCs w:val="30"/>
          <w:lang w:val="en-US" w:eastAsia="zh-CN"/>
        </w:rPr>
      </w:pPr>
    </w:p>
    <w:p w14:paraId="4B3F5AC9">
      <w:pPr>
        <w:rPr>
          <w:rFonts w:hint="default"/>
          <w:lang w:val="en-US" w:eastAsia="zh-CN"/>
        </w:rPr>
      </w:pPr>
    </w:p>
    <w:p w14:paraId="62E953AD">
      <w:pPr>
        <w:widowControl/>
        <w:jc w:val="left"/>
        <w:rPr>
          <w:rFonts w:hint="eastAsia" w:ascii="宋体" w:hAnsi="宋体" w:eastAsia="宋体" w:cs="宋体"/>
          <w:sz w:val="30"/>
          <w:szCs w:val="30"/>
          <w:lang w:eastAsia="zh-CN"/>
        </w:rPr>
      </w:pPr>
      <w:r>
        <w:rPr>
          <w:rFonts w:hint="eastAsia" w:ascii="宋体" w:hAnsi="宋体" w:eastAsia="宋体" w:cs="宋体"/>
          <w:sz w:val="30"/>
          <w:szCs w:val="30"/>
        </w:rPr>
        <w:t>附件</w:t>
      </w:r>
      <w:r>
        <w:rPr>
          <w:rFonts w:hint="eastAsia" w:ascii="宋体" w:hAnsi="宋体" w:eastAsia="宋体" w:cs="宋体"/>
          <w:sz w:val="30"/>
          <w:szCs w:val="30"/>
          <w:lang w:val="en-US" w:eastAsia="zh-CN"/>
        </w:rPr>
        <w:t>3</w:t>
      </w:r>
    </w:p>
    <w:p w14:paraId="094E6E4E">
      <w:pPr>
        <w:spacing w:line="360" w:lineRule="auto"/>
        <w:jc w:val="center"/>
        <w:rPr>
          <w:rFonts w:ascii="宋体" w:hAnsi="宋体"/>
          <w:sz w:val="32"/>
        </w:rPr>
      </w:pPr>
      <w:r>
        <w:rPr>
          <w:rFonts w:hint="eastAsia" w:ascii="宋体" w:hAnsi="宋体"/>
          <w:sz w:val="32"/>
          <w:lang w:val="en-US" w:eastAsia="zh-CN"/>
        </w:rPr>
        <w:t>包组一</w:t>
      </w:r>
      <w:r>
        <w:rPr>
          <w:rFonts w:hint="eastAsia" w:ascii="宋体" w:hAnsi="宋体"/>
          <w:sz w:val="32"/>
        </w:rPr>
        <w:t>报价明细表</w:t>
      </w:r>
    </w:p>
    <w:p w14:paraId="0FAFE20F">
      <w:pPr>
        <w:spacing w:line="360" w:lineRule="auto"/>
        <w:rPr>
          <w:rFonts w:hint="eastAsia" w:ascii="宋体" w:hAnsi="宋体" w:eastAsiaTheme="minorEastAsia"/>
          <w:lang w:eastAsia="zh-CN"/>
        </w:rPr>
      </w:pPr>
      <w:r>
        <w:rPr>
          <w:rFonts w:hint="eastAsia" w:ascii="宋体" w:hAnsi="宋体"/>
        </w:rPr>
        <w:t>项目名称：</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p>
    <w:p w14:paraId="7F09AD92">
      <w:pPr>
        <w:spacing w:line="360" w:lineRule="auto"/>
      </w:pPr>
      <w:r>
        <w:rPr>
          <w:rFonts w:hint="eastAsia" w:ascii="宋体" w:hAnsi="宋体"/>
        </w:rPr>
        <w:t xml:space="preserve">          </w:t>
      </w:r>
    </w:p>
    <w:tbl>
      <w:tblPr>
        <w:tblStyle w:val="13"/>
        <w:tblW w:w="9583" w:type="dxa"/>
        <w:tblInd w:w="0" w:type="dxa"/>
        <w:tblLayout w:type="fixed"/>
        <w:tblCellMar>
          <w:top w:w="0" w:type="dxa"/>
          <w:left w:w="108" w:type="dxa"/>
          <w:bottom w:w="0" w:type="dxa"/>
          <w:right w:w="108" w:type="dxa"/>
        </w:tblCellMar>
      </w:tblPr>
      <w:tblGrid>
        <w:gridCol w:w="533"/>
        <w:gridCol w:w="1129"/>
        <w:gridCol w:w="1255"/>
        <w:gridCol w:w="276"/>
        <w:gridCol w:w="335"/>
        <w:gridCol w:w="596"/>
        <w:gridCol w:w="689"/>
        <w:gridCol w:w="722"/>
        <w:gridCol w:w="690"/>
        <w:gridCol w:w="673"/>
        <w:gridCol w:w="842"/>
        <w:gridCol w:w="2"/>
        <w:gridCol w:w="1008"/>
        <w:gridCol w:w="833"/>
      </w:tblGrid>
      <w:tr w14:paraId="5F88D896">
        <w:tblPrEx>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14:paraId="125AB147">
            <w:pPr>
              <w:widowControl/>
              <w:jc w:val="center"/>
              <w:rPr>
                <w:rFonts w:ascii="宋体" w:hAnsi="宋体"/>
                <w:b/>
                <w:kern w:val="0"/>
              </w:rPr>
            </w:pPr>
            <w:r>
              <w:rPr>
                <w:rFonts w:hint="eastAsia" w:ascii="宋体" w:hAnsi="宋体"/>
                <w:b/>
                <w:kern w:val="0"/>
              </w:rPr>
              <w:t>序号</w:t>
            </w:r>
          </w:p>
        </w:tc>
        <w:tc>
          <w:tcPr>
            <w:tcW w:w="1129" w:type="dxa"/>
            <w:tcBorders>
              <w:top w:val="single" w:color="auto" w:sz="4" w:space="0"/>
              <w:left w:val="nil"/>
              <w:bottom w:val="single" w:color="auto" w:sz="4" w:space="0"/>
              <w:right w:val="single" w:color="auto" w:sz="4" w:space="0"/>
              <w:tl2br w:val="nil"/>
              <w:tr2bl w:val="nil"/>
            </w:tcBorders>
            <w:vAlign w:val="center"/>
          </w:tcPr>
          <w:p w14:paraId="0F17599D">
            <w:pPr>
              <w:widowControl/>
              <w:jc w:val="center"/>
              <w:rPr>
                <w:rFonts w:ascii="宋体" w:hAnsi="宋体"/>
                <w:b/>
                <w:kern w:val="0"/>
              </w:rPr>
            </w:pPr>
            <w:r>
              <w:rPr>
                <w:rFonts w:hint="eastAsia" w:ascii="宋体" w:hAnsi="宋体"/>
                <w:b/>
                <w:kern w:val="0"/>
              </w:rPr>
              <w:t>名称</w:t>
            </w:r>
          </w:p>
        </w:tc>
        <w:tc>
          <w:tcPr>
            <w:tcW w:w="1255" w:type="dxa"/>
            <w:tcBorders>
              <w:top w:val="single" w:color="auto" w:sz="4" w:space="0"/>
              <w:left w:val="nil"/>
              <w:bottom w:val="single" w:color="auto" w:sz="4" w:space="0"/>
              <w:right w:val="single" w:color="auto" w:sz="4" w:space="0"/>
              <w:tl2br w:val="nil"/>
              <w:tr2bl w:val="nil"/>
            </w:tcBorders>
            <w:vAlign w:val="center"/>
          </w:tcPr>
          <w:p w14:paraId="596720A7">
            <w:pPr>
              <w:widowControl/>
              <w:jc w:val="center"/>
              <w:rPr>
                <w:rFonts w:ascii="宋体" w:hAnsi="宋体"/>
                <w:b/>
                <w:kern w:val="0"/>
              </w:rPr>
            </w:pPr>
            <w:r>
              <w:rPr>
                <w:rFonts w:hint="eastAsia" w:ascii="宋体" w:hAnsi="宋体"/>
                <w:b/>
                <w:kern w:val="0"/>
              </w:rPr>
              <w:t>型号、规格</w:t>
            </w:r>
          </w:p>
        </w:tc>
        <w:tc>
          <w:tcPr>
            <w:tcW w:w="611" w:type="dxa"/>
            <w:gridSpan w:val="2"/>
            <w:tcBorders>
              <w:top w:val="single" w:color="auto" w:sz="4" w:space="0"/>
              <w:left w:val="nil"/>
              <w:bottom w:val="single" w:color="auto" w:sz="4" w:space="0"/>
              <w:right w:val="single" w:color="auto" w:sz="4" w:space="0"/>
              <w:tl2br w:val="nil"/>
              <w:tr2bl w:val="nil"/>
            </w:tcBorders>
            <w:vAlign w:val="center"/>
          </w:tcPr>
          <w:p w14:paraId="75D84656">
            <w:pPr>
              <w:widowControl/>
              <w:jc w:val="center"/>
              <w:rPr>
                <w:rFonts w:ascii="宋体" w:hAnsi="宋体"/>
                <w:b/>
                <w:kern w:val="0"/>
              </w:rPr>
            </w:pPr>
            <w:r>
              <w:rPr>
                <w:rFonts w:hint="eastAsia" w:ascii="宋体" w:hAnsi="宋体"/>
                <w:b/>
                <w:kern w:val="0"/>
              </w:rPr>
              <w:t>单位</w:t>
            </w:r>
          </w:p>
        </w:tc>
        <w:tc>
          <w:tcPr>
            <w:tcW w:w="596" w:type="dxa"/>
            <w:tcBorders>
              <w:top w:val="single" w:color="auto" w:sz="4" w:space="0"/>
              <w:left w:val="nil"/>
              <w:bottom w:val="single" w:color="auto" w:sz="4" w:space="0"/>
              <w:right w:val="single" w:color="auto" w:sz="4" w:space="0"/>
              <w:tl2br w:val="nil"/>
              <w:tr2bl w:val="nil"/>
            </w:tcBorders>
            <w:vAlign w:val="center"/>
          </w:tcPr>
          <w:p w14:paraId="26F4945D">
            <w:pPr>
              <w:widowControl/>
              <w:jc w:val="center"/>
              <w:rPr>
                <w:rFonts w:ascii="宋体" w:hAnsi="宋体"/>
                <w:b/>
                <w:kern w:val="0"/>
              </w:rPr>
            </w:pPr>
            <w:r>
              <w:rPr>
                <w:rFonts w:hint="eastAsia" w:ascii="宋体" w:hAnsi="宋体"/>
                <w:b/>
                <w:kern w:val="0"/>
              </w:rPr>
              <w:t>数量</w:t>
            </w:r>
          </w:p>
        </w:tc>
        <w:tc>
          <w:tcPr>
            <w:tcW w:w="689" w:type="dxa"/>
            <w:tcBorders>
              <w:top w:val="single" w:color="auto" w:sz="4" w:space="0"/>
              <w:left w:val="nil"/>
              <w:bottom w:val="single" w:color="auto" w:sz="4" w:space="0"/>
              <w:right w:val="single" w:color="auto" w:sz="4" w:space="0"/>
              <w:tl2br w:val="nil"/>
              <w:tr2bl w:val="nil"/>
            </w:tcBorders>
            <w:vAlign w:val="center"/>
          </w:tcPr>
          <w:p w14:paraId="1C7917FB">
            <w:pPr>
              <w:widowControl/>
              <w:jc w:val="center"/>
              <w:rPr>
                <w:rFonts w:ascii="宋体" w:hAnsi="宋体"/>
                <w:b/>
                <w:kern w:val="0"/>
              </w:rPr>
            </w:pPr>
            <w:r>
              <w:rPr>
                <w:rFonts w:hint="eastAsia" w:ascii="宋体" w:hAnsi="宋体"/>
                <w:b/>
                <w:kern w:val="0"/>
              </w:rPr>
              <w:t>含税单价（元）</w:t>
            </w:r>
          </w:p>
        </w:tc>
        <w:tc>
          <w:tcPr>
            <w:tcW w:w="722" w:type="dxa"/>
            <w:tcBorders>
              <w:top w:val="single" w:color="auto" w:sz="4" w:space="0"/>
              <w:left w:val="nil"/>
              <w:bottom w:val="single" w:color="auto" w:sz="4" w:space="0"/>
              <w:right w:val="single" w:color="auto" w:sz="4" w:space="0"/>
              <w:tl2br w:val="nil"/>
              <w:tr2bl w:val="nil"/>
            </w:tcBorders>
            <w:vAlign w:val="center"/>
          </w:tcPr>
          <w:p w14:paraId="3B902C6F">
            <w:pPr>
              <w:widowControl/>
              <w:jc w:val="center"/>
              <w:rPr>
                <w:rFonts w:ascii="宋体" w:hAnsi="宋体"/>
                <w:b/>
                <w:kern w:val="0"/>
              </w:rPr>
            </w:pPr>
            <w:r>
              <w:rPr>
                <w:rFonts w:hint="eastAsia" w:ascii="宋体" w:hAnsi="宋体"/>
                <w:b/>
                <w:kern w:val="0"/>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04036D38">
            <w:pPr>
              <w:widowControl/>
              <w:jc w:val="center"/>
              <w:rPr>
                <w:rFonts w:ascii="宋体" w:hAnsi="宋体"/>
                <w:b/>
                <w:kern w:val="0"/>
              </w:rPr>
            </w:pPr>
            <w:r>
              <w:rPr>
                <w:rFonts w:hint="eastAsia" w:ascii="宋体" w:hAnsi="宋体"/>
                <w:b/>
                <w:kern w:val="0"/>
              </w:rPr>
              <w:t>税率</w:t>
            </w:r>
          </w:p>
        </w:tc>
        <w:tc>
          <w:tcPr>
            <w:tcW w:w="673" w:type="dxa"/>
            <w:tcBorders>
              <w:top w:val="single" w:color="auto" w:sz="4" w:space="0"/>
              <w:left w:val="nil"/>
              <w:bottom w:val="single" w:color="auto" w:sz="4" w:space="0"/>
              <w:right w:val="single" w:color="auto" w:sz="4" w:space="0"/>
              <w:tl2br w:val="nil"/>
              <w:tr2bl w:val="nil"/>
            </w:tcBorders>
            <w:vAlign w:val="center"/>
          </w:tcPr>
          <w:p w14:paraId="14D249F4">
            <w:pPr>
              <w:widowControl/>
              <w:jc w:val="center"/>
              <w:rPr>
                <w:rFonts w:ascii="宋体" w:hAnsi="宋体"/>
                <w:b/>
                <w:kern w:val="0"/>
              </w:rPr>
            </w:pPr>
            <w:r>
              <w:rPr>
                <w:rFonts w:hint="eastAsia" w:ascii="宋体" w:hAnsi="宋体"/>
                <w:b/>
                <w:kern w:val="0"/>
              </w:rPr>
              <w:t>货期</w:t>
            </w:r>
          </w:p>
        </w:tc>
        <w:tc>
          <w:tcPr>
            <w:tcW w:w="844" w:type="dxa"/>
            <w:gridSpan w:val="2"/>
            <w:tcBorders>
              <w:top w:val="single" w:color="auto" w:sz="4" w:space="0"/>
              <w:left w:val="nil"/>
              <w:bottom w:val="single" w:color="auto" w:sz="4" w:space="0"/>
              <w:right w:val="single" w:color="auto" w:sz="4" w:space="0"/>
              <w:tl2br w:val="nil"/>
              <w:tr2bl w:val="nil"/>
            </w:tcBorders>
            <w:vAlign w:val="center"/>
          </w:tcPr>
          <w:p w14:paraId="2D24DBD6">
            <w:pPr>
              <w:widowControl/>
              <w:jc w:val="center"/>
              <w:rPr>
                <w:rFonts w:hint="eastAsia" w:ascii="宋体" w:hAnsi="宋体"/>
                <w:b/>
                <w:kern w:val="0"/>
                <w:highlight w:val="none"/>
              </w:rPr>
            </w:pPr>
            <w:r>
              <w:rPr>
                <w:rFonts w:hint="eastAsia" w:ascii="宋体" w:hAnsi="宋体"/>
                <w:b/>
                <w:kern w:val="0"/>
                <w:highlight w:val="none"/>
              </w:rPr>
              <w:t>质保期</w:t>
            </w:r>
            <w:r>
              <w:rPr>
                <w:rFonts w:hint="eastAsia" w:ascii="宋体" w:hAnsi="宋体"/>
                <w:b/>
                <w:kern w:val="0"/>
                <w:highlight w:val="none"/>
                <w:lang w:eastAsia="zh-CN"/>
              </w:rPr>
              <w:t>（</w:t>
            </w:r>
            <w:r>
              <w:rPr>
                <w:rFonts w:hint="eastAsia" w:ascii="宋体" w:hAnsi="宋体"/>
                <w:b/>
                <w:kern w:val="0"/>
                <w:highlight w:val="none"/>
                <w:lang w:val="en-US" w:eastAsia="zh-CN"/>
              </w:rPr>
              <w:t>不少于5年</w:t>
            </w:r>
            <w:r>
              <w:rPr>
                <w:rFonts w:hint="eastAsia" w:ascii="宋体" w:hAnsi="宋体"/>
                <w:b/>
                <w:kern w:val="0"/>
                <w:highlight w:val="none"/>
                <w:lang w:eastAsia="zh-CN"/>
              </w:rPr>
              <w:t>）</w:t>
            </w:r>
          </w:p>
        </w:tc>
        <w:tc>
          <w:tcPr>
            <w:tcW w:w="1008" w:type="dxa"/>
            <w:tcBorders>
              <w:top w:val="single" w:color="auto" w:sz="4" w:space="0"/>
              <w:left w:val="nil"/>
              <w:bottom w:val="single" w:color="auto" w:sz="4" w:space="0"/>
              <w:right w:val="single" w:color="auto" w:sz="4" w:space="0"/>
              <w:tl2br w:val="nil"/>
              <w:tr2bl w:val="nil"/>
            </w:tcBorders>
            <w:vAlign w:val="center"/>
          </w:tcPr>
          <w:p w14:paraId="216119A8">
            <w:pPr>
              <w:widowControl/>
              <w:jc w:val="center"/>
              <w:rPr>
                <w:rFonts w:hint="eastAsia" w:ascii="宋体" w:hAnsi="宋体" w:eastAsia="宋体"/>
                <w:b/>
                <w:kern w:val="0"/>
                <w:highlight w:val="none"/>
              </w:rPr>
            </w:pPr>
            <w:r>
              <w:rPr>
                <w:rFonts w:hint="eastAsia" w:ascii="宋体" w:hAnsi="宋体" w:eastAsia="宋体" w:cs="宋体"/>
                <w:bCs/>
                <w:color w:val="000000"/>
                <w:sz w:val="24"/>
                <w:szCs w:val="24"/>
                <w:highlight w:val="none"/>
              </w:rPr>
              <w:t>物联网温控器数据通信</w:t>
            </w:r>
            <w:r>
              <w:rPr>
                <w:rFonts w:hint="eastAsia" w:ascii="宋体" w:hAnsi="宋体" w:eastAsia="宋体" w:cs="宋体"/>
                <w:bCs/>
                <w:color w:val="000000"/>
                <w:sz w:val="24"/>
                <w:szCs w:val="24"/>
                <w:highlight w:val="none"/>
                <w:lang w:val="en-US" w:eastAsia="zh-CN"/>
              </w:rPr>
              <w:t>免费</w:t>
            </w:r>
            <w:r>
              <w:rPr>
                <w:rFonts w:hint="eastAsia" w:ascii="宋体" w:hAnsi="宋体" w:eastAsia="宋体" w:cs="宋体"/>
                <w:bCs/>
                <w:color w:val="000000"/>
                <w:sz w:val="24"/>
                <w:szCs w:val="24"/>
                <w:highlight w:val="none"/>
              </w:rPr>
              <w:t>服务</w:t>
            </w:r>
            <w:r>
              <w:rPr>
                <w:rFonts w:hint="eastAsia" w:ascii="宋体" w:hAnsi="宋体" w:eastAsia="宋体" w:cs="宋体"/>
                <w:bCs/>
                <w:color w:val="000000"/>
                <w:sz w:val="24"/>
                <w:szCs w:val="24"/>
                <w:highlight w:val="none"/>
                <w:lang w:val="en-US" w:eastAsia="zh-CN"/>
              </w:rPr>
              <w:t>期（不少于5年）</w:t>
            </w:r>
          </w:p>
        </w:tc>
        <w:tc>
          <w:tcPr>
            <w:tcW w:w="833" w:type="dxa"/>
            <w:tcBorders>
              <w:top w:val="single" w:color="auto" w:sz="4" w:space="0"/>
              <w:left w:val="nil"/>
              <w:bottom w:val="single" w:color="auto" w:sz="4" w:space="0"/>
              <w:right w:val="single" w:color="auto" w:sz="4" w:space="0"/>
              <w:tl2br w:val="nil"/>
              <w:tr2bl w:val="nil"/>
            </w:tcBorders>
            <w:vAlign w:val="center"/>
          </w:tcPr>
          <w:p w14:paraId="4732F8F7">
            <w:pPr>
              <w:widowControl/>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每台温控器流量（M/年）</w:t>
            </w:r>
          </w:p>
        </w:tc>
      </w:tr>
      <w:tr w14:paraId="2F67205F">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14:paraId="6294089B">
            <w:pPr>
              <w:widowControl/>
              <w:jc w:val="center"/>
              <w:rPr>
                <w:rFonts w:ascii="宋体" w:hAnsi="宋体"/>
                <w:kern w:val="0"/>
                <w:sz w:val="22"/>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03BF0BC8">
            <w:pPr>
              <w:widowControl/>
              <w:jc w:val="center"/>
              <w:rPr>
                <w:sz w:val="20"/>
              </w:rPr>
            </w:pPr>
          </w:p>
        </w:tc>
        <w:tc>
          <w:tcPr>
            <w:tcW w:w="1255" w:type="dxa"/>
            <w:tcBorders>
              <w:top w:val="single" w:color="auto" w:sz="4" w:space="0"/>
              <w:left w:val="nil"/>
              <w:bottom w:val="single" w:color="auto" w:sz="4" w:space="0"/>
              <w:right w:val="single" w:color="auto" w:sz="4" w:space="0"/>
              <w:tl2br w:val="nil"/>
              <w:tr2bl w:val="nil"/>
            </w:tcBorders>
            <w:vAlign w:val="center"/>
          </w:tcPr>
          <w:p w14:paraId="0CBFECF9">
            <w:pPr>
              <w:widowControl/>
              <w:jc w:val="center"/>
              <w:rPr>
                <w:sz w:val="20"/>
              </w:rPr>
            </w:pPr>
          </w:p>
        </w:tc>
        <w:tc>
          <w:tcPr>
            <w:tcW w:w="611" w:type="dxa"/>
            <w:gridSpan w:val="2"/>
            <w:tcBorders>
              <w:top w:val="single" w:color="auto" w:sz="4" w:space="0"/>
              <w:left w:val="nil"/>
              <w:bottom w:val="single" w:color="auto" w:sz="4" w:space="0"/>
              <w:right w:val="single" w:color="auto" w:sz="4" w:space="0"/>
              <w:tl2br w:val="nil"/>
              <w:tr2bl w:val="nil"/>
            </w:tcBorders>
            <w:vAlign w:val="center"/>
          </w:tcPr>
          <w:p w14:paraId="5853A44B">
            <w:pPr>
              <w:widowControl/>
              <w:jc w:val="center"/>
              <w:rPr>
                <w:sz w:val="20"/>
              </w:rPr>
            </w:pPr>
          </w:p>
        </w:tc>
        <w:tc>
          <w:tcPr>
            <w:tcW w:w="596" w:type="dxa"/>
            <w:tcBorders>
              <w:top w:val="single" w:color="auto" w:sz="4" w:space="0"/>
              <w:left w:val="nil"/>
              <w:bottom w:val="single" w:color="auto" w:sz="4" w:space="0"/>
              <w:right w:val="single" w:color="auto" w:sz="4" w:space="0"/>
              <w:tl2br w:val="nil"/>
              <w:tr2bl w:val="nil"/>
            </w:tcBorders>
            <w:vAlign w:val="center"/>
          </w:tcPr>
          <w:p w14:paraId="06722510">
            <w:pPr>
              <w:widowControl/>
              <w:jc w:val="center"/>
              <w:rPr>
                <w:sz w:val="20"/>
              </w:rPr>
            </w:pPr>
          </w:p>
        </w:tc>
        <w:tc>
          <w:tcPr>
            <w:tcW w:w="689" w:type="dxa"/>
            <w:tcBorders>
              <w:top w:val="nil"/>
              <w:left w:val="nil"/>
              <w:bottom w:val="single" w:color="auto" w:sz="4" w:space="0"/>
              <w:right w:val="single" w:color="auto" w:sz="4" w:space="0"/>
              <w:tl2br w:val="nil"/>
              <w:tr2bl w:val="nil"/>
            </w:tcBorders>
            <w:vAlign w:val="center"/>
          </w:tcPr>
          <w:p w14:paraId="2473EA27">
            <w:pPr>
              <w:widowControl/>
              <w:jc w:val="center"/>
              <w:rPr>
                <w:rFonts w:ascii="宋体" w:hAnsi="宋体"/>
                <w:kern w:val="0"/>
                <w:sz w:val="24"/>
              </w:rPr>
            </w:pPr>
          </w:p>
        </w:tc>
        <w:tc>
          <w:tcPr>
            <w:tcW w:w="722" w:type="dxa"/>
            <w:tcBorders>
              <w:top w:val="nil"/>
              <w:left w:val="nil"/>
              <w:bottom w:val="single" w:color="auto" w:sz="4" w:space="0"/>
              <w:right w:val="single" w:color="auto" w:sz="4" w:space="0"/>
              <w:tl2br w:val="nil"/>
              <w:tr2bl w:val="nil"/>
            </w:tcBorders>
            <w:vAlign w:val="center"/>
          </w:tcPr>
          <w:p w14:paraId="1465834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2F906BB">
            <w:pPr>
              <w:widowControl/>
              <w:jc w:val="center"/>
              <w:rPr>
                <w:rFonts w:ascii="宋体" w:hAnsi="宋体"/>
                <w:kern w:val="0"/>
                <w:sz w:val="24"/>
              </w:rPr>
            </w:pPr>
          </w:p>
        </w:tc>
        <w:tc>
          <w:tcPr>
            <w:tcW w:w="673" w:type="dxa"/>
            <w:tcBorders>
              <w:top w:val="single" w:color="auto" w:sz="4" w:space="0"/>
              <w:left w:val="nil"/>
              <w:bottom w:val="single" w:color="auto" w:sz="4" w:space="0"/>
              <w:right w:val="single" w:color="auto" w:sz="4" w:space="0"/>
              <w:tl2br w:val="nil"/>
              <w:tr2bl w:val="nil"/>
            </w:tcBorders>
            <w:vAlign w:val="center"/>
          </w:tcPr>
          <w:p w14:paraId="2F2FA71B">
            <w:pPr>
              <w:widowControl/>
              <w:jc w:val="center"/>
              <w:rPr>
                <w:rFonts w:ascii="宋体" w:hAnsi="宋体"/>
                <w:kern w:val="0"/>
                <w:sz w:val="24"/>
              </w:rPr>
            </w:pPr>
          </w:p>
        </w:tc>
        <w:tc>
          <w:tcPr>
            <w:tcW w:w="842" w:type="dxa"/>
            <w:tcBorders>
              <w:top w:val="nil"/>
              <w:left w:val="nil"/>
              <w:bottom w:val="single" w:color="auto" w:sz="4" w:space="0"/>
              <w:right w:val="single" w:color="auto" w:sz="4" w:space="0"/>
              <w:tl2br w:val="nil"/>
              <w:tr2bl w:val="nil"/>
            </w:tcBorders>
            <w:vAlign w:val="center"/>
          </w:tcPr>
          <w:p w14:paraId="3D6D35FD">
            <w:pPr>
              <w:widowControl/>
              <w:jc w:val="center"/>
              <w:rPr>
                <w:rFonts w:ascii="宋体" w:hAnsi="宋体"/>
                <w:kern w:val="0"/>
                <w:sz w:val="24"/>
              </w:rPr>
            </w:pPr>
          </w:p>
        </w:tc>
        <w:tc>
          <w:tcPr>
            <w:tcW w:w="1010" w:type="dxa"/>
            <w:gridSpan w:val="2"/>
            <w:tcBorders>
              <w:top w:val="nil"/>
              <w:left w:val="nil"/>
              <w:bottom w:val="single" w:color="auto" w:sz="4" w:space="0"/>
              <w:right w:val="single" w:color="auto" w:sz="4" w:space="0"/>
              <w:tl2br w:val="nil"/>
              <w:tr2bl w:val="nil"/>
            </w:tcBorders>
            <w:vAlign w:val="center"/>
          </w:tcPr>
          <w:p w14:paraId="7CC14736">
            <w:pPr>
              <w:widowControl/>
              <w:jc w:val="center"/>
              <w:rPr>
                <w:rFonts w:ascii="宋体" w:hAnsi="宋体"/>
                <w:kern w:val="0"/>
                <w:sz w:val="24"/>
              </w:rPr>
            </w:pPr>
          </w:p>
        </w:tc>
        <w:tc>
          <w:tcPr>
            <w:tcW w:w="833" w:type="dxa"/>
            <w:tcBorders>
              <w:top w:val="nil"/>
              <w:left w:val="nil"/>
              <w:bottom w:val="single" w:color="auto" w:sz="4" w:space="0"/>
              <w:right w:val="single" w:color="auto" w:sz="4" w:space="0"/>
              <w:tl2br w:val="nil"/>
              <w:tr2bl w:val="nil"/>
            </w:tcBorders>
            <w:vAlign w:val="center"/>
          </w:tcPr>
          <w:p w14:paraId="0900F8EE">
            <w:pPr>
              <w:widowControl/>
              <w:jc w:val="center"/>
              <w:rPr>
                <w:rFonts w:ascii="宋体" w:hAnsi="宋体"/>
                <w:kern w:val="0"/>
                <w:sz w:val="24"/>
              </w:rPr>
            </w:pPr>
          </w:p>
        </w:tc>
      </w:tr>
      <w:tr w14:paraId="2886BFEE">
        <w:tblPrEx>
          <w:tblCellMar>
            <w:top w:w="0" w:type="dxa"/>
            <w:left w:w="108" w:type="dxa"/>
            <w:bottom w:w="0" w:type="dxa"/>
            <w:right w:w="108" w:type="dxa"/>
          </w:tblCellMar>
        </w:tblPrEx>
        <w:trPr>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14:paraId="508E4280">
            <w:pPr>
              <w:widowControl/>
              <w:jc w:val="center"/>
              <w:rPr>
                <w:rFonts w:ascii="宋体" w:hAnsi="宋体"/>
                <w:kern w:val="0"/>
                <w:sz w:val="22"/>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75EF1E56">
            <w:pPr>
              <w:widowControl/>
              <w:jc w:val="center"/>
              <w:rPr>
                <w:sz w:val="20"/>
              </w:rPr>
            </w:pPr>
          </w:p>
        </w:tc>
        <w:tc>
          <w:tcPr>
            <w:tcW w:w="1255" w:type="dxa"/>
            <w:tcBorders>
              <w:top w:val="single" w:color="auto" w:sz="4" w:space="0"/>
              <w:left w:val="nil"/>
              <w:bottom w:val="single" w:color="auto" w:sz="4" w:space="0"/>
              <w:right w:val="single" w:color="auto" w:sz="4" w:space="0"/>
              <w:tl2br w:val="nil"/>
              <w:tr2bl w:val="nil"/>
            </w:tcBorders>
            <w:vAlign w:val="center"/>
          </w:tcPr>
          <w:p w14:paraId="69A50D76">
            <w:pPr>
              <w:widowControl/>
              <w:jc w:val="center"/>
              <w:rPr>
                <w:sz w:val="20"/>
              </w:rPr>
            </w:pPr>
          </w:p>
        </w:tc>
        <w:tc>
          <w:tcPr>
            <w:tcW w:w="611" w:type="dxa"/>
            <w:gridSpan w:val="2"/>
            <w:tcBorders>
              <w:top w:val="single" w:color="auto" w:sz="4" w:space="0"/>
              <w:left w:val="nil"/>
              <w:bottom w:val="single" w:color="auto" w:sz="4" w:space="0"/>
              <w:right w:val="single" w:color="auto" w:sz="4" w:space="0"/>
              <w:tl2br w:val="nil"/>
              <w:tr2bl w:val="nil"/>
            </w:tcBorders>
            <w:vAlign w:val="center"/>
          </w:tcPr>
          <w:p w14:paraId="17FE2C42">
            <w:pPr>
              <w:widowControl/>
              <w:jc w:val="center"/>
              <w:rPr>
                <w:sz w:val="20"/>
              </w:rPr>
            </w:pPr>
          </w:p>
        </w:tc>
        <w:tc>
          <w:tcPr>
            <w:tcW w:w="596" w:type="dxa"/>
            <w:tcBorders>
              <w:top w:val="single" w:color="auto" w:sz="4" w:space="0"/>
              <w:left w:val="nil"/>
              <w:bottom w:val="single" w:color="auto" w:sz="4" w:space="0"/>
              <w:right w:val="single" w:color="auto" w:sz="4" w:space="0"/>
              <w:tl2br w:val="nil"/>
              <w:tr2bl w:val="nil"/>
            </w:tcBorders>
            <w:vAlign w:val="center"/>
          </w:tcPr>
          <w:p w14:paraId="32A09AF9">
            <w:pPr>
              <w:widowControl/>
              <w:jc w:val="center"/>
              <w:rPr>
                <w:sz w:val="20"/>
              </w:rPr>
            </w:pPr>
          </w:p>
        </w:tc>
        <w:tc>
          <w:tcPr>
            <w:tcW w:w="689" w:type="dxa"/>
            <w:tcBorders>
              <w:top w:val="nil"/>
              <w:left w:val="nil"/>
              <w:bottom w:val="single" w:color="auto" w:sz="4" w:space="0"/>
              <w:right w:val="single" w:color="auto" w:sz="4" w:space="0"/>
              <w:tl2br w:val="nil"/>
              <w:tr2bl w:val="nil"/>
            </w:tcBorders>
            <w:vAlign w:val="center"/>
          </w:tcPr>
          <w:p w14:paraId="52BCCE35">
            <w:pPr>
              <w:widowControl/>
              <w:jc w:val="center"/>
              <w:rPr>
                <w:rFonts w:ascii="宋体" w:hAnsi="宋体"/>
                <w:kern w:val="0"/>
                <w:sz w:val="24"/>
              </w:rPr>
            </w:pPr>
          </w:p>
        </w:tc>
        <w:tc>
          <w:tcPr>
            <w:tcW w:w="722" w:type="dxa"/>
            <w:tcBorders>
              <w:top w:val="nil"/>
              <w:left w:val="nil"/>
              <w:bottom w:val="single" w:color="auto" w:sz="4" w:space="0"/>
              <w:right w:val="single" w:color="auto" w:sz="4" w:space="0"/>
              <w:tl2br w:val="nil"/>
              <w:tr2bl w:val="nil"/>
            </w:tcBorders>
            <w:vAlign w:val="center"/>
          </w:tcPr>
          <w:p w14:paraId="16A7FDEB">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7DF151C">
            <w:pPr>
              <w:widowControl/>
              <w:jc w:val="center"/>
              <w:rPr>
                <w:rFonts w:ascii="宋体" w:hAnsi="宋体"/>
                <w:kern w:val="0"/>
                <w:sz w:val="24"/>
              </w:rPr>
            </w:pPr>
          </w:p>
        </w:tc>
        <w:tc>
          <w:tcPr>
            <w:tcW w:w="673" w:type="dxa"/>
            <w:tcBorders>
              <w:top w:val="single" w:color="auto" w:sz="4" w:space="0"/>
              <w:left w:val="nil"/>
              <w:bottom w:val="single" w:color="auto" w:sz="4" w:space="0"/>
              <w:right w:val="single" w:color="auto" w:sz="4" w:space="0"/>
              <w:tl2br w:val="nil"/>
              <w:tr2bl w:val="nil"/>
            </w:tcBorders>
            <w:vAlign w:val="center"/>
          </w:tcPr>
          <w:p w14:paraId="055F0969">
            <w:pPr>
              <w:widowControl/>
              <w:jc w:val="center"/>
              <w:rPr>
                <w:rFonts w:ascii="宋体" w:hAnsi="宋体"/>
                <w:kern w:val="0"/>
                <w:sz w:val="24"/>
              </w:rPr>
            </w:pPr>
          </w:p>
        </w:tc>
        <w:tc>
          <w:tcPr>
            <w:tcW w:w="842" w:type="dxa"/>
            <w:tcBorders>
              <w:top w:val="nil"/>
              <w:left w:val="nil"/>
              <w:bottom w:val="single" w:color="auto" w:sz="4" w:space="0"/>
              <w:right w:val="single" w:color="auto" w:sz="4" w:space="0"/>
              <w:tl2br w:val="nil"/>
              <w:tr2bl w:val="nil"/>
            </w:tcBorders>
            <w:vAlign w:val="center"/>
          </w:tcPr>
          <w:p w14:paraId="13AC8079">
            <w:pPr>
              <w:widowControl/>
              <w:jc w:val="center"/>
              <w:rPr>
                <w:rFonts w:ascii="宋体" w:hAnsi="宋体"/>
                <w:kern w:val="0"/>
                <w:sz w:val="24"/>
              </w:rPr>
            </w:pPr>
          </w:p>
        </w:tc>
        <w:tc>
          <w:tcPr>
            <w:tcW w:w="1010" w:type="dxa"/>
            <w:gridSpan w:val="2"/>
            <w:tcBorders>
              <w:top w:val="nil"/>
              <w:left w:val="nil"/>
              <w:bottom w:val="single" w:color="auto" w:sz="4" w:space="0"/>
              <w:right w:val="single" w:color="auto" w:sz="4" w:space="0"/>
              <w:tl2br w:val="nil"/>
              <w:tr2bl w:val="nil"/>
            </w:tcBorders>
            <w:vAlign w:val="center"/>
          </w:tcPr>
          <w:p w14:paraId="1BCEBC04">
            <w:pPr>
              <w:widowControl/>
              <w:jc w:val="center"/>
              <w:rPr>
                <w:rFonts w:ascii="宋体" w:hAnsi="宋体"/>
                <w:kern w:val="0"/>
                <w:sz w:val="24"/>
              </w:rPr>
            </w:pPr>
          </w:p>
        </w:tc>
        <w:tc>
          <w:tcPr>
            <w:tcW w:w="833" w:type="dxa"/>
            <w:tcBorders>
              <w:top w:val="nil"/>
              <w:left w:val="nil"/>
              <w:bottom w:val="single" w:color="auto" w:sz="4" w:space="0"/>
              <w:right w:val="single" w:color="auto" w:sz="4" w:space="0"/>
              <w:tl2br w:val="nil"/>
              <w:tr2bl w:val="nil"/>
            </w:tcBorders>
            <w:vAlign w:val="center"/>
          </w:tcPr>
          <w:p w14:paraId="2FF8361B">
            <w:pPr>
              <w:widowControl/>
              <w:jc w:val="center"/>
              <w:rPr>
                <w:rFonts w:ascii="宋体" w:hAnsi="宋体"/>
                <w:kern w:val="0"/>
                <w:sz w:val="24"/>
              </w:rPr>
            </w:pPr>
          </w:p>
        </w:tc>
      </w:tr>
      <w:tr w14:paraId="7DFD4887">
        <w:tblPrEx>
          <w:tblCellMar>
            <w:top w:w="0" w:type="dxa"/>
            <w:left w:w="108" w:type="dxa"/>
            <w:bottom w:w="0" w:type="dxa"/>
            <w:right w:w="108" w:type="dxa"/>
          </w:tblCellMar>
        </w:tblPrEx>
        <w:trPr>
          <w:trHeight w:val="20" w:hRule="atLeast"/>
        </w:trPr>
        <w:tc>
          <w:tcPr>
            <w:tcW w:w="3193"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14:paraId="2C80651A">
            <w:pPr>
              <w:widowControl/>
              <w:jc w:val="center"/>
              <w:rPr>
                <w:rFonts w:ascii="宋体" w:hAnsi="宋体"/>
                <w:kern w:val="0"/>
                <w:sz w:val="24"/>
              </w:rPr>
            </w:pPr>
            <w:r>
              <w:rPr>
                <w:rFonts w:hint="eastAsia" w:ascii="宋体" w:hAnsi="宋体"/>
                <w:kern w:val="0"/>
                <w:sz w:val="24"/>
              </w:rPr>
              <w:t>合计</w:t>
            </w:r>
          </w:p>
        </w:tc>
        <w:tc>
          <w:tcPr>
            <w:tcW w:w="4547" w:type="dxa"/>
            <w:gridSpan w:val="7"/>
            <w:tcBorders>
              <w:top w:val="nil"/>
              <w:left w:val="nil"/>
              <w:bottom w:val="single" w:color="auto" w:sz="4" w:space="0"/>
              <w:right w:val="single" w:color="auto" w:sz="4" w:space="0"/>
              <w:tl2br w:val="nil"/>
              <w:tr2bl w:val="nil"/>
            </w:tcBorders>
            <w:shd w:val="clear" w:color="000000" w:fill="FFFFFF"/>
            <w:vAlign w:val="center"/>
          </w:tcPr>
          <w:p w14:paraId="36D8F5BF">
            <w:pPr>
              <w:widowControl/>
              <w:jc w:val="left"/>
              <w:rPr>
                <w:rFonts w:ascii="宋体" w:hAnsi="宋体"/>
                <w:kern w:val="0"/>
                <w:sz w:val="24"/>
              </w:rPr>
            </w:pPr>
            <w:r>
              <w:rPr>
                <w:rFonts w:hint="eastAsia" w:ascii="宋体" w:hAnsi="宋体"/>
                <w:kern w:val="0"/>
                <w:sz w:val="24"/>
              </w:rPr>
              <w:t>未含税：</w:t>
            </w:r>
          </w:p>
          <w:p w14:paraId="6B4F054C">
            <w:pPr>
              <w:widowControl/>
              <w:jc w:val="left"/>
              <w:rPr>
                <w:rFonts w:ascii="宋体" w:hAnsi="宋体"/>
                <w:kern w:val="0"/>
                <w:sz w:val="24"/>
              </w:rPr>
            </w:pPr>
            <w:r>
              <w:rPr>
                <w:rFonts w:hint="eastAsia" w:ascii="宋体" w:hAnsi="宋体"/>
                <w:kern w:val="0"/>
                <w:sz w:val="24"/>
              </w:rPr>
              <w:t>含税：</w:t>
            </w:r>
          </w:p>
        </w:tc>
        <w:tc>
          <w:tcPr>
            <w:tcW w:w="1010" w:type="dxa"/>
            <w:gridSpan w:val="2"/>
            <w:tcBorders>
              <w:top w:val="nil"/>
              <w:left w:val="nil"/>
              <w:bottom w:val="single" w:color="auto" w:sz="4" w:space="0"/>
              <w:right w:val="single" w:color="auto" w:sz="4" w:space="0"/>
              <w:tl2br w:val="nil"/>
              <w:tr2bl w:val="nil"/>
            </w:tcBorders>
            <w:shd w:val="clear" w:color="000000" w:fill="FFFFFF"/>
            <w:vAlign w:val="center"/>
          </w:tcPr>
          <w:p w14:paraId="15B4B6EB">
            <w:pPr>
              <w:widowControl/>
              <w:jc w:val="left"/>
              <w:rPr>
                <w:rFonts w:hint="eastAsia" w:ascii="宋体" w:hAnsi="宋体"/>
                <w:kern w:val="0"/>
                <w:sz w:val="24"/>
              </w:rPr>
            </w:pPr>
          </w:p>
        </w:tc>
        <w:tc>
          <w:tcPr>
            <w:tcW w:w="833" w:type="dxa"/>
            <w:tcBorders>
              <w:top w:val="nil"/>
              <w:left w:val="nil"/>
              <w:bottom w:val="single" w:color="auto" w:sz="4" w:space="0"/>
              <w:right w:val="single" w:color="auto" w:sz="4" w:space="0"/>
              <w:tl2br w:val="nil"/>
              <w:tr2bl w:val="nil"/>
            </w:tcBorders>
            <w:shd w:val="clear" w:color="000000" w:fill="FFFFFF"/>
            <w:vAlign w:val="center"/>
          </w:tcPr>
          <w:p w14:paraId="14103136">
            <w:pPr>
              <w:widowControl/>
              <w:jc w:val="left"/>
              <w:rPr>
                <w:rFonts w:hint="eastAsia" w:ascii="宋体" w:hAnsi="宋体"/>
                <w:kern w:val="0"/>
                <w:sz w:val="24"/>
              </w:rPr>
            </w:pPr>
          </w:p>
        </w:tc>
      </w:tr>
    </w:tbl>
    <w:p w14:paraId="7791D98B">
      <w:pPr>
        <w:spacing w:line="360" w:lineRule="auto"/>
        <w:rPr>
          <w:sz w:val="24"/>
        </w:rPr>
      </w:pPr>
      <w:r>
        <w:rPr>
          <w:rFonts w:hint="eastAsia"/>
          <w:sz w:val="24"/>
        </w:rPr>
        <w:t>说明：</w:t>
      </w:r>
    </w:p>
    <w:p w14:paraId="1ED7CFF9">
      <w:pPr>
        <w:widowControl/>
        <w:numPr>
          <w:ilvl w:val="0"/>
          <w:numId w:val="33"/>
        </w:numPr>
        <w:spacing w:line="360" w:lineRule="auto"/>
        <w:jc w:val="left"/>
        <w:rPr>
          <w:rFonts w:ascii="宋体" w:hAnsi="宋体"/>
          <w:b/>
          <w:kern w:val="0"/>
          <w:sz w:val="24"/>
        </w:rPr>
      </w:pPr>
      <w:r>
        <w:rPr>
          <w:rFonts w:hint="eastAsia" w:ascii="宋体" w:hAnsi="宋体"/>
          <w:kern w:val="0"/>
          <w:sz w:val="24"/>
        </w:rPr>
        <w:t>投标报价为人民币报价。</w:t>
      </w:r>
    </w:p>
    <w:p w14:paraId="36C37E8B">
      <w:pPr>
        <w:widowControl/>
        <w:numPr>
          <w:ilvl w:val="0"/>
          <w:numId w:val="33"/>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w:t>
      </w:r>
      <w:r>
        <w:rPr>
          <w:rFonts w:hint="eastAsia" w:ascii="宋体" w:hAnsi="宋体"/>
          <w:sz w:val="24"/>
          <w:lang w:val="en-US" w:eastAsia="zh-CN"/>
        </w:rPr>
        <w:t>云平台对接和配合</w:t>
      </w:r>
      <w:r>
        <w:rPr>
          <w:rFonts w:hint="eastAsia" w:ascii="宋体" w:hAnsi="宋体"/>
          <w:sz w:val="24"/>
        </w:rPr>
        <w:t>调试、利润、税费</w:t>
      </w:r>
      <w:r>
        <w:rPr>
          <w:rFonts w:hint="eastAsia" w:ascii="宋体" w:hAnsi="宋体"/>
          <w:kern w:val="0"/>
          <w:sz w:val="24"/>
        </w:rPr>
        <w:t>（包括关税、增值税专用发票等）</w:t>
      </w:r>
      <w:r>
        <w:rPr>
          <w:rFonts w:hint="eastAsia" w:ascii="宋体" w:hAnsi="宋体"/>
          <w:sz w:val="24"/>
        </w:rPr>
        <w:t>、</w:t>
      </w:r>
      <w:r>
        <w:rPr>
          <w:rFonts w:hint="eastAsia" w:ascii="宋体" w:hAnsi="宋体"/>
          <w:sz w:val="24"/>
          <w:lang w:val="en-US" w:eastAsia="zh-CN"/>
        </w:rPr>
        <w:t>温控器数据通信服务费用、</w:t>
      </w:r>
      <w:r>
        <w:rPr>
          <w:rFonts w:hint="eastAsia" w:ascii="宋体" w:hAnsi="宋体"/>
          <w:sz w:val="24"/>
        </w:rPr>
        <w:t>质保期服务、采购实施过程中不可预见费用以及与设备有关的特殊要求等完成本合同工作所需的所有费用。</w:t>
      </w:r>
    </w:p>
    <w:p w14:paraId="60FA08B8">
      <w:pPr>
        <w:widowControl/>
        <w:numPr>
          <w:ilvl w:val="0"/>
          <w:numId w:val="33"/>
        </w:numPr>
        <w:spacing w:line="360" w:lineRule="auto"/>
        <w:jc w:val="left"/>
        <w:rPr>
          <w:rFonts w:ascii="宋体" w:hAnsi="宋体"/>
          <w:sz w:val="24"/>
        </w:rPr>
      </w:pPr>
      <w:r>
        <w:rPr>
          <w:rFonts w:hint="eastAsia" w:ascii="宋体" w:hAnsi="宋体"/>
          <w:sz w:val="24"/>
        </w:rPr>
        <w:t>本表中所有项目的价格必须填写（不能空白）。</w:t>
      </w:r>
    </w:p>
    <w:p w14:paraId="1BC3861A">
      <w:pPr>
        <w:widowControl/>
        <w:numPr>
          <w:ilvl w:val="0"/>
          <w:numId w:val="33"/>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6D9F526F">
      <w:pPr>
        <w:spacing w:line="360" w:lineRule="auto"/>
        <w:jc w:val="left"/>
        <w:rPr>
          <w:sz w:val="24"/>
        </w:rPr>
      </w:pPr>
      <w:r>
        <w:rPr>
          <w:rFonts w:hint="eastAsia"/>
          <w:sz w:val="24"/>
        </w:rPr>
        <w:t>供应商名称：（盖章）</w:t>
      </w:r>
    </w:p>
    <w:p w14:paraId="494C337A">
      <w:pPr>
        <w:spacing w:line="360" w:lineRule="auto"/>
        <w:jc w:val="left"/>
        <w:rPr>
          <w:sz w:val="24"/>
        </w:rPr>
      </w:pPr>
      <w:r>
        <w:rPr>
          <w:rFonts w:hint="eastAsia"/>
          <w:sz w:val="24"/>
        </w:rPr>
        <w:t>报价日期：</w:t>
      </w:r>
    </w:p>
    <w:p w14:paraId="69F7DFF5">
      <w:pPr>
        <w:widowControl/>
        <w:jc w:val="left"/>
        <w:rPr>
          <w:sz w:val="24"/>
        </w:rPr>
      </w:pPr>
      <w:r>
        <w:rPr>
          <w:rFonts w:hint="eastAsia"/>
          <w:sz w:val="24"/>
        </w:rPr>
        <w:t>报价有效期：</w:t>
      </w:r>
    </w:p>
    <w:p w14:paraId="1EC9FA2B">
      <w:pPr>
        <w:widowControl/>
        <w:jc w:val="left"/>
        <w:rPr>
          <w:rFonts w:hint="eastAsia" w:ascii="宋体" w:hAnsi="宋体"/>
          <w:sz w:val="32"/>
        </w:rPr>
      </w:pPr>
    </w:p>
    <w:p w14:paraId="02F82DA2">
      <w:pPr>
        <w:pStyle w:val="2"/>
        <w:rPr>
          <w:rFonts w:hint="eastAsia" w:ascii="宋体" w:hAnsi="宋体"/>
          <w:sz w:val="32"/>
        </w:rPr>
      </w:pPr>
    </w:p>
    <w:p w14:paraId="0CC51BA0">
      <w:pPr>
        <w:jc w:val="center"/>
        <w:rPr>
          <w:rFonts w:hint="eastAsia" w:ascii="宋体" w:hAnsi="宋体"/>
          <w:sz w:val="32"/>
        </w:rPr>
      </w:pPr>
      <w:r>
        <w:rPr>
          <w:rFonts w:hint="eastAsia" w:ascii="宋体" w:hAnsi="宋体"/>
          <w:sz w:val="32"/>
          <w:lang w:val="en-US" w:eastAsia="zh-CN"/>
        </w:rPr>
        <w:t>包组二</w:t>
      </w: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p>
    <w:tbl>
      <w:tblPr>
        <w:tblStyle w:val="13"/>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0EA8B2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34"/>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34"/>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34"/>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34"/>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58576B8A">
      <w:pPr>
        <w:widowControl/>
        <w:jc w:val="left"/>
        <w:rPr>
          <w:rFonts w:hint="eastAsia"/>
          <w:sz w:val="24"/>
        </w:rPr>
      </w:pPr>
      <w:r>
        <w:rPr>
          <w:rFonts w:hint="eastAsia"/>
          <w:sz w:val="24"/>
        </w:rPr>
        <w:t>报价有效期：</w:t>
      </w:r>
    </w:p>
    <w:p w14:paraId="1A78830D">
      <w:pPr>
        <w:widowControl/>
        <w:jc w:val="left"/>
        <w:rPr>
          <w:rFonts w:hint="eastAsia"/>
          <w:sz w:val="24"/>
        </w:rPr>
      </w:pPr>
    </w:p>
    <w:p w14:paraId="710A0E97">
      <w:pPr>
        <w:pStyle w:val="2"/>
        <w:rPr>
          <w:rFonts w:hint="eastAsia"/>
          <w:lang w:val="en-US" w:eastAsia="zh-CN"/>
        </w:rPr>
      </w:pPr>
    </w:p>
    <w:p w14:paraId="79DC992A">
      <w:pPr>
        <w:widowControl/>
        <w:jc w:val="left"/>
        <w:rPr>
          <w:rFonts w:hint="eastAsia" w:ascii="宋体" w:hAnsi="宋体"/>
          <w:sz w:val="32"/>
        </w:rPr>
      </w:pPr>
    </w:p>
    <w:p w14:paraId="54E650DE">
      <w:pPr>
        <w:widowControl/>
        <w:jc w:val="left"/>
        <w:rPr>
          <w:rFonts w:hint="eastAsia" w:ascii="宋体" w:hAnsi="宋体"/>
          <w:sz w:val="32"/>
        </w:rPr>
      </w:pPr>
    </w:p>
    <w:p w14:paraId="7EB33C13">
      <w:pPr>
        <w:pStyle w:val="2"/>
        <w:rPr>
          <w:rFonts w:hint="eastAsia" w:ascii="宋体" w:hAnsi="宋体"/>
          <w:sz w:val="32"/>
        </w:rPr>
      </w:pPr>
    </w:p>
    <w:p w14:paraId="4FC05DFA">
      <w:pPr>
        <w:rPr>
          <w:rFonts w:hint="eastAsia"/>
        </w:rPr>
      </w:pPr>
    </w:p>
    <w:p w14:paraId="5C5A6141">
      <w:pPr>
        <w:widowControl/>
        <w:jc w:val="left"/>
        <w:rPr>
          <w:rFonts w:hint="eastAsia" w:ascii="宋体" w:hAnsi="宋体" w:eastAsiaTheme="minorEastAsia"/>
          <w:sz w:val="32"/>
          <w:lang w:eastAsia="zh-CN"/>
        </w:rPr>
      </w:pPr>
      <w:r>
        <w:rPr>
          <w:rFonts w:hint="eastAsia" w:ascii="宋体" w:hAnsi="宋体"/>
          <w:sz w:val="32"/>
        </w:rPr>
        <w:t>附件</w:t>
      </w:r>
      <w:r>
        <w:rPr>
          <w:rFonts w:hint="eastAsia" w:ascii="宋体" w:hAnsi="宋体"/>
          <w:sz w:val="32"/>
          <w:lang w:val="en-US" w:eastAsia="zh-CN"/>
        </w:rPr>
        <w:t>4</w:t>
      </w:r>
    </w:p>
    <w:p w14:paraId="244EB501">
      <w:pPr>
        <w:widowControl/>
        <w:jc w:val="right"/>
        <w:rPr>
          <w:rFonts w:ascii="宋体" w:hAnsi="宋体" w:eastAsia="宋体" w:cs="宋体"/>
          <w:kern w:val="0"/>
          <w:szCs w:val="21"/>
        </w:rPr>
      </w:pPr>
      <w:r>
        <w:rPr>
          <w:rFonts w:hint="eastAsia" w:ascii="宋体" w:hAnsi="宋体" w:eastAsia="宋体" w:cs="宋体"/>
          <w:kern w:val="0"/>
          <w:szCs w:val="21"/>
        </w:rPr>
        <w:t>编号：TZ4-23</w:t>
      </w:r>
    </w:p>
    <w:p w14:paraId="071ADB62">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950240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4F8A07E2">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p>
    <w:tbl>
      <w:tblPr>
        <w:tblStyle w:val="13"/>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14:paraId="60CE1259">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15FF75D">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861D5A">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1761FA1">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659A529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230B27C">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5ABD615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79BD1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2FE792A">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4E870BC4">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47A86B2">
        <w:tblPrEx>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003B9B5E">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14:paraId="5D3ADA4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single" w:color="auto" w:sz="4" w:space="0"/>
              <w:left w:val="nil"/>
              <w:bottom w:val="single" w:color="auto" w:sz="4" w:space="0"/>
              <w:right w:val="single" w:color="auto" w:sz="4" w:space="0"/>
            </w:tcBorders>
            <w:shd w:val="clear" w:color="auto" w:fill="auto"/>
            <w:vAlign w:val="center"/>
          </w:tcPr>
          <w:p w14:paraId="4859710B">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14:paraId="43401CF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7846AC8">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14412CA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2438A3F">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63454F52">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14:paraId="5678AF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213FE336">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14:paraId="3F90C58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3CA0A0C6">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3E9785F4">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DC16375">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029871FD">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14:paraId="0781E2C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0BF6273A">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3C8F7CA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6E38CAD6">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7458723E">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1D6E002">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B83F6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1DF2E8C1">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4FCA502F">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3008556E">
            <w:pPr>
              <w:widowControl/>
              <w:jc w:val="left"/>
              <w:rPr>
                <w:rFonts w:ascii="宋体" w:hAnsi="宋体" w:eastAsia="宋体" w:cs="宋体"/>
                <w:kern w:val="0"/>
                <w:szCs w:val="21"/>
              </w:rPr>
            </w:pPr>
          </w:p>
        </w:tc>
      </w:tr>
      <w:tr w14:paraId="2D1878A6">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445CAB">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0C85186A">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1EDB255F">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EEDB2">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3479734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6CD2052E">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0E5CF9">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AC050CD">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AC26BA2">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7D045B">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14:paraId="7E3E243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45C6B53E">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48253A8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F13618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9A8D4F9">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4588E933">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00" w:type="dxa"/>
            <w:tcBorders>
              <w:top w:val="nil"/>
              <w:left w:val="nil"/>
              <w:bottom w:val="single" w:color="auto" w:sz="4" w:space="0"/>
              <w:right w:val="single" w:color="auto" w:sz="4" w:space="0"/>
            </w:tcBorders>
            <w:shd w:val="clear" w:color="auto" w:fill="auto"/>
            <w:vAlign w:val="center"/>
          </w:tcPr>
          <w:p w14:paraId="0C294BFB">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220" w:type="dxa"/>
            <w:gridSpan w:val="2"/>
            <w:tcBorders>
              <w:top w:val="nil"/>
              <w:left w:val="nil"/>
              <w:bottom w:val="single" w:color="auto" w:sz="4" w:space="0"/>
              <w:right w:val="nil"/>
            </w:tcBorders>
            <w:shd w:val="clear" w:color="auto" w:fill="auto"/>
            <w:vAlign w:val="center"/>
          </w:tcPr>
          <w:p w14:paraId="319DF0B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7E4638DE">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6159D014">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2A647488">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7AF32174">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752D3D">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14:paraId="0835BF8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7594E7FB">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06AFA47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9EC530">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66AD6948">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880" w:type="dxa"/>
            <w:tcBorders>
              <w:top w:val="nil"/>
              <w:left w:val="nil"/>
              <w:bottom w:val="single" w:color="auto" w:sz="4" w:space="0"/>
              <w:right w:val="single" w:color="auto" w:sz="4" w:space="0"/>
            </w:tcBorders>
            <w:shd w:val="clear" w:color="auto" w:fill="auto"/>
            <w:vAlign w:val="center"/>
          </w:tcPr>
          <w:p w14:paraId="4178DD4B">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06B8CCDD">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00" w:type="dxa"/>
            <w:tcBorders>
              <w:top w:val="nil"/>
              <w:left w:val="nil"/>
              <w:bottom w:val="single" w:color="auto" w:sz="4" w:space="0"/>
              <w:right w:val="single" w:color="auto" w:sz="4" w:space="0"/>
            </w:tcBorders>
            <w:shd w:val="clear" w:color="auto" w:fill="auto"/>
            <w:vAlign w:val="center"/>
          </w:tcPr>
          <w:p w14:paraId="68B8348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220" w:type="dxa"/>
            <w:gridSpan w:val="2"/>
            <w:tcBorders>
              <w:top w:val="nil"/>
              <w:left w:val="nil"/>
              <w:bottom w:val="single" w:color="auto" w:sz="4" w:space="0"/>
              <w:right w:val="single" w:color="auto" w:sz="4" w:space="0"/>
            </w:tcBorders>
            <w:shd w:val="clear" w:color="auto" w:fill="auto"/>
            <w:vAlign w:val="center"/>
          </w:tcPr>
          <w:p w14:paraId="597E10B1">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361FEA36">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09B28967">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49CF2554">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5FCE3782">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5B9F5E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14:paraId="7F499D7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31E21C5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533554F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3A3D1AF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0B05719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32C8D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088E25AE">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61276EF9">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433281A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14:paraId="3AA9A84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7F93B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151F53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859425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516FC18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E66AD2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0E10C69E">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63EA7E17">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360CCBC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14:paraId="4AEBF3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D452CA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7C9C21B1">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3CB9244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60071A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D4DB4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DE5D3B4">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7CAF73C1">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B1B4BA6">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25C94F64">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A671BF">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1318D6D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00" w:type="dxa"/>
            <w:tcBorders>
              <w:top w:val="nil"/>
              <w:left w:val="nil"/>
              <w:bottom w:val="single" w:color="auto" w:sz="4" w:space="0"/>
              <w:right w:val="single" w:color="auto" w:sz="4" w:space="0"/>
            </w:tcBorders>
            <w:shd w:val="clear" w:color="auto" w:fill="auto"/>
            <w:vAlign w:val="center"/>
          </w:tcPr>
          <w:p w14:paraId="5C2546F8">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6D67778C">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9A6197">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1DB42C97">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35D88E65">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11456D">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A347166">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56E7DCA">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081C6C38">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14:paraId="7102C583">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5AC9775">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5D81A559">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0CDDE436">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14:paraId="78D4853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A546F2D">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398642E">
        <w:tblPrEx>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14:paraId="6767790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14:paraId="15DCD14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CC639D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BCD6C90">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77B05674">
            <w:pPr>
              <w:widowControl/>
              <w:rPr>
                <w:rFonts w:ascii="宋体" w:hAnsi="宋体" w:eastAsia="宋体" w:cs="宋体"/>
                <w:kern w:val="0"/>
                <w:szCs w:val="21"/>
              </w:rPr>
            </w:pPr>
            <w:r>
              <w:br w:type="page"/>
            </w:r>
          </w:p>
          <w:p w14:paraId="126693B8">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8905D3E">
            <w:pPr>
              <w:widowControl/>
              <w:jc w:val="left"/>
              <w:rPr>
                <w:rFonts w:ascii="宋体" w:hAnsi="宋体" w:eastAsia="宋体" w:cs="宋体"/>
                <w:kern w:val="0"/>
                <w:szCs w:val="21"/>
              </w:rPr>
            </w:pPr>
          </w:p>
        </w:tc>
      </w:tr>
    </w:tbl>
    <w:p w14:paraId="2A25CAD4">
      <w:pPr>
        <w:widowControl/>
        <w:jc w:val="left"/>
        <w:rPr>
          <w:rFonts w:eastAsia="黑体"/>
          <w:b/>
          <w:bCs/>
          <w:sz w:val="28"/>
          <w:szCs w:val="28"/>
        </w:rPr>
        <w:sectPr>
          <w:pgSz w:w="11906" w:h="16838"/>
          <w:pgMar w:top="1440" w:right="1800" w:bottom="1440" w:left="1800" w:header="851" w:footer="992" w:gutter="0"/>
          <w:cols w:space="425" w:num="1"/>
          <w:docGrid w:type="lines" w:linePitch="312" w:charSpace="0"/>
        </w:sectPr>
      </w:pPr>
    </w:p>
    <w:p w14:paraId="33346584">
      <w:pPr>
        <w:widowControl/>
        <w:jc w:val="left"/>
        <w:rPr>
          <w:rFonts w:hint="eastAsia" w:ascii="宋体" w:hAnsi="宋体" w:eastAsiaTheme="minorEastAsia"/>
          <w:sz w:val="32"/>
          <w:lang w:eastAsia="zh-CN"/>
        </w:rPr>
      </w:pPr>
      <w:r>
        <w:rPr>
          <w:rFonts w:hint="eastAsia" w:ascii="宋体" w:hAnsi="宋体"/>
          <w:sz w:val="32"/>
        </w:rPr>
        <w:t>附件</w:t>
      </w:r>
      <w:r>
        <w:rPr>
          <w:rFonts w:hint="eastAsia" w:ascii="宋体" w:hAnsi="宋体"/>
          <w:sz w:val="32"/>
          <w:lang w:val="en-US" w:eastAsia="zh-CN"/>
        </w:rPr>
        <w:t>5</w:t>
      </w:r>
    </w:p>
    <w:p w14:paraId="6E5C88A4">
      <w:pPr>
        <w:widowControl/>
        <w:jc w:val="center"/>
        <w:rPr>
          <w:rFonts w:ascii="宋体" w:hAnsi="宋体"/>
          <w:b/>
          <w:sz w:val="30"/>
        </w:rPr>
      </w:pPr>
      <w:r>
        <w:rPr>
          <w:rFonts w:hint="eastAsia" w:ascii="宋体" w:hAnsi="宋体"/>
          <w:b/>
          <w:sz w:val="30"/>
          <w:lang w:val="en-US" w:eastAsia="zh-CN"/>
        </w:rPr>
        <w:t>包组一</w:t>
      </w:r>
      <w:r>
        <w:rPr>
          <w:rFonts w:hint="eastAsia" w:ascii="宋体" w:hAnsi="宋体"/>
          <w:b/>
          <w:sz w:val="30"/>
        </w:rPr>
        <w:t>实质性要求响应表</w:t>
      </w:r>
    </w:p>
    <w:p w14:paraId="0B8DC500">
      <w:pPr>
        <w:spacing w:line="360" w:lineRule="auto"/>
        <w:ind w:left="1050" w:hanging="1050" w:hangingChars="500"/>
        <w:rPr>
          <w:rFonts w:hint="eastAsia" w:ascii="宋体" w:hAnsi="宋体" w:eastAsiaTheme="minorEastAsia"/>
          <w:lang w:eastAsia="zh-CN"/>
        </w:rPr>
      </w:pPr>
      <w:r>
        <w:rPr>
          <w:rFonts w:hint="eastAsia" w:ascii="宋体" w:hAnsi="宋体"/>
        </w:rPr>
        <w:t>项目名称：</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p>
    <w:tbl>
      <w:tblPr>
        <w:tblStyle w:val="13"/>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14:paraId="22FB6A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14:paraId="488EACA8">
            <w:pPr>
              <w:spacing w:line="360" w:lineRule="auto"/>
              <w:jc w:val="center"/>
              <w:rPr>
                <w:rFonts w:ascii="宋体" w:hAnsi="宋体"/>
              </w:rPr>
            </w:pPr>
            <w:r>
              <w:rPr>
                <w:rFonts w:hint="eastAsia" w:ascii="宋体" w:hAnsi="宋体"/>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14:paraId="19076E8D">
            <w:pPr>
              <w:spacing w:line="360" w:lineRule="auto"/>
              <w:jc w:val="center"/>
              <w:rPr>
                <w:rFonts w:ascii="宋体" w:hAnsi="宋体"/>
                <w:b/>
              </w:rPr>
            </w:pPr>
            <w:r>
              <w:rPr>
                <w:rFonts w:hint="eastAsia" w:ascii="宋体" w:hAnsi="宋体"/>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14:paraId="4E34A24C">
            <w:pPr>
              <w:spacing w:line="360" w:lineRule="auto"/>
              <w:jc w:val="center"/>
              <w:rPr>
                <w:rFonts w:ascii="宋体" w:hAnsi="宋体"/>
              </w:rPr>
            </w:pPr>
            <w:r>
              <w:rPr>
                <w:rFonts w:hint="eastAsia" w:ascii="宋体" w:hAnsi="宋体"/>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14:paraId="6D0B9050">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7A4F250D">
            <w:pPr>
              <w:spacing w:line="360" w:lineRule="auto"/>
              <w:jc w:val="center"/>
              <w:rPr>
                <w:rFonts w:ascii="宋体" w:hAnsi="宋体"/>
              </w:rPr>
            </w:pPr>
            <w:r>
              <w:rPr>
                <w:rFonts w:hint="eastAsia" w:ascii="宋体" w:hAnsi="宋体"/>
              </w:rPr>
              <w:t>偏离说明</w:t>
            </w:r>
          </w:p>
        </w:tc>
      </w:tr>
      <w:tr w14:paraId="4C96E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24223528">
            <w:pPr>
              <w:spacing w:line="360" w:lineRule="auto"/>
              <w:jc w:val="center"/>
              <w:rPr>
                <w:rFonts w:ascii="宋体" w:hAnsi="宋体"/>
                <w:sz w:val="18"/>
                <w:szCs w:val="18"/>
              </w:rPr>
            </w:pPr>
            <w:r>
              <w:rPr>
                <w:rFonts w:ascii="宋体" w:hAnsi="宋体"/>
                <w:sz w:val="18"/>
                <w:szCs w:val="18"/>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4F749536">
            <w:pPr>
              <w:tabs>
                <w:tab w:val="left" w:pos="420"/>
              </w:tabs>
              <w:spacing w:line="36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w:t>
            </w:r>
            <w:r>
              <w:rPr>
                <w:rFonts w:hint="eastAsia" w:ascii="宋体" w:hAnsi="宋体"/>
                <w:sz w:val="18"/>
                <w:szCs w:val="18"/>
                <w:lang w:val="en-US" w:eastAsia="zh-CN"/>
              </w:rPr>
              <w:t>云平台对接和配合</w:t>
            </w:r>
            <w:r>
              <w:rPr>
                <w:rFonts w:hint="eastAsia" w:ascii="宋体" w:hAnsi="宋体"/>
                <w:sz w:val="18"/>
                <w:szCs w:val="18"/>
              </w:rPr>
              <w:t>调试、利润、税费</w:t>
            </w:r>
            <w:r>
              <w:rPr>
                <w:rFonts w:hint="eastAsia" w:ascii="宋体" w:hAnsi="宋体"/>
                <w:kern w:val="2"/>
                <w:sz w:val="18"/>
                <w:szCs w:val="18"/>
              </w:rPr>
              <w:t>（包括关税、增值税专用发票等）</w:t>
            </w:r>
            <w:r>
              <w:rPr>
                <w:rFonts w:hint="eastAsia" w:ascii="宋体" w:hAnsi="宋体"/>
                <w:sz w:val="18"/>
                <w:szCs w:val="18"/>
              </w:rPr>
              <w:t>、</w:t>
            </w:r>
            <w:r>
              <w:rPr>
                <w:rFonts w:hint="eastAsia" w:ascii="宋体" w:hAnsi="宋体"/>
                <w:sz w:val="18"/>
                <w:szCs w:val="18"/>
                <w:lang w:val="en-US" w:eastAsia="zh-CN"/>
              </w:rPr>
              <w:t>质保期内温控器数据通信服务费用、</w:t>
            </w:r>
            <w:r>
              <w:rPr>
                <w:rFonts w:hint="eastAsia" w:ascii="宋体" w:hAnsi="宋体"/>
                <w:sz w:val="18"/>
                <w:szCs w:val="18"/>
              </w:rPr>
              <w:t>质保期服务、采购实施过程中不可预见费用</w:t>
            </w:r>
            <w:r>
              <w:rPr>
                <w:rFonts w:hint="eastAsia" w:ascii="宋体" w:hAnsi="宋体"/>
                <w:kern w:val="0"/>
                <w:sz w:val="18"/>
                <w:szCs w:val="18"/>
              </w:rPr>
              <w:t>以及与设备有关的特殊要求等完成本合同工作所需的所有费用</w:t>
            </w:r>
            <w:r>
              <w:rPr>
                <w:rFonts w:hint="eastAsia" w:ascii="宋体" w:hAnsi="宋体"/>
                <w:sz w:val="18"/>
                <w:szCs w:val="18"/>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2FAAAD3E">
            <w:pPr>
              <w:rPr>
                <w:rFonts w:ascii="宋体" w:hAnsi="宋体"/>
                <w:sz w:val="18"/>
                <w:szCs w:val="18"/>
              </w:rPr>
            </w:pPr>
          </w:p>
          <w:p w14:paraId="562E268E">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4A982C0B">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4CC2225E">
            <w:pPr>
              <w:spacing w:line="360" w:lineRule="auto"/>
              <w:jc w:val="center"/>
              <w:rPr>
                <w:rFonts w:ascii="宋体" w:hAnsi="宋体"/>
                <w:sz w:val="18"/>
                <w:szCs w:val="18"/>
              </w:rPr>
            </w:pPr>
          </w:p>
        </w:tc>
      </w:tr>
      <w:tr w14:paraId="755736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4A0DD71E">
            <w:pPr>
              <w:spacing w:line="360" w:lineRule="auto"/>
              <w:jc w:val="center"/>
              <w:rPr>
                <w:rFonts w:ascii="宋体" w:hAnsi="宋体"/>
                <w:sz w:val="18"/>
                <w:szCs w:val="18"/>
              </w:rPr>
            </w:pPr>
            <w:r>
              <w:rPr>
                <w:rFonts w:ascii="宋体" w:hAnsi="宋体"/>
                <w:sz w:val="18"/>
                <w:szCs w:val="18"/>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014653AB">
            <w:pPr>
              <w:tabs>
                <w:tab w:val="left" w:pos="420"/>
              </w:tabs>
              <w:spacing w:line="36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409C7E5A">
            <w:pPr>
              <w:spacing w:line="36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777A0EA9">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0E226644">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D579EE2">
            <w:pPr>
              <w:spacing w:line="360" w:lineRule="auto"/>
              <w:jc w:val="center"/>
              <w:rPr>
                <w:rFonts w:ascii="宋体" w:hAnsi="宋体"/>
                <w:sz w:val="18"/>
                <w:szCs w:val="18"/>
              </w:rPr>
            </w:pPr>
          </w:p>
        </w:tc>
      </w:tr>
      <w:tr w14:paraId="55C89A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6DD31D5F">
            <w:pPr>
              <w:spacing w:line="360" w:lineRule="auto"/>
              <w:jc w:val="center"/>
              <w:rPr>
                <w:rFonts w:ascii="宋体" w:hAnsi="宋体"/>
                <w:kern w:val="15"/>
                <w:sz w:val="18"/>
                <w:szCs w:val="18"/>
              </w:rPr>
            </w:pPr>
            <w:r>
              <w:rPr>
                <w:rFonts w:hint="eastAsia" w:ascii="宋体" w:hAnsi="宋体"/>
                <w:kern w:val="15"/>
                <w:sz w:val="18"/>
                <w:szCs w:val="18"/>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18C0B87A">
            <w:pPr>
              <w:tabs>
                <w:tab w:val="left" w:pos="420"/>
              </w:tabs>
              <w:spacing w:line="360" w:lineRule="auto"/>
              <w:rPr>
                <w:rFonts w:ascii="宋体" w:hAnsi="宋体"/>
                <w:sz w:val="18"/>
                <w:szCs w:val="18"/>
              </w:rPr>
            </w:pPr>
            <w:r>
              <w:rPr>
                <w:rFonts w:hint="eastAsia" w:ascii="宋体" w:hAnsi="宋体"/>
                <w:sz w:val="18"/>
                <w:szCs w:val="18"/>
              </w:rPr>
              <w:t>购需求四、需求内容（四）交货要求3、★成交供应商非生产厂家时在</w:t>
            </w:r>
            <w:r>
              <w:rPr>
                <w:rFonts w:hint="eastAsia" w:ascii="宋体" w:hAnsi="宋体"/>
                <w:sz w:val="18"/>
                <w:szCs w:val="18"/>
                <w:lang w:val="en-US" w:eastAsia="zh-CN"/>
              </w:rPr>
              <w:t>签订合同</w:t>
            </w:r>
            <w:r>
              <w:rPr>
                <w:rFonts w:hint="eastAsia" w:ascii="宋体" w:hAnsi="宋体"/>
                <w:sz w:val="18"/>
                <w:szCs w:val="18"/>
              </w:rPr>
              <w:t>时需提供生产厂家的或其授权经销商的关于本项目采购清单材料的合法授权函原件或者供货证明原件（以采购订单或采购合同为准）。</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22495B1D">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2EDE532B">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66E9BF83">
            <w:pPr>
              <w:spacing w:line="360" w:lineRule="auto"/>
              <w:jc w:val="center"/>
              <w:rPr>
                <w:rFonts w:ascii="宋体" w:hAnsi="宋体"/>
                <w:sz w:val="18"/>
                <w:szCs w:val="18"/>
              </w:rPr>
            </w:pPr>
          </w:p>
        </w:tc>
      </w:tr>
      <w:tr w14:paraId="042329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3F3153CC">
            <w:pPr>
              <w:spacing w:line="360" w:lineRule="auto"/>
              <w:jc w:val="center"/>
              <w:rPr>
                <w:rFonts w:ascii="宋体" w:hAnsi="宋体"/>
                <w:kern w:val="15"/>
                <w:sz w:val="18"/>
                <w:szCs w:val="18"/>
              </w:rPr>
            </w:pPr>
            <w:r>
              <w:rPr>
                <w:rFonts w:hint="eastAsia" w:ascii="宋体" w:hAnsi="宋体"/>
                <w:kern w:val="15"/>
                <w:sz w:val="18"/>
                <w:szCs w:val="18"/>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415E79C8">
            <w:pPr>
              <w:tabs>
                <w:tab w:val="left" w:pos="420"/>
              </w:tabs>
              <w:spacing w:line="36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rPr>
              <w:t>四、需求内容（七）</w:t>
            </w:r>
            <w:r>
              <w:rPr>
                <w:rFonts w:ascii="宋体" w:hAnsi="宋体"/>
                <w:sz w:val="18"/>
                <w:szCs w:val="18"/>
              </w:rPr>
              <w:t>2、</w:t>
            </w:r>
            <w:r>
              <w:rPr>
                <w:rFonts w:hint="eastAsia" w:ascii="宋体" w:hAnsi="宋体"/>
                <w:sz w:val="18"/>
                <w:szCs w:val="18"/>
              </w:rPr>
              <w:t>★采购清单中</w:t>
            </w:r>
            <w:r>
              <w:rPr>
                <w:rFonts w:ascii="宋体" w:hAnsi="宋体"/>
                <w:sz w:val="18"/>
                <w:szCs w:val="18"/>
              </w:rPr>
              <w:t>货物的质保期最少为</w:t>
            </w:r>
            <w:r>
              <w:rPr>
                <w:rFonts w:hint="eastAsia" w:ascii="宋体" w:hAnsi="宋体"/>
                <w:sz w:val="18"/>
                <w:szCs w:val="18"/>
              </w:rPr>
              <w:t>货物</w:t>
            </w:r>
            <w:r>
              <w:rPr>
                <w:rFonts w:ascii="宋体" w:hAnsi="宋体"/>
                <w:sz w:val="18"/>
                <w:szCs w:val="18"/>
              </w:rPr>
              <w:t>验收合格</w:t>
            </w:r>
            <w:r>
              <w:rPr>
                <w:rFonts w:hint="eastAsia" w:ascii="宋体" w:hAnsi="宋体"/>
                <w:sz w:val="18"/>
                <w:szCs w:val="18"/>
              </w:rPr>
              <w:t>之日起不少于</w:t>
            </w:r>
            <w:r>
              <w:rPr>
                <w:rFonts w:hint="eastAsia" w:ascii="宋体" w:hAnsi="宋体"/>
                <w:sz w:val="18"/>
                <w:szCs w:val="18"/>
                <w:lang w:val="en-US" w:eastAsia="zh-CN"/>
              </w:rPr>
              <w:t>5</w:t>
            </w:r>
            <w:r>
              <w:rPr>
                <w:rFonts w:hint="eastAsia" w:ascii="宋体" w:hAnsi="宋体"/>
                <w:sz w:val="18"/>
                <w:szCs w:val="18"/>
              </w:rPr>
              <w:t>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5ABC64FC">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7E92591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56940712">
            <w:pPr>
              <w:spacing w:line="360" w:lineRule="auto"/>
              <w:jc w:val="center"/>
              <w:rPr>
                <w:rFonts w:ascii="宋体" w:hAnsi="宋体"/>
                <w:sz w:val="18"/>
                <w:szCs w:val="18"/>
              </w:rPr>
            </w:pPr>
          </w:p>
        </w:tc>
      </w:tr>
      <w:tr w14:paraId="74E72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1B38AB00">
            <w:pPr>
              <w:spacing w:line="360" w:lineRule="auto"/>
              <w:jc w:val="center"/>
              <w:rPr>
                <w:rFonts w:ascii="宋体" w:hAnsi="宋体"/>
                <w:kern w:val="15"/>
                <w:sz w:val="18"/>
                <w:szCs w:val="18"/>
              </w:rPr>
            </w:pPr>
            <w:r>
              <w:rPr>
                <w:rFonts w:hint="eastAsia" w:ascii="宋体" w:hAnsi="宋体"/>
                <w:kern w:val="15"/>
                <w:sz w:val="18"/>
                <w:szCs w:val="18"/>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2530CD0E">
            <w:pPr>
              <w:tabs>
                <w:tab w:val="left" w:pos="420"/>
              </w:tabs>
              <w:spacing w:line="360" w:lineRule="auto"/>
              <w:rPr>
                <w:rFonts w:hint="default" w:ascii="宋体" w:hAnsi="宋体"/>
                <w:sz w:val="18"/>
                <w:szCs w:val="18"/>
                <w:lang w:val="en-US"/>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lang w:val="en-US" w:eastAsia="zh-CN"/>
              </w:rPr>
              <w:t>付款方式</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151C50DE">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2FB4B44D">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562B0A9">
            <w:pPr>
              <w:spacing w:line="360" w:lineRule="auto"/>
              <w:jc w:val="center"/>
              <w:rPr>
                <w:rFonts w:ascii="宋体" w:hAnsi="宋体"/>
                <w:sz w:val="18"/>
                <w:szCs w:val="18"/>
              </w:rPr>
            </w:pPr>
          </w:p>
        </w:tc>
      </w:tr>
      <w:tr w14:paraId="77547C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14:paraId="309640E6">
            <w:pPr>
              <w:tabs>
                <w:tab w:val="left" w:pos="420"/>
              </w:tabs>
              <w:spacing w:line="360" w:lineRule="auto"/>
              <w:jc w:val="left"/>
              <w:rPr>
                <w:rFonts w:hint="eastAsia" w:ascii="宋体" w:hAnsi="宋体"/>
                <w:kern w:val="2"/>
                <w:sz w:val="18"/>
                <w:szCs w:val="18"/>
              </w:rPr>
            </w:pPr>
            <w:r>
              <w:rPr>
                <w:rFonts w:hint="eastAsia" w:ascii="宋体" w:hAnsi="宋体"/>
                <w:kern w:val="2"/>
                <w:sz w:val="18"/>
                <w:szCs w:val="18"/>
                <w:lang w:val="en-US" w:eastAsia="zh-CN"/>
              </w:rPr>
              <w:t>7</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14:paraId="4F319D41">
            <w:pPr>
              <w:tabs>
                <w:tab w:val="left" w:pos="420"/>
              </w:tabs>
              <w:spacing w:line="360" w:lineRule="auto"/>
              <w:rPr>
                <w:rFonts w:hint="eastAsia" w:ascii="宋体" w:hAnsi="宋体" w:eastAsiaTheme="minorEastAsia"/>
                <w:sz w:val="18"/>
                <w:szCs w:val="18"/>
                <w:lang w:val="en-US" w:eastAsia="zh-CN"/>
              </w:rPr>
            </w:pPr>
            <w:r>
              <w:rPr>
                <w:rFonts w:hint="eastAsia" w:ascii="宋体" w:hAnsi="宋体" w:cstheme="minorBidi"/>
                <w:b w:val="0"/>
                <w:sz w:val="18"/>
                <w:szCs w:val="18"/>
                <w:lang w:val="en-US" w:eastAsia="zh-CN"/>
              </w:rPr>
              <w:t>附件1.1用户需求书二、项目的工作范围及内容3、</w:t>
            </w:r>
            <w:r>
              <w:rPr>
                <w:rFonts w:hint="eastAsia" w:ascii="宋体" w:hAnsi="宋体"/>
                <w:sz w:val="18"/>
                <w:szCs w:val="18"/>
              </w:rPr>
              <w:t>★（2）中央空调联网计时型温控器需求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14:paraId="7CF10E28">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14:paraId="6480B53C">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5B224BF6">
            <w:pPr>
              <w:spacing w:line="360" w:lineRule="auto"/>
              <w:jc w:val="center"/>
              <w:rPr>
                <w:rFonts w:ascii="宋体" w:hAnsi="宋体"/>
                <w:sz w:val="18"/>
                <w:szCs w:val="18"/>
              </w:rPr>
            </w:pPr>
          </w:p>
        </w:tc>
      </w:tr>
    </w:tbl>
    <w:p w14:paraId="14CB0427">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D769C78">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519120DF">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36CE50E1">
      <w:pPr>
        <w:spacing w:line="360" w:lineRule="auto"/>
        <w:ind w:firstLine="105" w:firstLineChars="50"/>
        <w:rPr>
          <w:rFonts w:ascii="宋体" w:hAnsi="宋体"/>
          <w:u w:val="single"/>
        </w:rPr>
      </w:pPr>
      <w:r>
        <w:rPr>
          <w:rFonts w:hint="eastAsia" w:ascii="宋体" w:hAnsi="宋体"/>
        </w:rPr>
        <w:t xml:space="preserve">                                              供应商名称（盖公章）：</w:t>
      </w:r>
    </w:p>
    <w:p w14:paraId="0952455E">
      <w:pPr>
        <w:widowControl/>
        <w:ind w:firstLine="5040" w:firstLineChars="2400"/>
        <w:jc w:val="left"/>
        <w:rPr>
          <w:rFonts w:hint="eastAsia" w:ascii="宋体" w:hAnsi="宋体"/>
        </w:rPr>
      </w:pPr>
      <w:r>
        <w:rPr>
          <w:rFonts w:hint="eastAsia" w:ascii="宋体" w:hAnsi="宋体"/>
        </w:rPr>
        <w:t>日    期：20</w:t>
      </w:r>
      <w:r>
        <w:rPr>
          <w:rFonts w:hint="eastAsia" w:ascii="宋体" w:hAnsi="宋体"/>
          <w:lang w:val="en-US" w:eastAsia="zh-CN"/>
        </w:rPr>
        <w:t xml:space="preserve">2 </w:t>
      </w:r>
      <w:r>
        <w:rPr>
          <w:rFonts w:hint="eastAsia" w:ascii="宋体" w:hAnsi="宋体"/>
        </w:rPr>
        <w:t>年  月 日</w:t>
      </w:r>
    </w:p>
    <w:p w14:paraId="2C4DCFD1">
      <w:pPr>
        <w:pStyle w:val="2"/>
        <w:rPr>
          <w:rFonts w:hint="eastAsia" w:ascii="宋体" w:hAnsi="宋体"/>
        </w:rPr>
      </w:pPr>
    </w:p>
    <w:p w14:paraId="45657075">
      <w:pPr>
        <w:rPr>
          <w:rFonts w:hint="eastAsia" w:ascii="宋体" w:hAnsi="宋体"/>
        </w:rPr>
      </w:pPr>
    </w:p>
    <w:p w14:paraId="568481E2">
      <w:pPr>
        <w:pStyle w:val="2"/>
        <w:rPr>
          <w:rFonts w:hint="eastAsia" w:ascii="宋体" w:hAnsi="宋体"/>
        </w:rPr>
      </w:pPr>
    </w:p>
    <w:p w14:paraId="33FC9BBB">
      <w:pPr>
        <w:rPr>
          <w:rFonts w:hint="eastAsia" w:ascii="宋体" w:hAnsi="宋体"/>
        </w:rPr>
      </w:pPr>
    </w:p>
    <w:p w14:paraId="008D5A14">
      <w:pPr>
        <w:pStyle w:val="2"/>
        <w:rPr>
          <w:rFonts w:hint="eastAsia" w:ascii="宋体" w:hAnsi="宋体"/>
        </w:rPr>
      </w:pPr>
    </w:p>
    <w:p w14:paraId="055EEEC9">
      <w:pPr>
        <w:rPr>
          <w:rFonts w:hint="eastAsia" w:ascii="宋体" w:hAnsi="宋体"/>
        </w:rPr>
      </w:pPr>
    </w:p>
    <w:p w14:paraId="68DC0668">
      <w:pPr>
        <w:pStyle w:val="2"/>
        <w:rPr>
          <w:rFonts w:hint="eastAsia" w:ascii="宋体" w:hAnsi="宋体"/>
        </w:rPr>
      </w:pPr>
    </w:p>
    <w:p w14:paraId="37B162F8">
      <w:pPr>
        <w:rPr>
          <w:rFonts w:hint="eastAsia" w:ascii="宋体" w:hAnsi="宋体"/>
        </w:rPr>
      </w:pPr>
    </w:p>
    <w:p w14:paraId="68248718">
      <w:pPr>
        <w:pStyle w:val="2"/>
        <w:rPr>
          <w:rFonts w:hint="eastAsia" w:ascii="宋体" w:hAnsi="宋体"/>
        </w:rPr>
      </w:pPr>
    </w:p>
    <w:p w14:paraId="05DFE9EB">
      <w:pPr>
        <w:rPr>
          <w:rFonts w:hint="eastAsia" w:ascii="宋体" w:hAnsi="宋体"/>
        </w:rPr>
      </w:pPr>
    </w:p>
    <w:p w14:paraId="38AFADE3">
      <w:pPr>
        <w:pStyle w:val="2"/>
        <w:rPr>
          <w:rFonts w:hint="eastAsia" w:ascii="宋体" w:hAnsi="宋体"/>
        </w:rPr>
      </w:pPr>
    </w:p>
    <w:p w14:paraId="64679E16">
      <w:pPr>
        <w:rPr>
          <w:rFonts w:hint="eastAsia" w:ascii="宋体" w:hAnsi="宋体"/>
        </w:rPr>
      </w:pPr>
    </w:p>
    <w:p w14:paraId="475B090E">
      <w:pPr>
        <w:pStyle w:val="2"/>
        <w:rPr>
          <w:rFonts w:hint="eastAsia" w:ascii="宋体" w:hAnsi="宋体"/>
        </w:rPr>
      </w:pPr>
    </w:p>
    <w:p w14:paraId="6C3EBC9F">
      <w:pPr>
        <w:rPr>
          <w:rFonts w:hint="eastAsia" w:ascii="宋体" w:hAnsi="宋体"/>
        </w:rPr>
      </w:pPr>
    </w:p>
    <w:p w14:paraId="6A48120C">
      <w:pPr>
        <w:pStyle w:val="2"/>
        <w:rPr>
          <w:rFonts w:hint="eastAsia" w:ascii="宋体" w:hAnsi="宋体"/>
        </w:rPr>
      </w:pPr>
    </w:p>
    <w:p w14:paraId="3BF26848">
      <w:pPr>
        <w:rPr>
          <w:rFonts w:hint="eastAsia" w:ascii="宋体" w:hAnsi="宋体"/>
        </w:rPr>
      </w:pPr>
    </w:p>
    <w:p w14:paraId="321978DF">
      <w:pPr>
        <w:pStyle w:val="2"/>
        <w:rPr>
          <w:rFonts w:hint="eastAsia" w:ascii="宋体" w:hAnsi="宋体"/>
        </w:rPr>
      </w:pPr>
    </w:p>
    <w:p w14:paraId="2A199850">
      <w:pPr>
        <w:rPr>
          <w:rFonts w:hint="eastAsia" w:ascii="宋体" w:hAnsi="宋体"/>
        </w:rPr>
      </w:pPr>
    </w:p>
    <w:p w14:paraId="3B38C814">
      <w:pPr>
        <w:pStyle w:val="2"/>
        <w:rPr>
          <w:rFonts w:hint="eastAsia" w:ascii="宋体" w:hAnsi="宋体"/>
        </w:rPr>
      </w:pPr>
    </w:p>
    <w:p w14:paraId="41558BDD">
      <w:pPr>
        <w:rPr>
          <w:rFonts w:hint="eastAsia" w:ascii="宋体" w:hAnsi="宋体"/>
        </w:rPr>
      </w:pPr>
    </w:p>
    <w:p w14:paraId="131D45F1">
      <w:pPr>
        <w:pStyle w:val="2"/>
        <w:rPr>
          <w:rFonts w:hint="eastAsia" w:ascii="宋体" w:hAnsi="宋体"/>
        </w:rPr>
      </w:pPr>
    </w:p>
    <w:p w14:paraId="5767C4C5">
      <w:pPr>
        <w:rPr>
          <w:rFonts w:hint="eastAsia" w:ascii="宋体" w:hAnsi="宋体"/>
        </w:rPr>
      </w:pPr>
    </w:p>
    <w:p w14:paraId="384B6BCA">
      <w:pPr>
        <w:pStyle w:val="2"/>
        <w:rPr>
          <w:rFonts w:hint="eastAsia" w:ascii="宋体" w:hAnsi="宋体"/>
        </w:rPr>
      </w:pPr>
    </w:p>
    <w:p w14:paraId="09CF6779">
      <w:pPr>
        <w:rPr>
          <w:rFonts w:hint="eastAsia" w:ascii="宋体" w:hAnsi="宋体"/>
        </w:rPr>
      </w:pPr>
    </w:p>
    <w:p w14:paraId="5E74F745">
      <w:pPr>
        <w:pStyle w:val="2"/>
        <w:rPr>
          <w:rFonts w:hint="eastAsia" w:ascii="宋体" w:hAnsi="宋体"/>
        </w:rPr>
      </w:pPr>
    </w:p>
    <w:p w14:paraId="0E5AB1A9">
      <w:pPr>
        <w:rPr>
          <w:rFonts w:hint="eastAsia" w:ascii="宋体" w:hAnsi="宋体"/>
        </w:rPr>
      </w:pPr>
    </w:p>
    <w:p w14:paraId="406CCAE7">
      <w:pPr>
        <w:widowControl/>
        <w:jc w:val="center"/>
        <w:rPr>
          <w:rFonts w:ascii="宋体" w:hAnsi="宋体"/>
          <w:b/>
          <w:sz w:val="30"/>
        </w:rPr>
      </w:pPr>
      <w:r>
        <w:rPr>
          <w:rFonts w:ascii="宋体" w:hAnsi="宋体"/>
        </w:rPr>
        <w:br w:type="page"/>
      </w:r>
      <w:r>
        <w:rPr>
          <w:rFonts w:hint="eastAsia" w:ascii="宋体" w:hAnsi="宋体"/>
          <w:b/>
          <w:sz w:val="30"/>
          <w:lang w:val="en-US" w:eastAsia="zh-CN"/>
        </w:rPr>
        <w:t>包组二</w:t>
      </w:r>
      <w:r>
        <w:rPr>
          <w:rFonts w:hint="eastAsia" w:ascii="宋体" w:hAnsi="宋体"/>
          <w:b/>
          <w:sz w:val="30"/>
        </w:rPr>
        <w:t>实质性要求响应表</w:t>
      </w:r>
    </w:p>
    <w:p w14:paraId="60729541">
      <w:pPr>
        <w:widowControl/>
        <w:jc w:val="left"/>
        <w:rPr>
          <w:rFonts w:hint="eastAsia" w:ascii="宋体" w:hAnsi="宋体"/>
          <w:sz w:val="24"/>
        </w:rPr>
      </w:pPr>
      <w:r>
        <w:rPr>
          <w:rFonts w:hint="eastAsia" w:ascii="宋体" w:hAnsi="宋体"/>
        </w:rPr>
        <w:t>项目名称：</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p>
    <w:tbl>
      <w:tblPr>
        <w:tblStyle w:val="13"/>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50"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20"/>
                <w:szCs w:val="20"/>
              </w:rPr>
              <w:t>采购需求</w:t>
            </w:r>
            <w:r>
              <w:rPr>
                <w:rFonts w:hint="eastAsia" w:ascii="宋体" w:hAnsi="宋体"/>
                <w:sz w:val="20"/>
                <w:szCs w:val="20"/>
                <w:lang w:val="en-US" w:eastAsia="zh-CN"/>
              </w:rPr>
              <w:t>二</w:t>
            </w:r>
            <w:r>
              <w:rPr>
                <w:rFonts w:hint="eastAsia" w:ascii="宋体" w:hAnsi="宋体"/>
                <w:sz w:val="20"/>
                <w:szCs w:val="20"/>
              </w:rPr>
              <w:t>、需求内容（</w:t>
            </w:r>
            <w:r>
              <w:rPr>
                <w:rFonts w:hint="eastAsia" w:ascii="宋体" w:hAnsi="宋体"/>
                <w:sz w:val="20"/>
                <w:szCs w:val="20"/>
                <w:lang w:val="en-US" w:eastAsia="zh-CN"/>
              </w:rPr>
              <w:t>一</w:t>
            </w:r>
            <w:r>
              <w:rPr>
                <w:rFonts w:hint="eastAsia" w:ascii="宋体" w:hAnsi="宋体"/>
                <w:sz w:val="20"/>
                <w:szCs w:val="20"/>
              </w:rPr>
              <w:t>）</w:t>
            </w:r>
            <w:r>
              <w:rPr>
                <w:rFonts w:ascii="宋体" w:hAnsi="宋体"/>
                <w:sz w:val="20"/>
                <w:szCs w:val="20"/>
              </w:rPr>
              <w:t>1、</w:t>
            </w:r>
            <w:r>
              <w:rPr>
                <w:rFonts w:hint="eastAsia" w:ascii="宋体" w:hAnsi="宋体"/>
                <w:sz w:val="20"/>
                <w:szCs w:val="20"/>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9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20"/>
                <w:szCs w:val="20"/>
              </w:rPr>
            </w:pPr>
            <w:r>
              <w:rPr>
                <w:rFonts w:hint="eastAsia" w:ascii="宋体" w:hAnsi="宋体"/>
                <w:sz w:val="20"/>
                <w:szCs w:val="20"/>
              </w:rPr>
              <w:t>采购需求</w:t>
            </w:r>
            <w:r>
              <w:rPr>
                <w:rFonts w:hint="eastAsia" w:ascii="宋体" w:hAnsi="宋体"/>
                <w:sz w:val="20"/>
                <w:szCs w:val="20"/>
                <w:lang w:val="en-US" w:eastAsia="zh-CN"/>
              </w:rPr>
              <w:t>二</w:t>
            </w:r>
            <w:r>
              <w:rPr>
                <w:rFonts w:hint="eastAsia" w:ascii="宋体" w:hAnsi="宋体"/>
                <w:sz w:val="20"/>
                <w:szCs w:val="20"/>
              </w:rPr>
              <w:t>、需求内容（二）★</w:t>
            </w:r>
            <w:r>
              <w:rPr>
                <w:rFonts w:hint="eastAsia" w:ascii="宋体" w:hAnsi="宋体"/>
                <w:kern w:val="0"/>
                <w:sz w:val="20"/>
                <w:szCs w:val="20"/>
              </w:rPr>
              <w:t>货物要求</w:t>
            </w:r>
          </w:p>
          <w:p w14:paraId="1B09EB15">
            <w:pPr>
              <w:spacing w:line="240" w:lineRule="auto"/>
              <w:rPr>
                <w:rFonts w:ascii="宋体" w:hAnsi="宋体"/>
                <w:sz w:val="18"/>
                <w:szCs w:val="18"/>
              </w:rPr>
            </w:pPr>
            <w:r>
              <w:rPr>
                <w:rFonts w:hint="eastAsia" w:ascii="宋体" w:hAnsi="宋体"/>
                <w:sz w:val="20"/>
                <w:szCs w:val="20"/>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20"/>
                <w:szCs w:val="20"/>
              </w:rPr>
              <w:t>采购需求</w:t>
            </w:r>
            <w:r>
              <w:rPr>
                <w:rFonts w:hint="eastAsia" w:ascii="宋体" w:hAnsi="宋体"/>
                <w:sz w:val="20"/>
                <w:szCs w:val="20"/>
                <w:lang w:val="en-US" w:eastAsia="zh-CN"/>
              </w:rPr>
              <w:t>三</w:t>
            </w:r>
            <w:r>
              <w:rPr>
                <w:rFonts w:ascii="宋体" w:hAnsi="宋体"/>
                <w:sz w:val="20"/>
                <w:szCs w:val="20"/>
              </w:rPr>
              <w:t>、商务要求（一）★</w:t>
            </w:r>
            <w:r>
              <w:rPr>
                <w:rFonts w:hint="eastAsia" w:ascii="宋体" w:hAnsi="宋体"/>
                <w:sz w:val="20"/>
                <w:szCs w:val="20"/>
              </w:rPr>
              <w:t>付款方式：</w:t>
            </w:r>
            <w:r>
              <w:rPr>
                <w:rFonts w:hint="eastAsia" w:ascii="宋体" w:hAnsi="宋体" w:eastAsia="宋体" w:cs="宋体"/>
                <w:sz w:val="20"/>
                <w:szCs w:val="20"/>
                <w:highlight w:val="none"/>
              </w:rPr>
              <w:t>全部货物货到现场并经</w:t>
            </w:r>
            <w:r>
              <w:rPr>
                <w:rFonts w:hint="eastAsia" w:ascii="宋体" w:hAnsi="宋体" w:eastAsia="宋体" w:cs="宋体"/>
                <w:sz w:val="20"/>
                <w:szCs w:val="20"/>
                <w:highlight w:val="none"/>
                <w:lang w:val="en-US" w:eastAsia="zh-CN"/>
              </w:rPr>
              <w:t>需</w:t>
            </w:r>
            <w:r>
              <w:rPr>
                <w:rFonts w:hint="eastAsia" w:ascii="宋体" w:hAnsi="宋体" w:eastAsia="宋体" w:cs="宋体"/>
                <w:sz w:val="20"/>
                <w:szCs w:val="20"/>
                <w:highlight w:val="none"/>
              </w:rPr>
              <w:t>方验收合格签字和收到供方相关的</w:t>
            </w:r>
            <w:r>
              <w:rPr>
                <w:rFonts w:hint="eastAsia" w:ascii="宋体" w:hAnsi="宋体" w:eastAsia="宋体" w:cs="宋体"/>
                <w:sz w:val="20"/>
                <w:szCs w:val="20"/>
                <w:highlight w:val="none"/>
                <w:lang w:val="en-US" w:eastAsia="zh-CN"/>
              </w:rPr>
              <w:t>产品</w:t>
            </w:r>
            <w:r>
              <w:rPr>
                <w:rFonts w:hint="eastAsia" w:ascii="宋体" w:hAnsi="宋体" w:eastAsia="宋体" w:cs="宋体"/>
                <w:sz w:val="20"/>
                <w:szCs w:val="20"/>
                <w:highlight w:val="none"/>
              </w:rPr>
              <w:t>资料后</w:t>
            </w:r>
            <w:r>
              <w:rPr>
                <w:rFonts w:hint="eastAsia" w:ascii="宋体" w:hAnsi="宋体" w:eastAsia="宋体" w:cs="宋体"/>
                <w:sz w:val="20"/>
                <w:szCs w:val="20"/>
                <w:highlight w:val="none"/>
                <w:lang w:val="en-US" w:eastAsia="zh-CN"/>
              </w:rPr>
              <w:t>30日</w:t>
            </w:r>
            <w:r>
              <w:rPr>
                <w:rFonts w:hint="eastAsia" w:ascii="宋体" w:hAnsi="宋体" w:eastAsia="宋体" w:cs="宋体"/>
                <w:sz w:val="20"/>
                <w:szCs w:val="20"/>
                <w:highlight w:val="none"/>
              </w:rPr>
              <w:t>内支付至结算价的</w:t>
            </w:r>
            <w:r>
              <w:rPr>
                <w:rFonts w:hint="eastAsia" w:ascii="宋体" w:hAnsi="宋体" w:eastAsia="宋体" w:cs="宋体"/>
                <w:sz w:val="20"/>
                <w:szCs w:val="20"/>
                <w:highlight w:val="none"/>
                <w:lang w:val="en-US" w:eastAsia="zh-CN"/>
              </w:rPr>
              <w:t>100</w:t>
            </w:r>
            <w:r>
              <w:rPr>
                <w:rFonts w:hint="eastAsia" w:ascii="宋体" w:hAnsi="宋体" w:eastAsia="宋体" w:cs="宋体"/>
                <w:sz w:val="20"/>
                <w:szCs w:val="20"/>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6A09B547">
      <w:pPr>
        <w:pStyle w:val="2"/>
      </w:pPr>
    </w:p>
    <w:p w14:paraId="308BE9F7"/>
    <w:p w14:paraId="1AF2E55C">
      <w:pPr>
        <w:pStyle w:val="2"/>
      </w:pPr>
    </w:p>
    <w:p w14:paraId="4BA453B2">
      <w:pPr>
        <w:widowControl/>
        <w:jc w:val="left"/>
        <w:rPr>
          <w:rFonts w:hint="eastAsia" w:ascii="宋体" w:hAnsi="宋体" w:eastAsiaTheme="minorEastAsia"/>
          <w:b/>
          <w:sz w:val="32"/>
          <w:lang w:eastAsia="zh-CN"/>
        </w:rPr>
      </w:pPr>
      <w:r>
        <w:rPr>
          <w:rFonts w:hint="eastAsia" w:ascii="宋体" w:hAnsi="宋体"/>
          <w:b/>
          <w:sz w:val="32"/>
        </w:rPr>
        <w:t>附件</w:t>
      </w:r>
      <w:r>
        <w:rPr>
          <w:rFonts w:hint="eastAsia" w:ascii="宋体" w:hAnsi="宋体"/>
          <w:b/>
          <w:sz w:val="32"/>
          <w:lang w:val="en-US" w:eastAsia="zh-CN"/>
        </w:rPr>
        <w:t>6</w:t>
      </w:r>
    </w:p>
    <w:p w14:paraId="04809C72">
      <w:pPr>
        <w:widowControl/>
        <w:ind w:firstLine="2409" w:firstLineChars="800"/>
        <w:jc w:val="left"/>
        <w:rPr>
          <w:rFonts w:ascii="宋体" w:hAnsi="宋体"/>
          <w:b/>
          <w:bCs/>
          <w:color w:val="auto"/>
          <w:sz w:val="30"/>
          <w:szCs w:val="30"/>
          <w:highlight w:val="none"/>
        </w:rPr>
      </w:pPr>
      <w:r>
        <w:rPr>
          <w:rFonts w:hint="eastAsia" w:ascii="宋体" w:hAnsi="宋体"/>
          <w:b/>
          <w:bCs/>
          <w:color w:val="auto"/>
          <w:sz w:val="30"/>
          <w:szCs w:val="30"/>
          <w:highlight w:val="none"/>
        </w:rPr>
        <w:t>法定代表人身份证明书</w:t>
      </w:r>
    </w:p>
    <w:p w14:paraId="27FFF90D">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在我单位任职务，是我单位法定代表人，身份证号为，特此证明。</w:t>
      </w:r>
    </w:p>
    <w:p w14:paraId="6A6C95C2">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本证明书有效日期</w:t>
      </w:r>
      <w:r>
        <w:rPr>
          <w:rFonts w:ascii="宋体" w:hAnsi="宋体"/>
          <w:color w:val="auto"/>
          <w:sz w:val="28"/>
          <w:szCs w:val="28"/>
          <w:highlight w:val="none"/>
        </w:rPr>
        <w:t>:自签发之日起至20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r>
        <w:rPr>
          <w:rFonts w:ascii="宋体" w:hAnsi="宋体"/>
          <w:color w:val="auto"/>
          <w:sz w:val="28"/>
          <w:szCs w:val="28"/>
          <w:highlight w:val="none"/>
        </w:rPr>
        <w:t>.</w:t>
      </w:r>
    </w:p>
    <w:p w14:paraId="31A8637C">
      <w:pPr>
        <w:widowControl/>
        <w:jc w:val="left"/>
        <w:rPr>
          <w:rFonts w:ascii="宋体" w:hAnsi="宋体"/>
          <w:color w:val="auto"/>
          <w:sz w:val="28"/>
          <w:szCs w:val="28"/>
          <w:highlight w:val="none"/>
        </w:rPr>
      </w:pPr>
    </w:p>
    <w:p w14:paraId="144E7943">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14:paraId="742D1131">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14:paraId="43689B92">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(签字或签章):</w:t>
      </w:r>
    </w:p>
    <w:p w14:paraId="6AB9DD4C">
      <w:pPr>
        <w:widowControl/>
        <w:jc w:val="left"/>
        <w:rPr>
          <w:rFonts w:ascii="宋体" w:hAnsi="宋体"/>
          <w:color w:val="auto"/>
          <w:sz w:val="28"/>
          <w:szCs w:val="28"/>
          <w:highlight w:val="none"/>
        </w:rPr>
      </w:pPr>
      <w:r>
        <w:rPr>
          <w:rFonts w:hint="eastAsia" w:ascii="宋体" w:hAnsi="宋体"/>
          <w:color w:val="auto"/>
          <w:sz w:val="28"/>
          <w:szCs w:val="28"/>
          <w:highlight w:val="none"/>
        </w:rPr>
        <w:t>单位通信地址：</w:t>
      </w:r>
    </w:p>
    <w:p w14:paraId="675EB0EF">
      <w:pPr>
        <w:widowControl/>
        <w:jc w:val="left"/>
        <w:rPr>
          <w:rFonts w:ascii="宋体" w:hAnsi="宋体"/>
          <w:color w:val="auto"/>
          <w:sz w:val="28"/>
          <w:szCs w:val="28"/>
          <w:highlight w:val="none"/>
        </w:rPr>
      </w:pPr>
      <w:r>
        <w:rPr>
          <w:rFonts w:hint="eastAsia" w:ascii="宋体" w:hAnsi="宋体"/>
          <w:color w:val="auto"/>
          <w:sz w:val="28"/>
          <w:szCs w:val="28"/>
          <w:highlight w:val="none"/>
        </w:rPr>
        <w:t>邮政编码：</w:t>
      </w:r>
      <w:r>
        <w:rPr>
          <w:rFonts w:ascii="宋体" w:hAnsi="宋体"/>
          <w:color w:val="auto"/>
          <w:sz w:val="28"/>
          <w:szCs w:val="28"/>
          <w:highlight w:val="none"/>
        </w:rPr>
        <w:t xml:space="preserve">                 单位联系电话：   </w:t>
      </w:r>
    </w:p>
    <w:p w14:paraId="73DA99E6">
      <w:pPr>
        <w:widowControl/>
        <w:jc w:val="left"/>
        <w:rPr>
          <w:rFonts w:ascii="宋体" w:hAnsi="宋体"/>
          <w:color w:val="auto"/>
          <w:sz w:val="28"/>
          <w:szCs w:val="28"/>
          <w:highlight w:val="none"/>
        </w:rPr>
      </w:pPr>
    </w:p>
    <w:p w14:paraId="59C1A3AB">
      <w:pPr>
        <w:widowControl/>
        <w:jc w:val="left"/>
        <w:rPr>
          <w:rFonts w:ascii="宋体" w:hAnsi="宋体"/>
          <w:color w:val="auto"/>
          <w:sz w:val="28"/>
          <w:szCs w:val="28"/>
          <w:highlight w:val="none"/>
        </w:rPr>
      </w:pPr>
      <w:r>
        <w:rPr>
          <w:rFonts w:hint="eastAsia" w:ascii="宋体" w:hAnsi="宋体"/>
          <w:color w:val="auto"/>
          <w:sz w:val="28"/>
          <w:szCs w:val="28"/>
          <w:highlight w:val="none"/>
        </w:rPr>
        <w:t>附：法人代表身份证正反面或其他身份证明材料复印件</w:t>
      </w:r>
      <w:r>
        <w:rPr>
          <w:rFonts w:ascii="宋体" w:hAnsi="宋体"/>
          <w:color w:val="auto"/>
          <w:sz w:val="28"/>
          <w:szCs w:val="28"/>
          <w:highlight w:val="none"/>
        </w:rPr>
        <w:t>(加盖公章)</w:t>
      </w:r>
    </w:p>
    <w:p w14:paraId="588CAA95">
      <w:pPr>
        <w:widowControl/>
        <w:jc w:val="left"/>
        <w:rPr>
          <w:rFonts w:ascii="宋体" w:hAnsi="宋体"/>
          <w:color w:val="auto"/>
          <w:sz w:val="28"/>
          <w:szCs w:val="28"/>
          <w:highlight w:val="none"/>
        </w:rPr>
      </w:pPr>
    </w:p>
    <w:p w14:paraId="5B890949">
      <w:pPr>
        <w:widowControl/>
        <w:jc w:val="left"/>
        <w:rPr>
          <w:rFonts w:ascii="宋体" w:hAnsi="宋体"/>
          <w:color w:val="auto"/>
          <w:sz w:val="28"/>
          <w:szCs w:val="28"/>
          <w:highlight w:val="none"/>
        </w:rPr>
      </w:pPr>
      <w:r>
        <w:rPr>
          <w:rFonts w:ascii="宋体" w:hAnsi="宋体"/>
          <w:color w:val="auto"/>
          <w:sz w:val="28"/>
          <w:szCs w:val="28"/>
          <w:highlight w:val="none"/>
        </w:rPr>
        <w:br w:type="page"/>
      </w:r>
    </w:p>
    <w:p w14:paraId="04346F48">
      <w:pPr>
        <w:widowControl/>
        <w:jc w:val="left"/>
        <w:rPr>
          <w:rFonts w:hint="eastAsia" w:ascii="宋体" w:hAnsi="宋体" w:eastAsiaTheme="minorEastAsia"/>
          <w:color w:val="auto"/>
          <w:sz w:val="30"/>
          <w:szCs w:val="30"/>
          <w:highlight w:val="none"/>
          <w:lang w:eastAsia="zh-CN"/>
        </w:rPr>
      </w:pPr>
      <w:r>
        <w:rPr>
          <w:rFonts w:ascii="宋体" w:hAnsi="宋体"/>
          <w:color w:val="auto"/>
          <w:sz w:val="30"/>
          <w:szCs w:val="30"/>
          <w:highlight w:val="none"/>
        </w:rPr>
        <w:t>附件</w:t>
      </w:r>
      <w:r>
        <w:rPr>
          <w:rFonts w:hint="eastAsia" w:ascii="宋体" w:hAnsi="宋体"/>
          <w:color w:val="auto"/>
          <w:sz w:val="30"/>
          <w:szCs w:val="30"/>
          <w:highlight w:val="none"/>
          <w:lang w:val="en-US" w:eastAsia="zh-CN"/>
        </w:rPr>
        <w:t>7</w:t>
      </w:r>
    </w:p>
    <w:p w14:paraId="38D4AF23">
      <w:pPr>
        <w:widowControl/>
        <w:ind w:firstLine="2108" w:firstLineChars="700"/>
        <w:jc w:val="left"/>
        <w:rPr>
          <w:rFonts w:ascii="宋体" w:hAnsi="宋体"/>
          <w:b/>
          <w:bCs/>
          <w:color w:val="auto"/>
          <w:sz w:val="30"/>
          <w:szCs w:val="30"/>
          <w:highlight w:val="none"/>
        </w:rPr>
      </w:pPr>
      <w:r>
        <w:rPr>
          <w:rFonts w:hint="eastAsia" w:ascii="宋体" w:hAnsi="宋体"/>
          <w:b/>
          <w:bCs/>
          <w:color w:val="auto"/>
          <w:sz w:val="30"/>
          <w:szCs w:val="30"/>
          <w:highlight w:val="none"/>
        </w:rPr>
        <w:t>法定代表人授权委托证明书</w:t>
      </w:r>
    </w:p>
    <w:p w14:paraId="029A115A">
      <w:pPr>
        <w:widowControl/>
        <w:ind w:firstLine="560" w:firstLineChars="200"/>
        <w:jc w:val="left"/>
        <w:rPr>
          <w:rFonts w:ascii="宋体" w:hAnsi="宋体"/>
          <w:color w:val="auto"/>
          <w:sz w:val="28"/>
          <w:szCs w:val="28"/>
          <w:highlight w:val="none"/>
        </w:rPr>
      </w:pPr>
      <w:r>
        <w:rPr>
          <w:rFonts w:hint="eastAsia" w:ascii="宋体" w:hAnsi="宋体"/>
          <w:bCs/>
          <w:color w:val="auto"/>
          <w:sz w:val="28"/>
          <w:szCs w:val="28"/>
          <w:highlight w:val="none"/>
        </w:rPr>
        <w:t>兹授权</w:t>
      </w:r>
      <w:r>
        <w:rPr>
          <w:rFonts w:hint="eastAsia" w:ascii="宋体" w:hAnsi="宋体"/>
          <w:bCs/>
          <w:color w:val="auto"/>
          <w:sz w:val="28"/>
          <w:szCs w:val="28"/>
          <w:highlight w:val="none"/>
          <w:u w:val="single"/>
        </w:rPr>
        <w:t>（委托代理人姓名）</w:t>
      </w:r>
      <w:r>
        <w:rPr>
          <w:rFonts w:hint="eastAsia" w:ascii="宋体" w:hAnsi="宋体"/>
          <w:bCs/>
          <w:color w:val="auto"/>
          <w:sz w:val="28"/>
          <w:szCs w:val="28"/>
          <w:highlight w:val="none"/>
        </w:rPr>
        <w:t>为我方委托代理人，其权限是：</w:t>
      </w:r>
      <w:r>
        <w:rPr>
          <w:rFonts w:hint="eastAsia" w:ascii="宋体" w:hAnsi="宋体"/>
          <w:color w:val="auto"/>
          <w:sz w:val="28"/>
          <w:szCs w:val="28"/>
          <w:highlight w:val="none"/>
        </w:rPr>
        <w:t>办理</w:t>
      </w:r>
      <w:r>
        <w:rPr>
          <w:rFonts w:hint="eastAsia" w:ascii="宋体" w:hAnsi="宋体"/>
          <w:color w:val="auto"/>
          <w:sz w:val="28"/>
          <w:szCs w:val="28"/>
          <w:highlight w:val="none"/>
          <w:u w:val="single"/>
          <w:lang w:val="en-US" w:eastAsia="zh-CN"/>
        </w:rPr>
        <w:t>广州城投综合能源投资经营管理有限公司</w:t>
      </w:r>
      <w:r>
        <w:rPr>
          <w:rFonts w:hint="eastAsia" w:ascii="宋体" w:hAnsi="宋体"/>
          <w:color w:val="auto"/>
          <w:sz w:val="28"/>
          <w:szCs w:val="28"/>
          <w:highlight w:val="none"/>
        </w:rPr>
        <w:t>组织的</w:t>
      </w:r>
      <w:r>
        <w:rPr>
          <w:rFonts w:hint="eastAsia" w:ascii="宋体" w:hAnsi="宋体"/>
          <w:color w:val="auto"/>
          <w:sz w:val="28"/>
          <w:szCs w:val="28"/>
          <w:highlight w:val="none"/>
          <w:u w:val="single"/>
        </w:rPr>
        <w:t>“</w:t>
      </w:r>
      <w:r>
        <w:rPr>
          <w:rFonts w:hint="eastAsia" w:ascii="宋体" w:hAnsi="宋体" w:eastAsiaTheme="minorEastAsia"/>
          <w:color w:val="auto"/>
          <w:sz w:val="28"/>
          <w:szCs w:val="28"/>
          <w:highlight w:val="none"/>
          <w:u w:val="single"/>
          <w:lang w:eastAsia="zh-CN"/>
        </w:rPr>
        <w:t>星海音乐学院学生宿舍中央空调计时计费系统项目</w:t>
      </w:r>
      <w:r>
        <w:rPr>
          <w:rFonts w:hint="eastAsia" w:ascii="宋体" w:hAnsi="宋体"/>
          <w:color w:val="auto"/>
          <w:sz w:val="28"/>
          <w:szCs w:val="28"/>
          <w:highlight w:val="none"/>
          <w:u w:val="single"/>
        </w:rPr>
        <w:t>材料采购”项目的</w:t>
      </w:r>
      <w:r>
        <w:rPr>
          <w:rFonts w:hint="eastAsia" w:ascii="宋体" w:hAnsi="宋体"/>
          <w:color w:val="auto"/>
          <w:sz w:val="28"/>
          <w:szCs w:val="28"/>
          <w:highlight w:val="none"/>
        </w:rPr>
        <w:t>投标和合同执行，以我方的名义处理一切与之有关的事宜。</w:t>
      </w:r>
    </w:p>
    <w:p w14:paraId="790B2969">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val="en-GB"/>
        </w:rPr>
        <w:t>本</w:t>
      </w:r>
      <w:r>
        <w:rPr>
          <w:rFonts w:hint="eastAsia" w:ascii="宋体" w:hAnsi="宋体"/>
          <w:color w:val="auto"/>
          <w:sz w:val="28"/>
          <w:szCs w:val="28"/>
          <w:highlight w:val="none"/>
        </w:rPr>
        <w:t>授权证明书有效日期</w:t>
      </w:r>
      <w:r>
        <w:rPr>
          <w:rFonts w:ascii="宋体" w:hAnsi="宋体"/>
          <w:color w:val="auto"/>
          <w:sz w:val="28"/>
          <w:szCs w:val="28"/>
          <w:highlight w:val="none"/>
        </w:rPr>
        <w:t>:</w:t>
      </w:r>
      <w:r>
        <w:rPr>
          <w:rFonts w:hint="eastAsia" w:ascii="宋体" w:hAnsi="宋体"/>
          <w:color w:val="auto"/>
          <w:sz w:val="28"/>
          <w:szCs w:val="28"/>
          <w:highlight w:val="none"/>
          <w:lang w:val="en-GB"/>
        </w:rPr>
        <w:t>自签发之日起至</w:t>
      </w:r>
      <w:r>
        <w:rPr>
          <w:rFonts w:ascii="宋体" w:hAnsi="宋体"/>
          <w:color w:val="auto"/>
          <w:sz w:val="28"/>
          <w:szCs w:val="28"/>
          <w:highlight w:val="none"/>
          <w:lang w:val="en-GB"/>
        </w:rPr>
        <w:t>20</w:t>
      </w:r>
      <w:r>
        <w:rPr>
          <w:rFonts w:hint="eastAsia" w:ascii="宋体" w:hAnsi="宋体"/>
          <w:color w:val="auto"/>
          <w:sz w:val="28"/>
          <w:szCs w:val="28"/>
          <w:highlight w:val="none"/>
          <w:lang w:val="en-US" w:eastAsia="zh-CN"/>
        </w:rPr>
        <w:t>25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r>
        <w:rPr>
          <w:rFonts w:ascii="宋体" w:hAnsi="宋体"/>
          <w:color w:val="auto"/>
          <w:sz w:val="28"/>
          <w:szCs w:val="28"/>
          <w:highlight w:val="none"/>
        </w:rPr>
        <w:t>.</w:t>
      </w:r>
    </w:p>
    <w:p w14:paraId="78C3EA8D">
      <w:pPr>
        <w:widowControl/>
        <w:ind w:firstLine="560" w:firstLineChars="200"/>
        <w:jc w:val="left"/>
        <w:rPr>
          <w:rFonts w:ascii="宋体" w:hAnsi="宋体"/>
          <w:bCs/>
          <w:color w:val="auto"/>
          <w:sz w:val="28"/>
          <w:szCs w:val="28"/>
          <w:highlight w:val="none"/>
        </w:rPr>
      </w:pPr>
      <w:r>
        <w:rPr>
          <w:rFonts w:hint="eastAsia" w:ascii="宋体" w:hAnsi="宋体"/>
          <w:color w:val="auto"/>
          <w:sz w:val="28"/>
          <w:szCs w:val="28"/>
          <w:highlight w:val="none"/>
          <w:lang w:val="en-GB"/>
        </w:rPr>
        <w:t>特此证明。</w:t>
      </w:r>
    </w:p>
    <w:p w14:paraId="1D853E82">
      <w:pPr>
        <w:widowControl/>
        <w:jc w:val="left"/>
        <w:rPr>
          <w:rFonts w:ascii="宋体" w:hAnsi="宋体"/>
          <w:color w:val="auto"/>
          <w:sz w:val="28"/>
          <w:szCs w:val="28"/>
          <w:highlight w:val="none"/>
          <w:u w:val="single"/>
        </w:rPr>
      </w:pPr>
      <w:r>
        <w:rPr>
          <w:rFonts w:hint="eastAsia" w:ascii="宋体" w:hAnsi="宋体"/>
          <w:color w:val="auto"/>
          <w:sz w:val="28"/>
          <w:szCs w:val="28"/>
          <w:highlight w:val="none"/>
        </w:rPr>
        <w:t>附：代理人性别：年龄：职务：</w:t>
      </w:r>
    </w:p>
    <w:p w14:paraId="4F33459F">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身份证号码：</w:t>
      </w:r>
    </w:p>
    <w:p w14:paraId="35A826E1">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（营业执照等）注册号码：</w:t>
      </w:r>
    </w:p>
    <w:p w14:paraId="6AD4D620">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企业类型：</w:t>
      </w:r>
    </w:p>
    <w:p w14:paraId="233F9012">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经营范围：</w:t>
      </w:r>
    </w:p>
    <w:p w14:paraId="7AEB6762">
      <w:pPr>
        <w:widowControl/>
        <w:jc w:val="left"/>
        <w:rPr>
          <w:rFonts w:ascii="宋体" w:hAnsi="宋体"/>
          <w:color w:val="auto"/>
          <w:sz w:val="28"/>
          <w:szCs w:val="28"/>
          <w:highlight w:val="none"/>
        </w:rPr>
      </w:pPr>
    </w:p>
    <w:p w14:paraId="7B78234F">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14:paraId="0E80A21E">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22B8252F">
      <w:pPr>
        <w:widowControl/>
        <w:jc w:val="left"/>
        <w:rPr>
          <w:rFonts w:ascii="宋体" w:hAnsi="宋体"/>
          <w:color w:val="auto"/>
          <w:sz w:val="28"/>
          <w:szCs w:val="28"/>
          <w:highlight w:val="none"/>
        </w:rPr>
      </w:pPr>
      <w:r>
        <w:rPr>
          <w:rFonts w:hint="eastAsia" w:ascii="宋体" w:hAnsi="宋体"/>
          <w:color w:val="auto"/>
          <w:sz w:val="28"/>
          <w:szCs w:val="28"/>
          <w:highlight w:val="none"/>
        </w:rPr>
        <w:t>被授权人（签字或盖章）：</w:t>
      </w:r>
    </w:p>
    <w:p w14:paraId="398CC0CA">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14:paraId="410B3EC3">
      <w:pPr>
        <w:widowControl/>
        <w:jc w:val="left"/>
        <w:rPr>
          <w:rFonts w:ascii="宋体" w:hAnsi="宋体"/>
          <w:color w:val="auto"/>
          <w:sz w:val="28"/>
          <w:szCs w:val="28"/>
          <w:highlight w:val="none"/>
        </w:rPr>
      </w:pPr>
      <w:r>
        <w:rPr>
          <w:rFonts w:hint="eastAsia" w:ascii="宋体" w:hAnsi="宋体"/>
          <w:color w:val="auto"/>
          <w:sz w:val="28"/>
          <w:szCs w:val="28"/>
          <w:highlight w:val="none"/>
        </w:rPr>
        <w:t>附：授权代理人有效身份证正反面或其他身份证明材料复印</w:t>
      </w:r>
      <w:r>
        <w:rPr>
          <w:rFonts w:ascii="宋体" w:hAnsi="宋体"/>
          <w:color w:val="auto"/>
          <w:sz w:val="28"/>
          <w:szCs w:val="28"/>
          <w:highlight w:val="none"/>
        </w:rPr>
        <w:t>(加盖公章)</w:t>
      </w:r>
    </w:p>
    <w:p w14:paraId="151893F7">
      <w:pPr>
        <w:widowControl/>
        <w:jc w:val="left"/>
        <w:rPr>
          <w:rFonts w:ascii="宋体" w:hAnsi="宋体"/>
          <w:color w:val="auto"/>
          <w:sz w:val="28"/>
          <w:szCs w:val="28"/>
          <w:highlight w:val="none"/>
        </w:rPr>
      </w:pPr>
    </w:p>
    <w:p w14:paraId="49EB71EE">
      <w:pPr>
        <w:widowControl/>
        <w:jc w:val="left"/>
        <w:rPr>
          <w:rFonts w:ascii="宋体" w:hAnsi="宋体"/>
          <w:color w:val="auto"/>
          <w:sz w:val="28"/>
          <w:szCs w:val="28"/>
          <w:highlight w:val="none"/>
        </w:rPr>
      </w:pPr>
      <w:r>
        <w:rPr>
          <w:rFonts w:hint="eastAsia" w:ascii="宋体" w:hAnsi="宋体"/>
          <w:color w:val="auto"/>
          <w:sz w:val="28"/>
          <w:szCs w:val="28"/>
          <w:highlight w:val="none"/>
        </w:rPr>
        <w:t>说明：法定代表人亲自办理投标事宜的，无需提交本证明书。</w:t>
      </w:r>
    </w:p>
    <w:p w14:paraId="3A84E30E">
      <w:pPr>
        <w:rPr>
          <w:rFonts w:hint="default" w:ascii="仿宋" w:hAnsi="仿宋" w:cs="仿宋" w:eastAsiaTheme="minorEastAsia"/>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8</w:t>
      </w:r>
    </w:p>
    <w:p w14:paraId="22E1ED93">
      <w:pPr>
        <w:pStyle w:val="6"/>
        <w:ind w:firstLine="3213" w:firstLineChars="1000"/>
        <w:jc w:val="both"/>
        <w:rPr>
          <w:rFonts w:ascii="宋体" w:hAnsi="宋体" w:cs="仿宋"/>
          <w:b/>
          <w:sz w:val="32"/>
          <w:szCs w:val="28"/>
        </w:rPr>
      </w:pPr>
      <w:r>
        <w:rPr>
          <w:rFonts w:hint="eastAsia" w:ascii="宋体" w:hAnsi="宋体" w:cs="仿宋"/>
          <w:b/>
          <w:sz w:val="32"/>
          <w:szCs w:val="28"/>
        </w:rPr>
        <w:t>报价人声明函</w:t>
      </w:r>
    </w:p>
    <w:p w14:paraId="2798A770">
      <w:pPr>
        <w:rPr>
          <w:rFonts w:hint="eastAsia" w:ascii="宋体" w:hAnsi="宋体" w:cs="仿宋"/>
          <w:b/>
          <w:sz w:val="22"/>
          <w:szCs w:val="21"/>
        </w:rPr>
      </w:pPr>
    </w:p>
    <w:p w14:paraId="13D2262F">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color w:val="000000"/>
          <w:sz w:val="24"/>
          <w:u w:val="single"/>
          <w:lang w:val="en-US" w:eastAsia="zh-CN"/>
        </w:rPr>
        <w:t>广州城投综合能源投资经营管理有限公司</w:t>
      </w:r>
      <w:r>
        <w:rPr>
          <w:rFonts w:ascii="宋体" w:hAnsi="宋体" w:cs="仿宋"/>
          <w:color w:val="000000"/>
          <w:sz w:val="24"/>
          <w:u w:val="single"/>
        </w:rPr>
        <w:t xml:space="preserve"> </w:t>
      </w:r>
      <w:r>
        <w:rPr>
          <w:rFonts w:hint="eastAsia" w:ascii="宋体" w:hAnsi="宋体" w:cs="仿宋"/>
          <w:b/>
          <w:sz w:val="24"/>
        </w:rPr>
        <w:t>：</w:t>
      </w:r>
    </w:p>
    <w:p w14:paraId="0FFDE426">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none"/>
        </w:rPr>
        <w:t xml:space="preserve"> </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r>
        <w:rPr>
          <w:rFonts w:hint="eastAsia" w:ascii="宋体" w:hAnsi="宋体" w:cs="仿宋"/>
          <w:color w:val="000000"/>
          <w:sz w:val="24"/>
          <w:u w:val="none"/>
        </w:rPr>
        <w:t>项</w:t>
      </w:r>
      <w:r>
        <w:rPr>
          <w:rFonts w:hint="eastAsia" w:ascii="宋体" w:hAnsi="宋体" w:cs="仿宋"/>
          <w:color w:val="000000"/>
          <w:sz w:val="24"/>
          <w:u w:val="single"/>
        </w:rPr>
        <w:t>目</w:t>
      </w:r>
      <w:r>
        <w:rPr>
          <w:rFonts w:hint="eastAsia" w:ascii="宋体" w:hAnsi="宋体" w:cs="仿宋"/>
          <w:color w:val="000000"/>
          <w:sz w:val="24"/>
        </w:rPr>
        <w:t>，我公司（企业）愿意参加竞选，并声明：</w:t>
      </w:r>
    </w:p>
    <w:p w14:paraId="68865C4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1D510DAF">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6AA5662C">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4ED4C3EF">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7C4215C5">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1C83AA98">
      <w:pPr>
        <w:spacing w:line="360" w:lineRule="auto"/>
        <w:ind w:firstLine="420"/>
        <w:rPr>
          <w:rFonts w:hint="eastAsia" w:ascii="宋体" w:hAnsi="宋体" w:cs="仿宋"/>
          <w:sz w:val="24"/>
        </w:rPr>
      </w:pPr>
    </w:p>
    <w:p w14:paraId="7F2D96D3">
      <w:pPr>
        <w:spacing w:line="360" w:lineRule="auto"/>
        <w:ind w:firstLine="420"/>
        <w:rPr>
          <w:rFonts w:hint="eastAsia" w:ascii="宋体" w:hAnsi="宋体" w:cs="仿宋"/>
          <w:sz w:val="24"/>
        </w:rPr>
      </w:pPr>
    </w:p>
    <w:p w14:paraId="6D6908A8">
      <w:pPr>
        <w:spacing w:line="360" w:lineRule="auto"/>
        <w:ind w:firstLine="420"/>
        <w:rPr>
          <w:rFonts w:hint="eastAsia" w:ascii="宋体" w:hAnsi="宋体" w:cs="仿宋"/>
          <w:sz w:val="24"/>
        </w:rPr>
      </w:pPr>
    </w:p>
    <w:p w14:paraId="22806AB5">
      <w:pPr>
        <w:spacing w:line="360" w:lineRule="auto"/>
        <w:ind w:firstLine="420"/>
        <w:rPr>
          <w:rFonts w:hint="eastAsia" w:ascii="宋体" w:hAnsi="宋体" w:cs="仿宋"/>
          <w:sz w:val="24"/>
        </w:rPr>
      </w:pPr>
    </w:p>
    <w:p w14:paraId="46750620">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776FC50A">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0137073F">
      <w:pPr>
        <w:rPr>
          <w:rFonts w:hint="eastAsia" w:ascii="宋体" w:hAnsi="宋体" w:cs="仿宋"/>
          <w:color w:val="000000"/>
          <w:sz w:val="24"/>
        </w:rPr>
      </w:pPr>
      <w:r>
        <w:rPr>
          <w:rFonts w:hint="eastAsia" w:ascii="宋体" w:hAnsi="宋体" w:cs="仿宋"/>
          <w:color w:val="000000"/>
          <w:sz w:val="24"/>
        </w:rPr>
        <w:t>日期：</w:t>
      </w:r>
    </w:p>
    <w:p w14:paraId="355AEA16">
      <w:pPr>
        <w:rPr>
          <w:rFonts w:hint="eastAsia" w:ascii="宋体" w:hAnsi="宋体" w:cs="仿宋"/>
          <w:color w:val="000000"/>
          <w:sz w:val="24"/>
        </w:rPr>
      </w:pPr>
    </w:p>
    <w:p w14:paraId="55085946">
      <w:pPr>
        <w:widowControl/>
        <w:jc w:val="left"/>
        <w:rPr>
          <w:rFonts w:hint="eastAsia" w:ascii="宋体" w:hAnsi="宋体"/>
          <w:b/>
          <w:sz w:val="32"/>
          <w:lang w:val="en-US" w:eastAsia="zh-CN"/>
        </w:rPr>
      </w:pPr>
      <w:r>
        <w:rPr>
          <w:rFonts w:hint="eastAsia" w:ascii="宋体" w:hAnsi="宋体"/>
          <w:b/>
          <w:sz w:val="32"/>
          <w:lang w:val="en-US" w:eastAsia="zh-CN"/>
        </w:rPr>
        <w:br w:type="page"/>
      </w:r>
    </w:p>
    <w:p w14:paraId="0D246A9D">
      <w:pPr>
        <w:widowControl/>
        <w:jc w:val="left"/>
        <w:rPr>
          <w:rFonts w:hint="eastAsia" w:ascii="宋体" w:hAnsi="宋体"/>
          <w:b/>
          <w:sz w:val="32"/>
          <w:lang w:val="en-US" w:eastAsia="zh-CN"/>
        </w:rPr>
      </w:pPr>
      <w:r>
        <w:rPr>
          <w:rFonts w:hint="eastAsia" w:ascii="宋体" w:hAnsi="宋体"/>
          <w:b/>
          <w:sz w:val="32"/>
          <w:lang w:val="en-US" w:eastAsia="zh-CN"/>
        </w:rPr>
        <w:t>附件9</w:t>
      </w:r>
    </w:p>
    <w:p w14:paraId="00BA10F6">
      <w:pPr>
        <w:widowControl/>
        <w:jc w:val="center"/>
        <w:rPr>
          <w:rFonts w:ascii="宋体" w:hAnsi="宋体"/>
          <w:b/>
          <w:kern w:val="0"/>
          <w:sz w:val="24"/>
        </w:rPr>
      </w:pPr>
      <w:r>
        <w:rPr>
          <w:rFonts w:hint="eastAsia" w:ascii="宋体" w:hAnsi="宋体"/>
          <w:b/>
          <w:kern w:val="0"/>
          <w:sz w:val="36"/>
        </w:rPr>
        <w:t>资格性和有效性审查表</w:t>
      </w:r>
    </w:p>
    <w:p w14:paraId="0B309DBE">
      <w:pPr>
        <w:ind w:firstLine="420" w:firstLineChars="200"/>
        <w:rPr>
          <w:rFonts w:ascii="宋体" w:hAnsi="宋体"/>
        </w:rPr>
      </w:pPr>
    </w:p>
    <w:p w14:paraId="681B7144">
      <w:pPr>
        <w:spacing w:line="360" w:lineRule="auto"/>
        <w:ind w:left="420" w:leftChars="200"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eastAsia="宋体"/>
          <w:sz w:val="24"/>
          <w:lang w:eastAsia="zh-CN"/>
        </w:rPr>
        <w:t>星海音乐学院学生宿舍中央空调计时计费系统项目</w:t>
      </w:r>
      <w:r>
        <w:rPr>
          <w:rFonts w:hint="eastAsia" w:ascii="宋体" w:hAnsi="宋体"/>
          <w:sz w:val="24"/>
        </w:rPr>
        <w:t>材料采购</w:t>
      </w:r>
    </w:p>
    <w:tbl>
      <w:tblPr>
        <w:tblStyle w:val="13"/>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0ECC1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24B4A7DD">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4BE8AAF3">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2DA7A3B0">
            <w:pPr>
              <w:adjustRightInd w:val="0"/>
              <w:snapToGrid w:val="0"/>
              <w:jc w:val="center"/>
              <w:rPr>
                <w:rFonts w:ascii="宋体" w:hAnsi="宋体"/>
                <w:b/>
              </w:rPr>
            </w:pPr>
            <w:r>
              <w:rPr>
                <w:rFonts w:hint="eastAsia" w:ascii="宋体" w:hAnsi="宋体"/>
                <w:b/>
              </w:rPr>
              <w:t>供应商</w:t>
            </w:r>
          </w:p>
        </w:tc>
      </w:tr>
      <w:tr w14:paraId="0D104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072FC1A">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B13E148">
            <w:pPr>
              <w:widowControl/>
              <w:jc w:val="left"/>
              <w:rPr>
                <w:rFonts w:ascii="宋体" w:hAnsi="宋体" w:eastAsiaTheme="minorEastAsia" w:cstheme="minorBidi"/>
                <w:kern w:val="2"/>
                <w:sz w:val="21"/>
                <w:szCs w:val="24"/>
                <w:lang w:val="en-US" w:eastAsia="zh-CN" w:bidi="ar-SA"/>
              </w:rPr>
            </w:pPr>
            <w:r>
              <w:rPr>
                <w:rFonts w:hint="eastAsia" w:ascii="宋体" w:hAnsi="宋体"/>
                <w:sz w:val="18"/>
                <w:szCs w:val="18"/>
                <w:highlight w:val="none"/>
              </w:rPr>
              <w:t>投标单位必须是具有独立承担民事责任能力的在中华人民共和国境内注册的法人或其他组织，提供营业执照或法人证书的盖章扫描件证明</w:t>
            </w:r>
            <w:r>
              <w:rPr>
                <w:rFonts w:hint="eastAsia" w:ascii="宋体" w:hAnsi="宋体"/>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1730D9">
            <w:pPr>
              <w:adjustRightInd w:val="0"/>
              <w:snapToGrid w:val="0"/>
              <w:spacing w:line="360" w:lineRule="auto"/>
              <w:jc w:val="center"/>
              <w:rPr>
                <w:rFonts w:ascii="宋体" w:hAnsi="宋体"/>
                <w:b/>
              </w:rPr>
            </w:pPr>
          </w:p>
        </w:tc>
      </w:tr>
      <w:tr w14:paraId="4A24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3FB4F074">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2F18035">
            <w:pPr>
              <w:widowControl/>
              <w:jc w:val="left"/>
              <w:rPr>
                <w:rFonts w:ascii="宋体" w:hAnsi="宋体" w:eastAsiaTheme="minorEastAsia" w:cstheme="minorBidi"/>
                <w:kern w:val="2"/>
                <w:sz w:val="21"/>
                <w:szCs w:val="24"/>
                <w:lang w:val="en-US" w:eastAsia="zh-CN" w:bidi="ar-SA"/>
              </w:rPr>
            </w:pPr>
            <w:r>
              <w:rPr>
                <w:rFonts w:hint="eastAsia" w:ascii="宋体" w:hAnsi="宋体" w:eastAsia="宋体" w:cs="宋体"/>
                <w:color w:val="000000"/>
                <w:kern w:val="0"/>
                <w:sz w:val="18"/>
                <w:szCs w:val="18"/>
                <w:highlight w:val="none"/>
              </w:rPr>
              <w:t>投标人</w:t>
            </w:r>
            <w:r>
              <w:rPr>
                <w:rFonts w:hint="eastAsia" w:ascii="宋体" w:hAnsi="宋体" w:eastAsia="宋体" w:cs="宋体"/>
                <w:color w:val="000000"/>
                <w:kern w:val="0"/>
                <w:sz w:val="18"/>
                <w:szCs w:val="18"/>
                <w:highlight w:val="none"/>
                <w:lang w:val="en-US" w:eastAsia="zh-CN"/>
              </w:rPr>
              <w:t>未</w:t>
            </w:r>
            <w:r>
              <w:rPr>
                <w:rFonts w:hint="eastAsia" w:ascii="宋体" w:hAnsi="宋体" w:eastAsia="宋体" w:cs="宋体"/>
                <w:color w:val="000000"/>
                <w:kern w:val="0"/>
                <w:sz w:val="18"/>
                <w:szCs w:val="18"/>
                <w:highlight w:val="none"/>
              </w:rPr>
              <w:t>被列入“信用中国”网站（www.creditchina.gov.cn）记录失信被执行人当事人名单</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提供“信用中国”网站的信用记录查询结果截图</w:t>
            </w:r>
            <w:r>
              <w:rPr>
                <w:rFonts w:hint="eastAsia" w:ascii="宋体" w:hAnsi="宋体" w:eastAsia="宋体" w:cs="宋体"/>
                <w:color w:val="000000"/>
                <w:kern w:val="0"/>
                <w:sz w:val="18"/>
                <w:szCs w:val="18"/>
                <w:highlight w:val="none"/>
                <w:lang w:val="en-US" w:eastAsia="zh-CN"/>
              </w:rPr>
              <w:t>或信用报告</w:t>
            </w:r>
            <w:r>
              <w:rPr>
                <w:rFonts w:hint="eastAsia" w:ascii="宋体" w:hAnsi="宋体" w:eastAsia="宋体" w:cs="宋体"/>
                <w:color w:val="000000"/>
                <w:kern w:val="0"/>
                <w:sz w:val="18"/>
                <w:szCs w:val="18"/>
                <w:highlight w:val="none"/>
              </w:rPr>
              <w:t>并打印页面加盖公章</w:t>
            </w:r>
            <w:r>
              <w:rPr>
                <w:rFonts w:hint="eastAsia" w:ascii="宋体" w:hAnsi="宋体" w:eastAsia="宋体" w:cs="宋体"/>
                <w:color w:val="000000"/>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4B60F285">
            <w:pPr>
              <w:adjustRightInd w:val="0"/>
              <w:snapToGrid w:val="0"/>
              <w:spacing w:line="360" w:lineRule="auto"/>
              <w:jc w:val="center"/>
              <w:rPr>
                <w:rFonts w:ascii="宋体" w:hAnsi="宋体"/>
                <w:b/>
              </w:rPr>
            </w:pPr>
          </w:p>
        </w:tc>
      </w:tr>
      <w:tr w14:paraId="146A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0E74B92">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C7CC84E">
            <w:pPr>
              <w:widowControl/>
              <w:jc w:val="left"/>
              <w:rPr>
                <w:rFonts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b/>
                <w:bCs/>
                <w:color w:val="000000"/>
                <w:kern w:val="0"/>
                <w:sz w:val="18"/>
                <w:szCs w:val="18"/>
              </w:rPr>
              <w:t>附投标声明函</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5A73FEBB">
            <w:pPr>
              <w:adjustRightInd w:val="0"/>
              <w:snapToGrid w:val="0"/>
              <w:spacing w:line="360" w:lineRule="auto"/>
              <w:jc w:val="center"/>
              <w:rPr>
                <w:rFonts w:ascii="宋体" w:hAnsi="宋体"/>
                <w:b/>
              </w:rPr>
            </w:pPr>
          </w:p>
        </w:tc>
      </w:tr>
      <w:tr w14:paraId="3CFE2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480CC43">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154711C9">
            <w:pPr>
              <w:widowControl/>
              <w:jc w:val="left"/>
              <w:rPr>
                <w:rFonts w:hint="eastAsia" w:ascii="宋体" w:hAnsi="宋体" w:eastAsiaTheme="minorEastAsia" w:cstheme="minorBidi"/>
                <w:kern w:val="2"/>
                <w:sz w:val="21"/>
                <w:szCs w:val="24"/>
                <w:lang w:val="en-US" w:eastAsia="zh-CN" w:bidi="ar-SA"/>
              </w:rPr>
            </w:pPr>
            <w:r>
              <w:rPr>
                <w:rFonts w:hint="eastAsia" w:ascii="宋体" w:hAnsi="宋体"/>
                <w:sz w:val="18"/>
                <w:szCs w:val="18"/>
                <w:highlight w:val="none"/>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4F129997">
            <w:pPr>
              <w:adjustRightInd w:val="0"/>
              <w:snapToGrid w:val="0"/>
              <w:spacing w:line="360" w:lineRule="auto"/>
              <w:jc w:val="center"/>
              <w:rPr>
                <w:rFonts w:ascii="宋体" w:hAnsi="宋体"/>
                <w:b/>
              </w:rPr>
            </w:pPr>
          </w:p>
        </w:tc>
      </w:tr>
      <w:tr w14:paraId="2572D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1392B4A5">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87ACAE7">
            <w:pPr>
              <w:widowControl/>
              <w:jc w:val="left"/>
              <w:rPr>
                <w:rFonts w:hint="eastAsia" w:ascii="宋体" w:hAnsi="宋体" w:eastAsiaTheme="minorEastAsia" w:cstheme="minorBidi"/>
                <w:kern w:val="2"/>
                <w:sz w:val="21"/>
                <w:szCs w:val="24"/>
                <w:lang w:val="en-US" w:eastAsia="zh-CN" w:bidi="ar-SA"/>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39148BE9">
            <w:pPr>
              <w:adjustRightInd w:val="0"/>
              <w:snapToGrid w:val="0"/>
              <w:spacing w:line="360" w:lineRule="auto"/>
              <w:jc w:val="center"/>
              <w:rPr>
                <w:rFonts w:ascii="宋体" w:hAnsi="宋体"/>
                <w:b/>
              </w:rPr>
            </w:pPr>
          </w:p>
        </w:tc>
      </w:tr>
      <w:tr w14:paraId="0615E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A0A5F4B">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38BD2F80">
            <w:pPr>
              <w:widowControl/>
              <w:jc w:val="left"/>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711F146">
            <w:pPr>
              <w:adjustRightInd w:val="0"/>
              <w:snapToGrid w:val="0"/>
              <w:spacing w:line="360" w:lineRule="auto"/>
              <w:jc w:val="center"/>
              <w:rPr>
                <w:rFonts w:ascii="宋体" w:hAnsi="宋体"/>
                <w:b/>
              </w:rPr>
            </w:pPr>
          </w:p>
        </w:tc>
      </w:tr>
      <w:tr w14:paraId="47470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5EC1E1B">
            <w:pPr>
              <w:widowControl/>
              <w:jc w:val="center"/>
              <w:rPr>
                <w:rFonts w:hint="eastAsia" w:ascii="宋体" w:hAnsi="宋体" w:eastAsiaTheme="minorEastAsia"/>
                <w:kern w:val="0"/>
                <w:lang w:val="en-US" w:eastAsia="zh-CN"/>
              </w:rPr>
            </w:pPr>
            <w:r>
              <w:rPr>
                <w:rFonts w:hint="eastAsia" w:ascii="宋体" w:hAnsi="宋体"/>
                <w:kern w:val="0"/>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468DC69">
            <w:pPr>
              <w:widowControl/>
              <w:jc w:val="left"/>
              <w:rPr>
                <w:rFonts w:hint="default" w:ascii="宋体" w:hAnsi="宋体" w:eastAsiaTheme="minorEastAsia"/>
                <w:kern w:val="0"/>
                <w:sz w:val="18"/>
                <w:szCs w:val="18"/>
                <w:highlight w:val="none"/>
                <w:lang w:val="en-US" w:eastAsia="zh-CN"/>
              </w:rPr>
            </w:pPr>
            <w:r>
              <w:rPr>
                <w:rFonts w:hint="eastAsia" w:ascii="宋体" w:hAnsi="宋体"/>
                <w:kern w:val="0"/>
                <w:sz w:val="18"/>
                <w:szCs w:val="18"/>
                <w:highlight w:val="none"/>
                <w:lang w:val="en-US" w:eastAsia="zh-CN"/>
              </w:rPr>
              <w:t>投标单位有提供投标样机</w:t>
            </w:r>
            <w:r>
              <w:rPr>
                <w:rFonts w:hint="eastAsia" w:ascii="宋体" w:hAnsi="宋体"/>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5EA8D1">
            <w:pPr>
              <w:adjustRightInd w:val="0"/>
              <w:snapToGrid w:val="0"/>
              <w:spacing w:line="360" w:lineRule="auto"/>
              <w:jc w:val="center"/>
              <w:rPr>
                <w:rFonts w:ascii="宋体" w:hAnsi="宋体"/>
                <w:b/>
              </w:rPr>
            </w:pPr>
          </w:p>
        </w:tc>
      </w:tr>
      <w:tr w14:paraId="60A87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8B24F2D">
            <w:pPr>
              <w:widowControl/>
              <w:jc w:val="center"/>
              <w:rPr>
                <w:rFonts w:hint="eastAsia" w:ascii="宋体" w:hAnsi="宋体" w:eastAsiaTheme="minorEastAsia"/>
                <w:kern w:val="0"/>
                <w:lang w:eastAsia="zh-CN"/>
              </w:rPr>
            </w:pPr>
            <w:r>
              <w:rPr>
                <w:rFonts w:hint="eastAsia" w:ascii="宋体" w:hAnsi="宋体"/>
                <w:kern w:val="0"/>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FC910AA">
            <w:pPr>
              <w:widowControl/>
              <w:jc w:val="left"/>
              <w:rPr>
                <w:rFonts w:ascii="宋体" w:hAnsi="宋体"/>
                <w:kern w:val="0"/>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没有采购</w:t>
            </w:r>
            <w:r>
              <w:rPr>
                <w:rFonts w:hint="eastAsia" w:ascii="宋体" w:hAnsi="宋体"/>
                <w:kern w:val="0"/>
                <w:sz w:val="18"/>
                <w:szCs w:val="18"/>
                <w:highlight w:val="none"/>
              </w:rPr>
              <w:t>人不能接受的条件；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91C5755">
            <w:pPr>
              <w:adjustRightInd w:val="0"/>
              <w:snapToGrid w:val="0"/>
              <w:spacing w:line="360" w:lineRule="auto"/>
              <w:jc w:val="center"/>
              <w:rPr>
                <w:rFonts w:ascii="宋体" w:hAnsi="宋体"/>
                <w:b/>
              </w:rPr>
            </w:pPr>
          </w:p>
        </w:tc>
      </w:tr>
      <w:tr w14:paraId="62553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E2131FE">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7343D85">
            <w:pPr>
              <w:widowControl/>
              <w:jc w:val="left"/>
              <w:rPr>
                <w:rFonts w:ascii="宋体" w:hAnsi="宋体"/>
                <w:kern w:val="0"/>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E075841">
            <w:pPr>
              <w:adjustRightInd w:val="0"/>
              <w:snapToGrid w:val="0"/>
              <w:spacing w:line="360" w:lineRule="auto"/>
              <w:jc w:val="center"/>
              <w:rPr>
                <w:rFonts w:ascii="宋体" w:hAnsi="宋体"/>
                <w:b/>
              </w:rPr>
            </w:pPr>
          </w:p>
        </w:tc>
      </w:tr>
      <w:tr w14:paraId="39F42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5A40939">
            <w:pPr>
              <w:widowControl/>
              <w:jc w:val="center"/>
              <w:rPr>
                <w:rFonts w:hint="default" w:ascii="宋体" w:hAnsi="宋体" w:eastAsiaTheme="minorEastAsia"/>
                <w:kern w:val="0"/>
                <w:lang w:val="en-US" w:eastAsia="zh-CN"/>
              </w:rPr>
            </w:pPr>
            <w:r>
              <w:rPr>
                <w:rFonts w:hint="eastAsia" w:ascii="宋体" w:hAnsi="宋体"/>
                <w:kern w:val="0"/>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B5EED9A">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5E5F6628">
            <w:pPr>
              <w:adjustRightInd w:val="0"/>
              <w:snapToGrid w:val="0"/>
              <w:spacing w:line="360" w:lineRule="auto"/>
              <w:jc w:val="center"/>
              <w:rPr>
                <w:rFonts w:ascii="宋体" w:hAnsi="宋体"/>
                <w:b/>
              </w:rPr>
            </w:pPr>
          </w:p>
        </w:tc>
      </w:tr>
      <w:tr w14:paraId="575FF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452B43C2">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76C4E2F">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6455B440">
            <w:pPr>
              <w:adjustRightInd w:val="0"/>
              <w:snapToGrid w:val="0"/>
              <w:spacing w:line="360" w:lineRule="auto"/>
              <w:jc w:val="center"/>
              <w:rPr>
                <w:rFonts w:ascii="宋体" w:hAnsi="宋体"/>
                <w:b/>
              </w:rPr>
            </w:pPr>
          </w:p>
        </w:tc>
      </w:tr>
    </w:tbl>
    <w:p w14:paraId="6ABDEF69">
      <w:pPr>
        <w:spacing w:line="400" w:lineRule="exact"/>
        <w:ind w:firstLine="440"/>
        <w:rPr>
          <w:rFonts w:ascii="宋体" w:hAnsi="宋体"/>
        </w:rPr>
      </w:pPr>
      <w:r>
        <w:rPr>
          <w:rFonts w:hint="eastAsia" w:ascii="宋体" w:hAnsi="宋体"/>
        </w:rPr>
        <w:t>注：</w:t>
      </w:r>
    </w:p>
    <w:p w14:paraId="3768B5F4">
      <w:pPr>
        <w:numPr>
          <w:ilvl w:val="0"/>
          <w:numId w:val="35"/>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86398DF">
      <w:pPr>
        <w:numPr>
          <w:ilvl w:val="0"/>
          <w:numId w:val="35"/>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14:paraId="7C6B04CA">
      <w:pPr>
        <w:numPr>
          <w:ilvl w:val="0"/>
          <w:numId w:val="35"/>
        </w:numPr>
        <w:adjustRightInd w:val="0"/>
        <w:snapToGrid w:val="0"/>
        <w:spacing w:line="400" w:lineRule="exact"/>
        <w:rPr>
          <w:rFonts w:ascii="宋体" w:hAnsi="宋体"/>
        </w:rPr>
      </w:pPr>
      <w:r>
        <w:rPr>
          <w:rFonts w:hint="eastAsia" w:ascii="宋体" w:hAnsi="宋体"/>
        </w:rPr>
        <w:t>表中全部条件满足为“通过”，同意进入下一阶段评审。</w:t>
      </w:r>
    </w:p>
    <w:p w14:paraId="69186BF0">
      <w:pPr>
        <w:numPr>
          <w:ilvl w:val="0"/>
          <w:numId w:val="35"/>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0907CD66">
      <w:pPr>
        <w:spacing w:before="93" w:beforeLines="30" w:line="400" w:lineRule="exact"/>
        <w:ind w:left="420" w:hanging="420" w:hangingChars="200"/>
        <w:rPr>
          <w:rFonts w:ascii="宋体" w:hAnsi="宋体"/>
        </w:rPr>
      </w:pPr>
      <w:r>
        <w:rPr>
          <w:rFonts w:hint="eastAsia" w:ascii="宋体" w:hAnsi="宋体"/>
        </w:rPr>
        <w:t xml:space="preserve">评委签名：                                                                                </w:t>
      </w:r>
    </w:p>
    <w:p w14:paraId="56C3FC2F">
      <w:pPr>
        <w:spacing w:line="360" w:lineRule="auto"/>
      </w:pPr>
      <w:r>
        <w:rPr>
          <w:rFonts w:hint="eastAsia" w:ascii="宋体" w:hAnsi="宋体"/>
        </w:rPr>
        <w:t>日 期：    年   月   日</w:t>
      </w:r>
    </w:p>
    <w:p w14:paraId="4FFC328B">
      <w:pPr>
        <w:widowControl/>
        <w:jc w:val="left"/>
        <w:rPr>
          <w:rFonts w:hint="default" w:ascii="宋体" w:hAnsi="宋体"/>
          <w:b/>
          <w:sz w:val="32"/>
          <w:lang w:val="en-US" w:eastAsia="zh-CN"/>
        </w:rPr>
      </w:pPr>
      <w:r>
        <w:rPr>
          <w:rFonts w:hint="eastAsia" w:ascii="宋体" w:hAnsi="宋体"/>
          <w:b/>
          <w:sz w:val="32"/>
          <w:lang w:val="en-US" w:eastAsia="zh-CN"/>
        </w:rPr>
        <w:t>附件10</w:t>
      </w:r>
      <w:bookmarkStart w:id="8" w:name="_GoBack"/>
      <w:bookmarkEnd w:id="8"/>
    </w:p>
    <w:p w14:paraId="0C55AC93">
      <w:pPr>
        <w:jc w:val="center"/>
        <w:rPr>
          <w:rFonts w:hint="eastAsia" w:ascii="宋体" w:hAnsi="宋体"/>
          <w:b/>
          <w:kern w:val="0"/>
          <w:sz w:val="36"/>
          <w:highlight w:val="none"/>
          <w:lang w:val="en-US" w:eastAsia="zh-CN"/>
        </w:rPr>
      </w:pPr>
      <w:r>
        <w:rPr>
          <w:rFonts w:hint="eastAsia" w:ascii="宋体" w:hAnsi="宋体"/>
          <w:b/>
          <w:kern w:val="0"/>
          <w:sz w:val="36"/>
          <w:highlight w:val="none"/>
          <w:lang w:val="en-US" w:eastAsia="zh-CN"/>
        </w:rPr>
        <w:t>包组一综合评分细则</w:t>
      </w:r>
    </w:p>
    <w:tbl>
      <w:tblPr>
        <w:tblStyle w:val="13"/>
        <w:tblW w:w="9356" w:type="dxa"/>
        <w:tblInd w:w="0" w:type="dxa"/>
        <w:tblLayout w:type="fixed"/>
        <w:tblCellMar>
          <w:top w:w="0" w:type="dxa"/>
          <w:left w:w="108" w:type="dxa"/>
          <w:bottom w:w="0" w:type="dxa"/>
          <w:right w:w="108" w:type="dxa"/>
        </w:tblCellMar>
      </w:tblPr>
      <w:tblGrid>
        <w:gridCol w:w="698"/>
        <w:gridCol w:w="3703"/>
        <w:gridCol w:w="1357"/>
        <w:gridCol w:w="3598"/>
      </w:tblGrid>
      <w:tr w14:paraId="0047C31E">
        <w:tblPrEx>
          <w:tblCellMar>
            <w:top w:w="0" w:type="dxa"/>
            <w:left w:w="108" w:type="dxa"/>
            <w:bottom w:w="0" w:type="dxa"/>
            <w:right w:w="108" w:type="dxa"/>
          </w:tblCellMar>
        </w:tblPrEx>
        <w:trPr>
          <w:trHeight w:val="225" w:hRule="atLeast"/>
        </w:trPr>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7E3688BA">
            <w:pPr>
              <w:widowControl/>
              <w:jc w:val="center"/>
              <w:rPr>
                <w:rFonts w:ascii="宋体" w:hAnsi="宋体" w:cs="宋体"/>
                <w:b/>
                <w:color w:val="000000"/>
                <w:kern w:val="0"/>
                <w:sz w:val="18"/>
                <w:szCs w:val="18"/>
              </w:rPr>
            </w:pPr>
            <w:bookmarkStart w:id="7" w:name="_Hlk4405241"/>
            <w:r>
              <w:rPr>
                <w:rFonts w:hint="eastAsia" w:ascii="宋体" w:hAnsi="宋体" w:cs="宋体"/>
                <w:b/>
                <w:color w:val="000000"/>
                <w:kern w:val="0"/>
                <w:sz w:val="18"/>
                <w:szCs w:val="18"/>
              </w:rPr>
              <w:t>评审大项</w:t>
            </w:r>
          </w:p>
        </w:tc>
        <w:tc>
          <w:tcPr>
            <w:tcW w:w="3703" w:type="dxa"/>
            <w:tcBorders>
              <w:top w:val="single" w:color="auto" w:sz="4" w:space="0"/>
              <w:left w:val="nil"/>
              <w:bottom w:val="single" w:color="auto" w:sz="4" w:space="0"/>
              <w:right w:val="single" w:color="auto" w:sz="4" w:space="0"/>
            </w:tcBorders>
            <w:shd w:val="clear" w:color="auto" w:fill="FFFFFF"/>
            <w:vAlign w:val="center"/>
          </w:tcPr>
          <w:p w14:paraId="01D8BA3F">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评审内容</w:t>
            </w:r>
          </w:p>
        </w:tc>
        <w:tc>
          <w:tcPr>
            <w:tcW w:w="1357" w:type="dxa"/>
            <w:tcBorders>
              <w:top w:val="single" w:color="auto" w:sz="4" w:space="0"/>
              <w:left w:val="nil"/>
              <w:bottom w:val="single" w:color="auto" w:sz="4" w:space="0"/>
              <w:right w:val="single" w:color="auto" w:sz="4" w:space="0"/>
            </w:tcBorders>
            <w:shd w:val="clear" w:color="auto" w:fill="FFFFFF"/>
            <w:vAlign w:val="center"/>
          </w:tcPr>
          <w:p w14:paraId="1298F19C">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分值</w:t>
            </w:r>
          </w:p>
        </w:tc>
        <w:tc>
          <w:tcPr>
            <w:tcW w:w="3598" w:type="dxa"/>
            <w:tcBorders>
              <w:top w:val="single" w:color="auto" w:sz="4" w:space="0"/>
              <w:left w:val="nil"/>
              <w:bottom w:val="single" w:color="auto" w:sz="4" w:space="0"/>
              <w:right w:val="single" w:color="auto" w:sz="4" w:space="0"/>
            </w:tcBorders>
            <w:shd w:val="clear" w:color="auto" w:fill="FFFFFF"/>
            <w:vAlign w:val="center"/>
          </w:tcPr>
          <w:p w14:paraId="11811849">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评分标准</w:t>
            </w:r>
          </w:p>
        </w:tc>
      </w:tr>
      <w:tr w14:paraId="6E101344">
        <w:tblPrEx>
          <w:tblCellMar>
            <w:top w:w="0" w:type="dxa"/>
            <w:left w:w="108" w:type="dxa"/>
            <w:bottom w:w="0" w:type="dxa"/>
            <w:right w:w="108" w:type="dxa"/>
          </w:tblCellMar>
        </w:tblPrEx>
        <w:trPr>
          <w:trHeight w:val="810" w:hRule="atLeast"/>
        </w:trPr>
        <w:tc>
          <w:tcPr>
            <w:tcW w:w="698" w:type="dxa"/>
            <w:vMerge w:val="restart"/>
            <w:tcBorders>
              <w:top w:val="single" w:color="auto" w:sz="4" w:space="0"/>
              <w:left w:val="single" w:color="auto" w:sz="4" w:space="0"/>
              <w:right w:val="single" w:color="auto" w:sz="4" w:space="0"/>
            </w:tcBorders>
            <w:vAlign w:val="center"/>
          </w:tcPr>
          <w:p w14:paraId="1148E7EB">
            <w:pPr>
              <w:widowControl/>
              <w:jc w:val="center"/>
              <w:rPr>
                <w:rFonts w:ascii="宋体" w:hAnsi="宋体" w:cs="宋体"/>
                <w:kern w:val="0"/>
                <w:sz w:val="21"/>
                <w:szCs w:val="21"/>
              </w:rPr>
            </w:pPr>
            <w:r>
              <w:rPr>
                <w:rFonts w:hint="eastAsia" w:ascii="宋体" w:hAnsi="宋体" w:cs="宋体"/>
                <w:b w:val="0"/>
                <w:kern w:val="0"/>
                <w:sz w:val="21"/>
                <w:szCs w:val="21"/>
              </w:rPr>
              <w:t>投标样机演示</w:t>
            </w:r>
            <w:r>
              <w:rPr>
                <w:rFonts w:hint="eastAsia" w:ascii="宋体" w:hAnsi="宋体" w:cs="宋体"/>
                <w:kern w:val="0"/>
                <w:sz w:val="21"/>
                <w:szCs w:val="21"/>
              </w:rPr>
              <w:t>部分</w:t>
            </w:r>
          </w:p>
          <w:p w14:paraId="1A59EA16">
            <w:pPr>
              <w:widowControl/>
              <w:jc w:val="center"/>
              <w:rPr>
                <w:rFonts w:ascii="宋体" w:hAnsi="宋体" w:cs="宋体"/>
                <w:kern w:val="0"/>
                <w:sz w:val="21"/>
                <w:szCs w:val="21"/>
              </w:rPr>
            </w:pPr>
            <w:r>
              <w:rPr>
                <w:rFonts w:hint="eastAsia" w:ascii="宋体" w:hAnsi="宋体" w:cs="宋体"/>
                <w:kern w:val="0"/>
                <w:sz w:val="21"/>
                <w:szCs w:val="21"/>
              </w:rPr>
              <w:t>（</w:t>
            </w:r>
            <w:r>
              <w:rPr>
                <w:rFonts w:hint="eastAsia" w:ascii="宋体" w:hAnsi="宋体" w:cs="宋体"/>
                <w:kern w:val="0"/>
                <w:sz w:val="21"/>
                <w:szCs w:val="21"/>
                <w:lang w:val="en-US" w:eastAsia="zh-CN"/>
              </w:rPr>
              <w:t>20</w:t>
            </w:r>
            <w:r>
              <w:rPr>
                <w:rFonts w:hint="eastAsia" w:ascii="宋体" w:hAnsi="宋体" w:cs="宋体"/>
                <w:kern w:val="0"/>
                <w:sz w:val="21"/>
                <w:szCs w:val="21"/>
              </w:rPr>
              <w:t>分）</w:t>
            </w:r>
          </w:p>
          <w:p w14:paraId="142BE0E0">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723B3B6C">
            <w:pPr>
              <w:jc w:val="center"/>
              <w:rPr>
                <w:rFonts w:ascii="宋体" w:hAnsi="宋体" w:cs="宋体"/>
                <w:kern w:val="0"/>
                <w:sz w:val="18"/>
                <w:szCs w:val="18"/>
              </w:rPr>
            </w:pPr>
            <w:r>
              <w:rPr>
                <w:rFonts w:hint="eastAsia" w:ascii="宋体" w:hAnsi="宋体"/>
              </w:rPr>
              <w:t>具有记忆功能，能设定在开机状态下断电重启后选择是关机状态还是开机状态；</w:t>
            </w:r>
          </w:p>
        </w:tc>
        <w:tc>
          <w:tcPr>
            <w:tcW w:w="1357" w:type="dxa"/>
            <w:tcBorders>
              <w:top w:val="nil"/>
              <w:left w:val="nil"/>
              <w:bottom w:val="single" w:color="auto" w:sz="4" w:space="0"/>
              <w:right w:val="single" w:color="auto" w:sz="4" w:space="0"/>
            </w:tcBorders>
            <w:vAlign w:val="center"/>
          </w:tcPr>
          <w:p w14:paraId="04E24DF4">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598" w:type="dxa"/>
            <w:tcBorders>
              <w:top w:val="nil"/>
              <w:left w:val="nil"/>
              <w:bottom w:val="single" w:color="auto" w:sz="4" w:space="0"/>
              <w:right w:val="single" w:color="auto" w:sz="4" w:space="0"/>
            </w:tcBorders>
            <w:vAlign w:val="center"/>
          </w:tcPr>
          <w:p w14:paraId="674B02A1">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其余不得分</w:t>
            </w:r>
          </w:p>
        </w:tc>
      </w:tr>
      <w:tr w14:paraId="78A3E4EC">
        <w:tblPrEx>
          <w:tblCellMar>
            <w:top w:w="0" w:type="dxa"/>
            <w:left w:w="108" w:type="dxa"/>
            <w:bottom w:w="0" w:type="dxa"/>
            <w:right w:w="108" w:type="dxa"/>
          </w:tblCellMar>
        </w:tblPrEx>
        <w:trPr>
          <w:trHeight w:val="1059" w:hRule="atLeast"/>
        </w:trPr>
        <w:tc>
          <w:tcPr>
            <w:tcW w:w="698" w:type="dxa"/>
            <w:vMerge w:val="continue"/>
            <w:tcBorders>
              <w:left w:val="single" w:color="auto" w:sz="4" w:space="0"/>
              <w:right w:val="single" w:color="auto" w:sz="4" w:space="0"/>
            </w:tcBorders>
            <w:vAlign w:val="center"/>
          </w:tcPr>
          <w:p w14:paraId="3D73DA42">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7569719D">
            <w:pPr>
              <w:jc w:val="center"/>
              <w:rPr>
                <w:rFonts w:ascii="宋体" w:hAnsi="宋体" w:cs="宋体"/>
                <w:kern w:val="0"/>
                <w:sz w:val="18"/>
                <w:szCs w:val="18"/>
              </w:rPr>
            </w:pPr>
            <w:r>
              <w:rPr>
                <w:rFonts w:hint="eastAsia" w:ascii="宋体" w:hAnsi="宋体" w:cs="宋体"/>
                <w:szCs w:val="21"/>
              </w:rPr>
              <w:t>具有远程调温功能和远程限温功能，系统下发可调温度区间命令后，则用户只能在温控器限定的温度区间进行调温，例如限定用户只能在22℃~28℃区间内调温，区间外的调温不能操作。</w:t>
            </w:r>
          </w:p>
        </w:tc>
        <w:tc>
          <w:tcPr>
            <w:tcW w:w="1357" w:type="dxa"/>
            <w:tcBorders>
              <w:top w:val="nil"/>
              <w:left w:val="nil"/>
              <w:bottom w:val="single" w:color="auto" w:sz="4" w:space="0"/>
              <w:right w:val="single" w:color="auto" w:sz="4" w:space="0"/>
            </w:tcBorders>
            <w:vAlign w:val="center"/>
          </w:tcPr>
          <w:p w14:paraId="50BE9BDA">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598" w:type="dxa"/>
            <w:tcBorders>
              <w:top w:val="nil"/>
              <w:left w:val="nil"/>
              <w:bottom w:val="single" w:color="auto" w:sz="4" w:space="0"/>
              <w:right w:val="single" w:color="auto" w:sz="4" w:space="0"/>
            </w:tcBorders>
            <w:shd w:val="clear" w:color="auto" w:fill="FFFFFF"/>
            <w:vAlign w:val="center"/>
          </w:tcPr>
          <w:p w14:paraId="66BD2E9F">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其余不得分</w:t>
            </w:r>
          </w:p>
        </w:tc>
      </w:tr>
      <w:tr w14:paraId="2E212FCA">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58395C56">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269F0A4D">
            <w:pPr>
              <w:jc w:val="center"/>
              <w:rPr>
                <w:rFonts w:ascii="宋体" w:hAnsi="宋体" w:cs="宋体"/>
                <w:kern w:val="0"/>
                <w:sz w:val="18"/>
                <w:szCs w:val="18"/>
              </w:rPr>
            </w:pPr>
            <w:r>
              <w:rPr>
                <w:rFonts w:hint="eastAsia" w:ascii="宋体" w:hAnsi="宋体" w:cs="宋体"/>
                <w:szCs w:val="21"/>
              </w:rPr>
              <w:t>具有远程调风速档功能和远程限风速档功能，例如系统下发限中档命令后，则用户不能操作其他档位，风速限定在中档；</w:t>
            </w:r>
          </w:p>
        </w:tc>
        <w:tc>
          <w:tcPr>
            <w:tcW w:w="1357" w:type="dxa"/>
            <w:tcBorders>
              <w:top w:val="nil"/>
              <w:left w:val="nil"/>
              <w:bottom w:val="single" w:color="auto" w:sz="4" w:space="0"/>
              <w:right w:val="single" w:color="auto" w:sz="4" w:space="0"/>
            </w:tcBorders>
            <w:vAlign w:val="center"/>
          </w:tcPr>
          <w:p w14:paraId="4E2CE8B5">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598" w:type="dxa"/>
            <w:tcBorders>
              <w:top w:val="nil"/>
              <w:left w:val="nil"/>
              <w:bottom w:val="single" w:color="auto" w:sz="4" w:space="0"/>
              <w:right w:val="single" w:color="auto" w:sz="4" w:space="0"/>
            </w:tcBorders>
            <w:shd w:val="clear" w:color="auto" w:fill="FFFFFF"/>
            <w:vAlign w:val="center"/>
          </w:tcPr>
          <w:p w14:paraId="22EDEB70">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其余不得分</w:t>
            </w:r>
          </w:p>
        </w:tc>
      </w:tr>
      <w:tr w14:paraId="6CD797C3">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5CB473DD">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3F7AA036">
            <w:pPr>
              <w:jc w:val="center"/>
              <w:rPr>
                <w:rFonts w:ascii="宋体" w:hAnsi="宋体" w:cs="宋体"/>
                <w:kern w:val="0"/>
                <w:sz w:val="18"/>
                <w:szCs w:val="18"/>
              </w:rPr>
            </w:pPr>
            <w:r>
              <w:rPr>
                <w:rFonts w:hint="eastAsia" w:ascii="宋体" w:hAnsi="宋体" w:cs="宋体"/>
                <w:szCs w:val="21"/>
              </w:rPr>
              <w:t>具有远程开关温控器功能；具有远程锁定功能，下发远程锁定命令后，除开关外其余功能全部锁定，例如禁止调温，禁止调档，用户只能开和关；</w:t>
            </w:r>
          </w:p>
        </w:tc>
        <w:tc>
          <w:tcPr>
            <w:tcW w:w="1357" w:type="dxa"/>
            <w:tcBorders>
              <w:top w:val="nil"/>
              <w:left w:val="nil"/>
              <w:bottom w:val="single" w:color="auto" w:sz="4" w:space="0"/>
              <w:right w:val="single" w:color="auto" w:sz="4" w:space="0"/>
            </w:tcBorders>
            <w:vAlign w:val="center"/>
          </w:tcPr>
          <w:p w14:paraId="517F0CB0">
            <w:pPr>
              <w:widowControl/>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598" w:type="dxa"/>
            <w:tcBorders>
              <w:top w:val="nil"/>
              <w:left w:val="nil"/>
              <w:bottom w:val="single" w:color="auto" w:sz="4" w:space="0"/>
              <w:right w:val="single" w:color="auto" w:sz="4" w:space="0"/>
            </w:tcBorders>
            <w:shd w:val="clear" w:color="auto" w:fill="FFFFFF"/>
            <w:vAlign w:val="center"/>
          </w:tcPr>
          <w:p w14:paraId="35110D50">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其余不得分</w:t>
            </w:r>
          </w:p>
        </w:tc>
      </w:tr>
      <w:tr w14:paraId="5A00EB85">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26D0692B">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77256BBC">
            <w:pPr>
              <w:jc w:val="center"/>
              <w:rPr>
                <w:rFonts w:ascii="宋体" w:hAnsi="宋体" w:cs="宋体"/>
                <w:kern w:val="0"/>
                <w:sz w:val="18"/>
                <w:szCs w:val="18"/>
              </w:rPr>
            </w:pPr>
            <w:r>
              <w:rPr>
                <w:rFonts w:hint="eastAsia" w:ascii="宋体" w:hAnsi="宋体" w:cs="宋体"/>
                <w:szCs w:val="21"/>
              </w:rPr>
              <w:t>具有远程禁用功能，下发远程禁用命令后，全部功能禁用，用户在温控器面板不能任何操作包括开关操作，取消禁用操作后温控器处于关机待机状态；</w:t>
            </w:r>
          </w:p>
        </w:tc>
        <w:tc>
          <w:tcPr>
            <w:tcW w:w="1357" w:type="dxa"/>
            <w:tcBorders>
              <w:top w:val="nil"/>
              <w:left w:val="nil"/>
              <w:bottom w:val="single" w:color="auto" w:sz="4" w:space="0"/>
              <w:right w:val="single" w:color="auto" w:sz="4" w:space="0"/>
            </w:tcBorders>
            <w:vAlign w:val="center"/>
          </w:tcPr>
          <w:p w14:paraId="73A8A3BC">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598" w:type="dxa"/>
            <w:tcBorders>
              <w:top w:val="nil"/>
              <w:left w:val="nil"/>
              <w:bottom w:val="single" w:color="auto" w:sz="4" w:space="0"/>
              <w:right w:val="single" w:color="auto" w:sz="4" w:space="0"/>
            </w:tcBorders>
            <w:shd w:val="clear" w:color="auto" w:fill="FFFFFF"/>
            <w:vAlign w:val="center"/>
          </w:tcPr>
          <w:p w14:paraId="6E27F1C1">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其余不得分</w:t>
            </w:r>
          </w:p>
        </w:tc>
      </w:tr>
      <w:tr w14:paraId="5097C55E">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3D7493E5">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56774349">
            <w:pPr>
              <w:jc w:val="center"/>
              <w:rPr>
                <w:rFonts w:ascii="宋体" w:hAnsi="宋体" w:cs="宋体"/>
                <w:kern w:val="0"/>
                <w:sz w:val="18"/>
                <w:szCs w:val="18"/>
              </w:rPr>
            </w:pPr>
            <w:r>
              <w:rPr>
                <w:rFonts w:hint="eastAsia" w:ascii="宋体" w:hAnsi="宋体" w:cs="宋体"/>
                <w:szCs w:val="21"/>
              </w:rPr>
              <w:t>温控器兼容两种计时方式，风机计时和二通阀当量时间计时，可通过本地按键操作切换计时方式。风机计时方式为开机即开风机进行计时，关机即关风机结束计时，二通阀当量时间计时方式为采集二通阀通断的累计时间；</w:t>
            </w:r>
          </w:p>
        </w:tc>
        <w:tc>
          <w:tcPr>
            <w:tcW w:w="1357" w:type="dxa"/>
            <w:tcBorders>
              <w:top w:val="nil"/>
              <w:left w:val="nil"/>
              <w:bottom w:val="single" w:color="auto" w:sz="4" w:space="0"/>
              <w:right w:val="single" w:color="auto" w:sz="4" w:space="0"/>
            </w:tcBorders>
            <w:vAlign w:val="center"/>
          </w:tcPr>
          <w:p w14:paraId="48810772">
            <w:pPr>
              <w:widowControl/>
              <w:jc w:val="center"/>
              <w:rPr>
                <w:rFonts w:hint="eastAsia" w:ascii="宋体" w:hAnsi="宋体" w:cs="宋体"/>
                <w:kern w:val="0"/>
                <w:sz w:val="18"/>
                <w:szCs w:val="18"/>
                <w:lang w:val="en-US" w:eastAsia="zh-CN"/>
              </w:rPr>
            </w:pPr>
          </w:p>
          <w:p w14:paraId="136B0139">
            <w:pPr>
              <w:widowControl/>
              <w:jc w:val="center"/>
              <w:rPr>
                <w:rFonts w:hint="eastAsia" w:ascii="宋体" w:hAnsi="宋体" w:cs="宋体"/>
                <w:kern w:val="0"/>
                <w:sz w:val="18"/>
                <w:szCs w:val="18"/>
                <w:lang w:val="en-US" w:eastAsia="zh-CN"/>
              </w:rPr>
            </w:pPr>
          </w:p>
          <w:p w14:paraId="623A9553">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598" w:type="dxa"/>
            <w:tcBorders>
              <w:top w:val="nil"/>
              <w:left w:val="nil"/>
              <w:bottom w:val="single" w:color="auto" w:sz="4" w:space="0"/>
              <w:right w:val="single" w:color="auto" w:sz="4" w:space="0"/>
            </w:tcBorders>
            <w:shd w:val="clear" w:color="auto" w:fill="FFFFFF"/>
            <w:vAlign w:val="center"/>
          </w:tcPr>
          <w:p w14:paraId="4C9EAC78">
            <w:pPr>
              <w:widowControl/>
              <w:ind w:firstLine="420" w:firstLineChars="200"/>
              <w:jc w:val="center"/>
              <w:rPr>
                <w:rFonts w:hint="eastAsia" w:ascii="宋体" w:hAnsi="宋体" w:cs="宋体"/>
                <w:szCs w:val="21"/>
                <w:lang w:val="en-US" w:eastAsia="zh-CN"/>
              </w:rPr>
            </w:pPr>
          </w:p>
          <w:p w14:paraId="18A493D6">
            <w:pPr>
              <w:widowControl/>
              <w:ind w:firstLine="420" w:firstLineChars="200"/>
              <w:jc w:val="center"/>
              <w:rPr>
                <w:rFonts w:hint="eastAsia" w:ascii="宋体" w:hAnsi="宋体" w:cs="宋体"/>
                <w:szCs w:val="21"/>
                <w:lang w:val="en-US" w:eastAsia="zh-CN"/>
              </w:rPr>
            </w:pPr>
          </w:p>
          <w:p w14:paraId="46FB3874">
            <w:pPr>
              <w:widowControl/>
              <w:ind w:firstLine="420" w:firstLineChars="200"/>
              <w:jc w:val="center"/>
              <w:rPr>
                <w:rFonts w:hint="eastAsia" w:ascii="宋体" w:hAnsi="宋体" w:cs="宋体"/>
                <w:szCs w:val="21"/>
                <w:lang w:val="en-US" w:eastAsia="zh-CN"/>
              </w:rPr>
            </w:pPr>
          </w:p>
          <w:p w14:paraId="4F4CC424">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其余不得分</w:t>
            </w:r>
          </w:p>
        </w:tc>
      </w:tr>
      <w:tr w14:paraId="643B340F">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3DE463B1">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0228D485">
            <w:pPr>
              <w:jc w:val="center"/>
              <w:rPr>
                <w:rFonts w:ascii="宋体" w:hAnsi="宋体" w:cs="宋体"/>
                <w:kern w:val="0"/>
                <w:sz w:val="18"/>
                <w:szCs w:val="18"/>
                <w:highlight w:val="none"/>
              </w:rPr>
            </w:pPr>
            <w:r>
              <w:rPr>
                <w:rFonts w:hint="eastAsia" w:ascii="宋体" w:hAnsi="宋体" w:cs="宋体"/>
                <w:szCs w:val="21"/>
                <w:highlight w:val="none"/>
              </w:rPr>
              <w:t>加密芯片功能：电源部分无法通过简单电平信号控制，需要面板进行加密数据通信，才可正常进行风机和阀门控制。</w:t>
            </w:r>
          </w:p>
        </w:tc>
        <w:tc>
          <w:tcPr>
            <w:tcW w:w="1357" w:type="dxa"/>
            <w:tcBorders>
              <w:top w:val="nil"/>
              <w:left w:val="nil"/>
              <w:bottom w:val="single" w:color="auto" w:sz="4" w:space="0"/>
              <w:right w:val="single" w:color="auto" w:sz="4" w:space="0"/>
            </w:tcBorders>
            <w:vAlign w:val="center"/>
          </w:tcPr>
          <w:p w14:paraId="1A6106AC">
            <w:pPr>
              <w:widowControl/>
              <w:jc w:val="center"/>
              <w:rPr>
                <w:rFonts w:hint="eastAsia" w:ascii="宋体" w:hAnsi="宋体" w:cs="宋体" w:eastAsiaTheme="minorEastAsia"/>
                <w:kern w:val="0"/>
                <w:sz w:val="18"/>
                <w:szCs w:val="18"/>
                <w:highlight w:val="none"/>
                <w:lang w:val="en-US" w:eastAsia="zh-CN"/>
              </w:rPr>
            </w:pPr>
            <w:r>
              <w:rPr>
                <w:rFonts w:hint="eastAsia" w:ascii="宋体" w:hAnsi="宋体" w:cs="宋体"/>
                <w:kern w:val="0"/>
                <w:sz w:val="18"/>
                <w:szCs w:val="18"/>
                <w:highlight w:val="none"/>
                <w:lang w:val="en-US" w:eastAsia="zh-CN"/>
              </w:rPr>
              <w:t>2</w:t>
            </w:r>
          </w:p>
        </w:tc>
        <w:tc>
          <w:tcPr>
            <w:tcW w:w="3598" w:type="dxa"/>
            <w:tcBorders>
              <w:top w:val="nil"/>
              <w:left w:val="nil"/>
              <w:bottom w:val="single" w:color="auto" w:sz="4" w:space="0"/>
              <w:right w:val="single" w:color="auto" w:sz="4" w:space="0"/>
            </w:tcBorders>
            <w:shd w:val="clear" w:color="auto" w:fill="FFFFFF"/>
            <w:vAlign w:val="center"/>
          </w:tcPr>
          <w:p w14:paraId="2A59B995">
            <w:pPr>
              <w:widowControl/>
              <w:ind w:firstLine="420" w:firstLineChars="200"/>
              <w:jc w:val="center"/>
              <w:rPr>
                <w:rFonts w:ascii="宋体" w:hAnsi="宋体" w:cs="宋体"/>
                <w:kern w:val="0"/>
                <w:sz w:val="18"/>
                <w:szCs w:val="18"/>
                <w:highlight w:val="none"/>
              </w:rPr>
            </w:pPr>
            <w:r>
              <w:rPr>
                <w:rFonts w:hint="eastAsia" w:ascii="宋体" w:hAnsi="宋体" w:cs="宋体"/>
                <w:szCs w:val="21"/>
                <w:highlight w:val="none"/>
                <w:lang w:val="en-US" w:eastAsia="zh-CN"/>
              </w:rPr>
              <w:t>完全满足</w:t>
            </w:r>
            <w:r>
              <w:rPr>
                <w:rFonts w:hint="eastAsia" w:ascii="宋体" w:hAnsi="宋体" w:cs="宋体"/>
                <w:szCs w:val="21"/>
                <w:highlight w:val="none"/>
              </w:rPr>
              <w:t>要求得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val="en-US" w:eastAsia="zh-CN"/>
              </w:rPr>
              <w:t>其余不得分</w:t>
            </w:r>
          </w:p>
        </w:tc>
      </w:tr>
      <w:tr w14:paraId="1848B09B">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7C8F0A8F">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1B856179">
            <w:pPr>
              <w:jc w:val="center"/>
              <w:rPr>
                <w:rFonts w:ascii="宋体" w:hAnsi="宋体" w:cs="宋体"/>
                <w:kern w:val="0"/>
                <w:sz w:val="18"/>
                <w:szCs w:val="18"/>
                <w:highlight w:val="yellow"/>
              </w:rPr>
            </w:pPr>
            <w:r>
              <w:rPr>
                <w:rFonts w:hint="eastAsia" w:ascii="宋体" w:hAnsi="宋体" w:cs="宋体"/>
                <w:szCs w:val="21"/>
                <w:highlight w:val="none"/>
              </w:rPr>
              <w:t>高中低风速三挡应具有自复位的过电流短路保护装置。</w:t>
            </w:r>
          </w:p>
        </w:tc>
        <w:tc>
          <w:tcPr>
            <w:tcW w:w="1357" w:type="dxa"/>
            <w:tcBorders>
              <w:top w:val="nil"/>
              <w:left w:val="nil"/>
              <w:bottom w:val="single" w:color="auto" w:sz="4" w:space="0"/>
              <w:right w:val="single" w:color="auto" w:sz="4" w:space="0"/>
            </w:tcBorders>
            <w:vAlign w:val="center"/>
          </w:tcPr>
          <w:p w14:paraId="3BE13A5C">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p>
        </w:tc>
        <w:tc>
          <w:tcPr>
            <w:tcW w:w="3598" w:type="dxa"/>
            <w:tcBorders>
              <w:top w:val="nil"/>
              <w:left w:val="nil"/>
              <w:bottom w:val="single" w:color="auto" w:sz="4" w:space="0"/>
              <w:right w:val="single" w:color="auto" w:sz="4" w:space="0"/>
            </w:tcBorders>
            <w:shd w:val="clear" w:color="auto" w:fill="FFFFFF"/>
            <w:vAlign w:val="center"/>
          </w:tcPr>
          <w:p w14:paraId="6FFB5A34">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其余不得分</w:t>
            </w:r>
          </w:p>
        </w:tc>
      </w:tr>
      <w:tr w14:paraId="1B24982B">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686C0156">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083899AB">
            <w:pPr>
              <w:jc w:val="center"/>
              <w:rPr>
                <w:rFonts w:hint="eastAsia" w:ascii="宋体" w:hAnsi="宋体" w:cs="宋体"/>
                <w:szCs w:val="21"/>
              </w:rPr>
            </w:pPr>
            <w:r>
              <w:rPr>
                <w:rFonts w:hint="eastAsia" w:ascii="宋体" w:hAnsi="宋体" w:cs="宋体"/>
                <w:szCs w:val="21"/>
              </w:rPr>
              <w:t>液晶面板能切换显示六位数累计时间和六位数剩余时间，显示单位是小时，远程读取的单位精确到分钟；</w:t>
            </w:r>
          </w:p>
        </w:tc>
        <w:tc>
          <w:tcPr>
            <w:tcW w:w="1357" w:type="dxa"/>
            <w:tcBorders>
              <w:top w:val="nil"/>
              <w:left w:val="nil"/>
              <w:bottom w:val="single" w:color="auto" w:sz="4" w:space="0"/>
              <w:right w:val="single" w:color="auto" w:sz="4" w:space="0"/>
            </w:tcBorders>
            <w:vAlign w:val="center"/>
          </w:tcPr>
          <w:p w14:paraId="1EC46C77">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3598" w:type="dxa"/>
            <w:tcBorders>
              <w:top w:val="nil"/>
              <w:left w:val="nil"/>
              <w:bottom w:val="single" w:color="auto" w:sz="4" w:space="0"/>
              <w:right w:val="single" w:color="auto" w:sz="4" w:space="0"/>
            </w:tcBorders>
            <w:shd w:val="clear" w:color="auto" w:fill="FFFFFF"/>
            <w:vAlign w:val="center"/>
          </w:tcPr>
          <w:p w14:paraId="44845088">
            <w:pPr>
              <w:widowControl/>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其余不得分</w:t>
            </w:r>
          </w:p>
        </w:tc>
      </w:tr>
      <w:tr w14:paraId="623AFE57">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6B8FAAEA">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630B3490">
            <w:pPr>
              <w:jc w:val="center"/>
              <w:rPr>
                <w:rFonts w:hint="eastAsia" w:ascii="宋体" w:hAnsi="宋体" w:cs="宋体"/>
                <w:szCs w:val="21"/>
              </w:rPr>
            </w:pPr>
            <w:r>
              <w:rPr>
                <w:rFonts w:hint="eastAsia" w:ascii="宋体" w:hAnsi="宋体" w:cs="宋体"/>
                <w:szCs w:val="21"/>
              </w:rPr>
              <w:t>累计时间和剩余时间都具有储存和远程读写功能，即使网络断线也不影响就地使用，累计时间为递增，剩余时间为递减，当递减为0时能自动关闭并禁用温控器；</w:t>
            </w:r>
          </w:p>
        </w:tc>
        <w:tc>
          <w:tcPr>
            <w:tcW w:w="1357" w:type="dxa"/>
            <w:tcBorders>
              <w:top w:val="nil"/>
              <w:left w:val="nil"/>
              <w:bottom w:val="single" w:color="auto" w:sz="4" w:space="0"/>
              <w:right w:val="single" w:color="auto" w:sz="4" w:space="0"/>
            </w:tcBorders>
            <w:vAlign w:val="center"/>
          </w:tcPr>
          <w:p w14:paraId="3A8B6989">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3598" w:type="dxa"/>
            <w:tcBorders>
              <w:top w:val="nil"/>
              <w:left w:val="nil"/>
              <w:bottom w:val="single" w:color="auto" w:sz="4" w:space="0"/>
              <w:right w:val="single" w:color="auto" w:sz="4" w:space="0"/>
            </w:tcBorders>
            <w:shd w:val="clear" w:color="auto" w:fill="FFFFFF"/>
            <w:vAlign w:val="center"/>
          </w:tcPr>
          <w:p w14:paraId="67A98185">
            <w:pPr>
              <w:widowControl/>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其余不得分</w:t>
            </w:r>
          </w:p>
        </w:tc>
      </w:tr>
      <w:tr w14:paraId="377063CC">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543183D5">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6E5D07B1">
            <w:pPr>
              <w:jc w:val="center"/>
              <w:rPr>
                <w:rFonts w:ascii="宋体" w:hAnsi="宋体" w:cs="宋体"/>
                <w:kern w:val="0"/>
                <w:sz w:val="18"/>
                <w:szCs w:val="18"/>
              </w:rPr>
            </w:pPr>
            <w:r>
              <w:rPr>
                <w:rFonts w:hint="eastAsia" w:ascii="宋体" w:hAnsi="宋体" w:cs="宋体"/>
                <w:szCs w:val="21"/>
              </w:rPr>
              <w:t>温控器本地能储存三挡风速系数和22℃~28℃的温度系数，能远程读写。风机计时方式的累计时间和剩余时间由高中低三挡风机运行采集时间乘以温度系数和风速系数得出，二通阀当量时间计时方式的累计时间和剩余时间由高中低三挡二通阀运行采集时间乘以风速系数得出，即得出的累计时间和剩余时间是折算成26℃低档标准节能工况下的时间；</w:t>
            </w:r>
          </w:p>
        </w:tc>
        <w:tc>
          <w:tcPr>
            <w:tcW w:w="1357" w:type="dxa"/>
            <w:tcBorders>
              <w:top w:val="nil"/>
              <w:left w:val="nil"/>
              <w:bottom w:val="single" w:color="auto" w:sz="4" w:space="0"/>
              <w:right w:val="single" w:color="auto" w:sz="4" w:space="0"/>
            </w:tcBorders>
            <w:vAlign w:val="center"/>
          </w:tcPr>
          <w:p w14:paraId="3C66ED33">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1</w:t>
            </w:r>
          </w:p>
        </w:tc>
        <w:tc>
          <w:tcPr>
            <w:tcW w:w="3598" w:type="dxa"/>
            <w:tcBorders>
              <w:top w:val="nil"/>
              <w:left w:val="nil"/>
              <w:bottom w:val="single" w:color="auto" w:sz="4" w:space="0"/>
              <w:right w:val="single" w:color="auto" w:sz="4" w:space="0"/>
            </w:tcBorders>
            <w:shd w:val="clear" w:color="auto" w:fill="FFFFFF"/>
            <w:vAlign w:val="center"/>
          </w:tcPr>
          <w:p w14:paraId="46C0AB2E">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其余不得分</w:t>
            </w:r>
          </w:p>
        </w:tc>
      </w:tr>
      <w:tr w14:paraId="638407C8">
        <w:tblPrEx>
          <w:tblCellMar>
            <w:top w:w="0" w:type="dxa"/>
            <w:left w:w="108" w:type="dxa"/>
            <w:bottom w:w="0" w:type="dxa"/>
            <w:right w:w="108" w:type="dxa"/>
          </w:tblCellMar>
        </w:tblPrEx>
        <w:trPr>
          <w:trHeight w:val="416" w:hRule="atLeast"/>
        </w:trPr>
        <w:tc>
          <w:tcPr>
            <w:tcW w:w="698" w:type="dxa"/>
            <w:vMerge w:val="continue"/>
            <w:tcBorders>
              <w:left w:val="single" w:color="auto" w:sz="4" w:space="0"/>
              <w:right w:val="single" w:color="auto" w:sz="4" w:space="0"/>
            </w:tcBorders>
            <w:vAlign w:val="center"/>
          </w:tcPr>
          <w:p w14:paraId="24625EE3">
            <w:pPr>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25E828B0">
            <w:pPr>
              <w:jc w:val="center"/>
              <w:rPr>
                <w:rFonts w:ascii="宋体" w:hAnsi="宋体" w:cs="宋体"/>
                <w:kern w:val="0"/>
                <w:sz w:val="18"/>
                <w:szCs w:val="18"/>
              </w:rPr>
            </w:pPr>
            <w:r>
              <w:rPr>
                <w:rFonts w:hint="eastAsia" w:ascii="宋体" w:hAnsi="宋体" w:cs="宋体"/>
                <w:szCs w:val="21"/>
                <w:highlight w:val="none"/>
              </w:rPr>
              <w:t>通讯方式：温控器内置4G无线通信模块；</w:t>
            </w:r>
          </w:p>
        </w:tc>
        <w:tc>
          <w:tcPr>
            <w:tcW w:w="1357" w:type="dxa"/>
            <w:tcBorders>
              <w:top w:val="nil"/>
              <w:left w:val="nil"/>
              <w:bottom w:val="single" w:color="auto" w:sz="4" w:space="0"/>
              <w:right w:val="single" w:color="auto" w:sz="4" w:space="0"/>
            </w:tcBorders>
            <w:vAlign w:val="center"/>
          </w:tcPr>
          <w:p w14:paraId="3119FFDB">
            <w:pPr>
              <w:widowControl/>
              <w:jc w:val="center"/>
              <w:rPr>
                <w:rFonts w:hint="eastAsia" w:ascii="宋体" w:hAnsi="宋体" w:cs="宋体" w:eastAsiaTheme="minorEastAsia"/>
                <w:kern w:val="0"/>
                <w:sz w:val="18"/>
                <w:szCs w:val="18"/>
                <w:lang w:val="en-US" w:eastAsia="zh-CN"/>
              </w:rPr>
            </w:pPr>
            <w:r>
              <w:rPr>
                <w:rFonts w:hint="eastAsia" w:ascii="宋体" w:hAnsi="宋体" w:cs="宋体"/>
                <w:kern w:val="0"/>
                <w:sz w:val="18"/>
                <w:szCs w:val="18"/>
                <w:lang w:val="en-US" w:eastAsia="zh-CN"/>
              </w:rPr>
              <w:t>1</w:t>
            </w:r>
          </w:p>
        </w:tc>
        <w:tc>
          <w:tcPr>
            <w:tcW w:w="3598" w:type="dxa"/>
            <w:tcBorders>
              <w:top w:val="nil"/>
              <w:left w:val="nil"/>
              <w:bottom w:val="single" w:color="auto" w:sz="4" w:space="0"/>
              <w:right w:val="single" w:color="auto" w:sz="4" w:space="0"/>
            </w:tcBorders>
            <w:shd w:val="clear" w:color="auto" w:fill="FFFFFF"/>
            <w:vAlign w:val="center"/>
          </w:tcPr>
          <w:p w14:paraId="30C4390B">
            <w:pPr>
              <w:widowControl/>
              <w:ind w:firstLine="420" w:firstLineChars="200"/>
              <w:jc w:val="center"/>
              <w:rPr>
                <w:rFonts w:ascii="宋体" w:hAnsi="宋体" w:cs="宋体"/>
                <w:kern w:val="0"/>
                <w:sz w:val="18"/>
                <w:szCs w:val="18"/>
              </w:rPr>
            </w:pPr>
            <w:r>
              <w:rPr>
                <w:rFonts w:hint="eastAsia" w:ascii="宋体" w:hAnsi="宋体" w:cs="宋体"/>
                <w:szCs w:val="21"/>
                <w:lang w:val="en-US" w:eastAsia="zh-CN"/>
              </w:rPr>
              <w:t>完全满足</w:t>
            </w:r>
            <w:r>
              <w:rPr>
                <w:rFonts w:hint="eastAsia" w:ascii="宋体" w:hAnsi="宋体" w:cs="宋体"/>
                <w:szCs w:val="21"/>
              </w:rPr>
              <w:t>要求得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val="en-US" w:eastAsia="zh-CN"/>
              </w:rPr>
              <w:t>其余不得分</w:t>
            </w:r>
          </w:p>
        </w:tc>
      </w:tr>
      <w:tr w14:paraId="197FC4B4">
        <w:tblPrEx>
          <w:tblCellMar>
            <w:top w:w="0" w:type="dxa"/>
            <w:left w:w="108" w:type="dxa"/>
            <w:bottom w:w="0" w:type="dxa"/>
            <w:right w:w="108" w:type="dxa"/>
          </w:tblCellMar>
        </w:tblPrEx>
        <w:trPr>
          <w:trHeight w:val="1083" w:hRule="atLeast"/>
        </w:trPr>
        <w:tc>
          <w:tcPr>
            <w:tcW w:w="698" w:type="dxa"/>
            <w:tcBorders>
              <w:top w:val="single" w:color="auto" w:sz="4" w:space="0"/>
              <w:left w:val="single" w:color="auto" w:sz="4" w:space="0"/>
              <w:bottom w:val="single" w:color="auto" w:sz="4" w:space="0"/>
              <w:right w:val="single" w:color="auto" w:sz="4" w:space="0"/>
            </w:tcBorders>
            <w:vAlign w:val="center"/>
          </w:tcPr>
          <w:p w14:paraId="774C16FE">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商务部分（10分）</w:t>
            </w:r>
          </w:p>
        </w:tc>
        <w:tc>
          <w:tcPr>
            <w:tcW w:w="3703" w:type="dxa"/>
            <w:tcBorders>
              <w:top w:val="single" w:color="auto" w:sz="4" w:space="0"/>
              <w:left w:val="nil"/>
              <w:bottom w:val="single" w:color="auto" w:sz="4" w:space="0"/>
              <w:right w:val="single" w:color="auto" w:sz="4" w:space="0"/>
            </w:tcBorders>
            <w:vAlign w:val="center"/>
          </w:tcPr>
          <w:p w14:paraId="780BCEA4">
            <w:pPr>
              <w:numPr>
                <w:ilvl w:val="-1"/>
                <w:numId w:val="0"/>
              </w:numPr>
              <w:adjustRightInd w:val="0"/>
              <w:snapToGrid w:val="0"/>
              <w:jc w:val="center"/>
              <w:rPr>
                <w:rFonts w:hint="default"/>
                <w:lang w:val="en-US" w:eastAsia="zh-CN"/>
              </w:rPr>
            </w:pPr>
            <w:r>
              <w:rPr>
                <w:rFonts w:hint="eastAsia"/>
                <w:lang w:val="en-US" w:eastAsia="zh-CN"/>
              </w:rPr>
              <w:t>增值服务</w:t>
            </w:r>
          </w:p>
        </w:tc>
        <w:tc>
          <w:tcPr>
            <w:tcW w:w="1357" w:type="dxa"/>
            <w:tcBorders>
              <w:top w:val="single" w:color="auto" w:sz="4" w:space="0"/>
              <w:left w:val="nil"/>
              <w:bottom w:val="single" w:color="auto" w:sz="4" w:space="0"/>
              <w:right w:val="single" w:color="auto" w:sz="4" w:space="0"/>
            </w:tcBorders>
            <w:vAlign w:val="center"/>
          </w:tcPr>
          <w:p w14:paraId="74872334">
            <w:pPr>
              <w:adjustRightInd w:val="0"/>
              <w:snapToGrid w:val="0"/>
              <w:ind w:firstLine="420" w:firstLineChars="200"/>
              <w:rPr>
                <w:rFonts w:hint="default" w:asciiTheme="minorEastAsia" w:hAnsi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10</w:t>
            </w:r>
          </w:p>
        </w:tc>
        <w:tc>
          <w:tcPr>
            <w:tcW w:w="3598" w:type="dxa"/>
            <w:tcBorders>
              <w:top w:val="single" w:color="auto" w:sz="4" w:space="0"/>
              <w:left w:val="single" w:color="auto" w:sz="4" w:space="0"/>
              <w:bottom w:val="single" w:color="auto" w:sz="4" w:space="0"/>
              <w:right w:val="single" w:color="auto" w:sz="4" w:space="0"/>
            </w:tcBorders>
            <w:vAlign w:val="center"/>
          </w:tcPr>
          <w:p w14:paraId="49AEBFB7">
            <w:pPr>
              <w:numPr>
                <w:ilvl w:val="0"/>
                <w:numId w:val="36"/>
              </w:numPr>
              <w:adjustRightInd w:val="0"/>
              <w:snapToGrid w:val="0"/>
              <w:jc w:val="left"/>
              <w:rPr>
                <w:rFonts w:hint="eastAsia"/>
                <w:lang w:val="en-US" w:eastAsia="zh-CN"/>
              </w:rPr>
            </w:pPr>
            <w:r>
              <w:rPr>
                <w:rFonts w:hint="eastAsia"/>
                <w:lang w:val="en-US" w:eastAsia="zh-CN"/>
              </w:rPr>
              <w:t>项目</w:t>
            </w:r>
            <w:r>
              <w:rPr>
                <w:rFonts w:hint="eastAsia"/>
              </w:rPr>
              <w:t>质保期</w:t>
            </w:r>
            <w:r>
              <w:rPr>
                <w:rFonts w:hint="eastAsia"/>
                <w:lang w:eastAsia="zh-CN"/>
              </w:rPr>
              <w:t>（</w:t>
            </w:r>
            <w:r>
              <w:rPr>
                <w:rFonts w:hint="eastAsia"/>
                <w:lang w:val="en-US" w:eastAsia="zh-CN"/>
              </w:rPr>
              <w:t>不少于5年），横向比较，质保期最长为第一名，得5分，第二名得3分，第三名得1分。</w:t>
            </w:r>
          </w:p>
          <w:p w14:paraId="4668A54C">
            <w:pPr>
              <w:adjustRightInd w:val="0"/>
              <w:snapToGrid w:val="0"/>
              <w:jc w:val="left"/>
              <w:rPr>
                <w:rFonts w:hint="eastAsia" w:asciiTheme="minorEastAsia" w:hAnsiTheme="minorEastAsia" w:cstheme="minorEastAsia"/>
                <w:color w:val="000000"/>
                <w:kern w:val="0"/>
                <w:sz w:val="21"/>
                <w:szCs w:val="21"/>
              </w:rPr>
            </w:pPr>
            <w:r>
              <w:rPr>
                <w:rFonts w:hint="eastAsia"/>
                <w:lang w:val="en-US" w:eastAsia="zh-CN"/>
              </w:rPr>
              <w:t>2、</w:t>
            </w:r>
            <w:r>
              <w:rPr>
                <w:rFonts w:hint="eastAsia"/>
              </w:rPr>
              <w:t>物联网温控器数据通信</w:t>
            </w:r>
            <w:r>
              <w:rPr>
                <w:rFonts w:hint="eastAsia"/>
                <w:lang w:val="en-US" w:eastAsia="zh-CN"/>
              </w:rPr>
              <w:t>免费</w:t>
            </w:r>
            <w:r>
              <w:rPr>
                <w:rFonts w:hint="eastAsia"/>
              </w:rPr>
              <w:t>服务期（不少于</w:t>
            </w:r>
            <w:r>
              <w:rPr>
                <w:rFonts w:hint="eastAsia"/>
                <w:lang w:val="en-US" w:eastAsia="zh-CN"/>
              </w:rPr>
              <w:t>5</w:t>
            </w:r>
            <w:r>
              <w:rPr>
                <w:rFonts w:hint="eastAsia"/>
              </w:rPr>
              <w:t>年）</w:t>
            </w:r>
            <w:r>
              <w:rPr>
                <w:rFonts w:hint="eastAsia"/>
                <w:lang w:eastAsia="zh-CN"/>
              </w:rPr>
              <w:t>，</w:t>
            </w:r>
            <w:r>
              <w:rPr>
                <w:rFonts w:hint="eastAsia"/>
                <w:lang w:val="en-US" w:eastAsia="zh-CN"/>
              </w:rPr>
              <w:t>横向比较，免费服务期最长为第一名，得5分，第二名得3分，第三名得1分。</w:t>
            </w:r>
          </w:p>
        </w:tc>
      </w:tr>
      <w:tr w14:paraId="6470170B">
        <w:tblPrEx>
          <w:tblCellMar>
            <w:top w:w="0" w:type="dxa"/>
            <w:left w:w="108" w:type="dxa"/>
            <w:bottom w:w="0" w:type="dxa"/>
            <w:right w:w="108" w:type="dxa"/>
          </w:tblCellMar>
        </w:tblPrEx>
        <w:trPr>
          <w:trHeight w:val="1083" w:hRule="atLeast"/>
        </w:trPr>
        <w:tc>
          <w:tcPr>
            <w:tcW w:w="698" w:type="dxa"/>
            <w:tcBorders>
              <w:top w:val="single" w:color="auto" w:sz="4" w:space="0"/>
              <w:left w:val="single" w:color="auto" w:sz="4" w:space="0"/>
              <w:bottom w:val="single" w:color="auto" w:sz="4" w:space="0"/>
              <w:right w:val="single" w:color="auto" w:sz="4" w:space="0"/>
            </w:tcBorders>
            <w:vAlign w:val="center"/>
          </w:tcPr>
          <w:p w14:paraId="056E3DDC">
            <w:pPr>
              <w:widowControl/>
              <w:jc w:val="center"/>
              <w:rPr>
                <w:rFonts w:ascii="宋体" w:hAnsi="宋体" w:cs="宋体"/>
                <w:color w:val="000000"/>
                <w:kern w:val="0"/>
                <w:sz w:val="18"/>
                <w:szCs w:val="18"/>
              </w:rPr>
            </w:pPr>
            <w:r>
              <w:rPr>
                <w:rFonts w:hint="eastAsia" w:ascii="宋体" w:hAnsi="宋体" w:cs="宋体"/>
                <w:color w:val="000000"/>
                <w:kern w:val="0"/>
                <w:sz w:val="18"/>
                <w:szCs w:val="18"/>
              </w:rPr>
              <w:t>价格部分</w:t>
            </w:r>
          </w:p>
          <w:p w14:paraId="229B1A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70</w:t>
            </w:r>
            <w:r>
              <w:rPr>
                <w:rFonts w:hint="eastAsia" w:ascii="宋体" w:hAnsi="宋体" w:cs="宋体"/>
                <w:color w:val="000000"/>
                <w:kern w:val="0"/>
                <w:sz w:val="18"/>
                <w:szCs w:val="18"/>
              </w:rPr>
              <w:t>分）</w:t>
            </w:r>
          </w:p>
        </w:tc>
        <w:tc>
          <w:tcPr>
            <w:tcW w:w="3703" w:type="dxa"/>
            <w:tcBorders>
              <w:top w:val="single" w:color="auto" w:sz="4" w:space="0"/>
              <w:left w:val="nil"/>
              <w:bottom w:val="single" w:color="auto" w:sz="4" w:space="0"/>
              <w:right w:val="single" w:color="auto" w:sz="4" w:space="0"/>
            </w:tcBorders>
            <w:vAlign w:val="center"/>
          </w:tcPr>
          <w:p w14:paraId="0428CBAD">
            <w:pPr>
              <w:adjustRightInd w:val="0"/>
              <w:snapToGrid w:val="0"/>
              <w:jc w:val="left"/>
              <w:rPr>
                <w:rFonts w:hint="eastAsia"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 xml:space="preserve">      </w:t>
            </w:r>
            <w:r>
              <w:rPr>
                <w:rFonts w:hint="eastAsia" w:asciiTheme="minorEastAsia" w:hAnsiTheme="minorEastAsia" w:cstheme="minorEastAsia"/>
                <w:color w:val="000000"/>
                <w:kern w:val="0"/>
                <w:sz w:val="21"/>
                <w:szCs w:val="21"/>
                <w:lang w:val="en-US" w:eastAsia="zh-CN"/>
              </w:rPr>
              <w:t xml:space="preserve">      </w:t>
            </w:r>
            <w:r>
              <w:rPr>
                <w:rFonts w:hint="eastAsia" w:asciiTheme="minorEastAsia" w:hAnsiTheme="minorEastAsia" w:cstheme="minorEastAsia"/>
                <w:color w:val="000000"/>
                <w:kern w:val="0"/>
                <w:sz w:val="21"/>
                <w:szCs w:val="21"/>
              </w:rPr>
              <w:t xml:space="preserve">  报价</w:t>
            </w:r>
          </w:p>
        </w:tc>
        <w:tc>
          <w:tcPr>
            <w:tcW w:w="1357" w:type="dxa"/>
            <w:tcBorders>
              <w:top w:val="single" w:color="auto" w:sz="4" w:space="0"/>
              <w:left w:val="nil"/>
              <w:bottom w:val="single" w:color="auto" w:sz="4" w:space="0"/>
              <w:right w:val="single" w:color="auto" w:sz="4" w:space="0"/>
            </w:tcBorders>
            <w:vAlign w:val="center"/>
          </w:tcPr>
          <w:p w14:paraId="418DF2A8">
            <w:pPr>
              <w:adjustRightInd w:val="0"/>
              <w:snapToGrid w:val="0"/>
              <w:ind w:firstLine="420" w:firstLineChars="200"/>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70</w:t>
            </w:r>
          </w:p>
        </w:tc>
        <w:tc>
          <w:tcPr>
            <w:tcW w:w="3598" w:type="dxa"/>
            <w:tcBorders>
              <w:top w:val="single" w:color="auto" w:sz="4" w:space="0"/>
              <w:left w:val="single" w:color="auto" w:sz="4" w:space="0"/>
              <w:bottom w:val="single" w:color="auto" w:sz="4" w:space="0"/>
              <w:right w:val="single" w:color="auto" w:sz="4" w:space="0"/>
            </w:tcBorders>
            <w:vAlign w:val="center"/>
          </w:tcPr>
          <w:p w14:paraId="6744D26C">
            <w:pPr>
              <w:adjustRightInd w:val="0"/>
              <w:snapToGrid w:val="0"/>
              <w:jc w:val="left"/>
              <w:rPr>
                <w:rFonts w:hint="eastAsia"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通过</w:t>
            </w:r>
            <w:r>
              <w:rPr>
                <w:rFonts w:hint="eastAsia" w:asciiTheme="minorEastAsia" w:hAnsiTheme="minorEastAsia" w:cstheme="minorEastAsia"/>
                <w:color w:val="000000"/>
                <w:kern w:val="0"/>
                <w:sz w:val="21"/>
                <w:szCs w:val="21"/>
                <w:lang w:val="en-US" w:eastAsia="zh-CN"/>
              </w:rPr>
              <w:t>资格性和</w:t>
            </w:r>
            <w:r>
              <w:rPr>
                <w:rFonts w:hint="eastAsia" w:asciiTheme="minorEastAsia" w:hAnsiTheme="minorEastAsia" w:cstheme="minorEastAsia"/>
                <w:color w:val="000000"/>
                <w:kern w:val="0"/>
                <w:sz w:val="21"/>
                <w:szCs w:val="21"/>
              </w:rPr>
              <w:t>有效性审查的投标人中，投标人报价的最低价为评标基准价，通过价格有效性审查的各投标人的价格评分统一按照下列公式计算：</w:t>
            </w:r>
          </w:p>
          <w:p w14:paraId="2C2B5A83">
            <w:pPr>
              <w:adjustRightInd w:val="0"/>
              <w:snapToGrid w:val="0"/>
              <w:jc w:val="left"/>
              <w:rPr>
                <w:rFonts w:hint="eastAsia"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价格评分＝评标基准价÷投标人评标报价×</w:t>
            </w:r>
            <w:r>
              <w:rPr>
                <w:rFonts w:hint="eastAsia" w:asciiTheme="minorEastAsia" w:hAnsiTheme="minorEastAsia" w:cstheme="minorEastAsia"/>
                <w:color w:val="000000"/>
                <w:kern w:val="0"/>
                <w:sz w:val="21"/>
                <w:szCs w:val="21"/>
                <w:lang w:val="en-US" w:eastAsia="zh-CN"/>
              </w:rPr>
              <w:t>70</w:t>
            </w:r>
            <w:r>
              <w:rPr>
                <w:rFonts w:hint="eastAsia" w:asciiTheme="minorEastAsia" w:hAnsiTheme="minorEastAsia" w:cstheme="minorEastAsia"/>
                <w:color w:val="000000"/>
                <w:kern w:val="0"/>
                <w:sz w:val="21"/>
                <w:szCs w:val="21"/>
              </w:rPr>
              <w:t>。</w:t>
            </w:r>
          </w:p>
        </w:tc>
      </w:tr>
      <w:bookmarkEnd w:id="7"/>
    </w:tbl>
    <w:p w14:paraId="266DFB4A">
      <w:pPr>
        <w:spacing w:line="360" w:lineRule="auto"/>
        <w:rPr>
          <w:rFonts w:hint="default" w:ascii="宋体" w:hAnsi="宋体" w:eastAsiaTheme="minorEastAsia"/>
          <w:lang w:val="en-US" w:eastAsia="zh-CN"/>
        </w:rPr>
      </w:pPr>
      <w:r>
        <w:rPr>
          <w:rFonts w:ascii="宋体" w:hAnsi="宋体"/>
          <w:szCs w:val="36"/>
        </w:rPr>
        <w:t>注</w:t>
      </w:r>
      <w:r>
        <w:rPr>
          <w:rFonts w:hint="eastAsia" w:ascii="宋体" w:hAnsi="宋体"/>
          <w:szCs w:val="36"/>
        </w:rPr>
        <w:t>：</w:t>
      </w:r>
      <w:r>
        <w:rPr>
          <w:rFonts w:ascii="宋体" w:hAnsi="宋体"/>
          <w:szCs w:val="36"/>
        </w:rPr>
        <w:t>1、</w:t>
      </w:r>
      <w:r>
        <w:rPr>
          <w:rFonts w:hint="eastAsia" w:ascii="宋体" w:hAnsi="宋体" w:cs="宋体"/>
          <w:szCs w:val="21"/>
        </w:rPr>
        <w:t>投标人</w:t>
      </w:r>
      <w:r>
        <w:rPr>
          <w:rFonts w:hint="eastAsia" w:ascii="宋体" w:hAnsi="宋体" w:cs="宋体"/>
          <w:szCs w:val="21"/>
          <w:lang w:val="en-US" w:eastAsia="zh-CN"/>
        </w:rPr>
        <w:t>提供</w:t>
      </w:r>
      <w:r>
        <w:rPr>
          <w:rFonts w:hint="eastAsia" w:ascii="宋体" w:hAnsi="宋体"/>
        </w:rPr>
        <w:t>供评标用的投标样机实物一台</w:t>
      </w:r>
      <w:r>
        <w:rPr>
          <w:rFonts w:hint="eastAsia" w:ascii="宋体" w:hAnsi="宋体"/>
          <w:lang w:val="en-US" w:eastAsia="zh-CN"/>
        </w:rPr>
        <w:t>和</w:t>
      </w:r>
      <w:r>
        <w:rPr>
          <w:rFonts w:hint="eastAsia" w:ascii="宋体" w:hAnsi="宋体"/>
        </w:rPr>
        <w:t>远传功能演示系统一套</w:t>
      </w:r>
      <w:r>
        <w:rPr>
          <w:rFonts w:hint="eastAsia" w:ascii="宋体" w:hAnsi="宋体"/>
          <w:lang w:eastAsia="zh-CN"/>
        </w:rPr>
        <w:t>。</w:t>
      </w:r>
    </w:p>
    <w:p w14:paraId="755DFBA4">
      <w:pPr>
        <w:spacing w:line="360" w:lineRule="auto"/>
        <w:ind w:firstLine="420" w:firstLineChars="200"/>
        <w:rPr>
          <w:rFonts w:ascii="宋体" w:hAnsi="宋体"/>
          <w:b/>
          <w:szCs w:val="36"/>
        </w:rPr>
      </w:pPr>
      <w:r>
        <w:rPr>
          <w:rFonts w:hint="eastAsia" w:ascii="宋体" w:hAnsi="宋体"/>
        </w:rPr>
        <w:t>2、投标人现场演示时须按上述表格的评审项目顺序依次进行演示。</w:t>
      </w:r>
    </w:p>
    <w:p w14:paraId="31031FBA">
      <w:pPr>
        <w:spacing w:line="360" w:lineRule="auto"/>
        <w:rPr>
          <w:rFonts w:hint="default" w:ascii="宋体" w:hAnsi="宋体" w:cs="宋体"/>
          <w:szCs w:val="21"/>
          <w:lang w:val="en-US" w:eastAsia="zh-CN"/>
        </w:rPr>
      </w:pPr>
      <w:r>
        <w:rPr>
          <w:rFonts w:hint="eastAsia" w:ascii="宋体" w:hAnsi="宋体" w:cs="宋体"/>
          <w:b w:val="0"/>
          <w:kern w:val="2"/>
          <w:sz w:val="21"/>
          <w:szCs w:val="21"/>
          <w:lang w:val="en-US" w:eastAsia="zh-CN"/>
        </w:rPr>
        <w:t xml:space="preserve">  3、本次投标样机仅作为投标评审依据，中标后中标单位所提供的温控器必须完全满足附近1.1采购需求书要求。</w:t>
      </w:r>
    </w:p>
    <w:p w14:paraId="5A4BA505"/>
    <w:p w14:paraId="2F06C0A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8DC6">
    <w:pPr>
      <w:pStyle w:val="10"/>
      <w:jc w:val="right"/>
    </w:pPr>
    <w:r>
      <w:fldChar w:fldCharType="begin"/>
    </w:r>
    <w:r>
      <w:instrText xml:space="preserve"> PAGE   \* MERGEFORMAT </w:instrText>
    </w:r>
    <w:r>
      <w:fldChar w:fldCharType="separate"/>
    </w:r>
    <w:r>
      <w:rPr>
        <w:lang w:val="zh-CN"/>
      </w:rPr>
      <w:t>2</w:t>
    </w:r>
    <w:r>
      <w:rPr>
        <w:lang w:val="zh-CN"/>
      </w:rPr>
      <w:fldChar w:fldCharType="end"/>
    </w:r>
  </w:p>
  <w:p w14:paraId="20FB930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6176C"/>
    <w:multiLevelType w:val="singleLevel"/>
    <w:tmpl w:val="9D06176C"/>
    <w:lvl w:ilvl="0" w:tentative="0">
      <w:start w:val="1"/>
      <w:numFmt w:val="decimal"/>
      <w:suff w:val="nothing"/>
      <w:lvlText w:val="%1．"/>
      <w:lvlJc w:val="left"/>
      <w:pPr>
        <w:ind w:left="0" w:firstLine="400"/>
      </w:pPr>
      <w:rPr>
        <w:rFonts w:hint="default"/>
        <w:sz w:val="22"/>
        <w:szCs w:val="22"/>
      </w:rPr>
    </w:lvl>
  </w:abstractNum>
  <w:abstractNum w:abstractNumId="1">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2">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3">
    <w:nsid w:val="DDDD3DD6"/>
    <w:multiLevelType w:val="multilevel"/>
    <w:tmpl w:val="DDDD3DD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5">
    <w:nsid w:val="07335016"/>
    <w:multiLevelType w:val="singleLevel"/>
    <w:tmpl w:val="07335016"/>
    <w:lvl w:ilvl="0" w:tentative="0">
      <w:start w:val="1"/>
      <w:numFmt w:val="chineseCounting"/>
      <w:suff w:val="nothing"/>
      <w:lvlText w:val="%1、"/>
      <w:lvlJc w:val="left"/>
      <w:pPr>
        <w:ind w:left="0" w:firstLine="420"/>
      </w:pPr>
      <w:rPr>
        <w:rFonts w:hint="eastAsia"/>
      </w:rPr>
    </w:lvl>
  </w:abstractNum>
  <w:abstractNum w:abstractNumId="6">
    <w:nsid w:val="07993A66"/>
    <w:multiLevelType w:val="singleLevel"/>
    <w:tmpl w:val="07993A66"/>
    <w:lvl w:ilvl="0" w:tentative="0">
      <w:start w:val="1"/>
      <w:numFmt w:val="chineseCounting"/>
      <w:suff w:val="nothing"/>
      <w:lvlText w:val="（%1）"/>
      <w:lvlJc w:val="left"/>
      <w:pPr>
        <w:ind w:left="-136" w:firstLine="420"/>
      </w:pPr>
      <w:rPr>
        <w:rFonts w:hint="eastAsia"/>
        <w:lang w:val="en-US"/>
      </w:rPr>
    </w:lvl>
  </w:abstractNum>
  <w:abstractNum w:abstractNumId="7">
    <w:nsid w:val="08956441"/>
    <w:multiLevelType w:val="singleLevel"/>
    <w:tmpl w:val="08956441"/>
    <w:lvl w:ilvl="0" w:tentative="0">
      <w:start w:val="1"/>
      <w:numFmt w:val="decimal"/>
      <w:suff w:val="nothing"/>
      <w:lvlText w:val="%1．"/>
      <w:lvlJc w:val="left"/>
      <w:pPr>
        <w:ind w:left="0" w:firstLine="400"/>
      </w:pPr>
      <w:rPr>
        <w:rFonts w:hint="default"/>
      </w:rPr>
    </w:lvl>
  </w:abstractNum>
  <w:abstractNum w:abstractNumId="8">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9">
    <w:nsid w:val="0B671896"/>
    <w:multiLevelType w:val="singleLevel"/>
    <w:tmpl w:val="0B671896"/>
    <w:lvl w:ilvl="0" w:tentative="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3">
    <w:nsid w:val="21E7458C"/>
    <w:multiLevelType w:val="multilevel"/>
    <w:tmpl w:val="21E745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8742218"/>
    <w:multiLevelType w:val="singleLevel"/>
    <w:tmpl w:val="28742218"/>
    <w:lvl w:ilvl="0" w:tentative="0">
      <w:start w:val="1"/>
      <w:numFmt w:val="decimal"/>
      <w:suff w:val="nothing"/>
      <w:lvlText w:val="%1．"/>
      <w:lvlJc w:val="left"/>
      <w:pPr>
        <w:ind w:left="26" w:firstLine="400"/>
      </w:pPr>
      <w:rPr>
        <w:rFonts w:hint="default"/>
      </w:rPr>
    </w:lvl>
  </w:abstractNum>
  <w:abstractNum w:abstractNumId="15">
    <w:nsid w:val="2D3239E1"/>
    <w:multiLevelType w:val="singleLevel"/>
    <w:tmpl w:val="2D3239E1"/>
    <w:lvl w:ilvl="0" w:tentative="0">
      <w:start w:val="1"/>
      <w:numFmt w:val="decimal"/>
      <w:suff w:val="nothing"/>
      <w:lvlText w:val="%1、"/>
      <w:lvlJc w:val="left"/>
    </w:lvl>
  </w:abstractNum>
  <w:abstractNum w:abstractNumId="1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18">
    <w:nsid w:val="371C35A0"/>
    <w:multiLevelType w:val="singleLevel"/>
    <w:tmpl w:val="371C35A0"/>
    <w:lvl w:ilvl="0" w:tentative="0">
      <w:start w:val="1"/>
      <w:numFmt w:val="decimal"/>
      <w:suff w:val="nothing"/>
      <w:lvlText w:val="%1、"/>
      <w:lvlJc w:val="left"/>
    </w:lvl>
  </w:abstractNum>
  <w:abstractNum w:abstractNumId="19">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20">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1">
    <w:nsid w:val="49197AFC"/>
    <w:multiLevelType w:val="multilevel"/>
    <w:tmpl w:val="49197AFC"/>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2">
    <w:nsid w:val="49674AAC"/>
    <w:multiLevelType w:val="multilevel"/>
    <w:tmpl w:val="49674AA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C5F0BA7"/>
    <w:multiLevelType w:val="singleLevel"/>
    <w:tmpl w:val="4C5F0BA7"/>
    <w:lvl w:ilvl="0" w:tentative="0">
      <w:start w:val="1"/>
      <w:numFmt w:val="decimal"/>
      <w:suff w:val="nothing"/>
      <w:lvlText w:val="%1、"/>
      <w:lvlJc w:val="left"/>
    </w:lvl>
  </w:abstractNum>
  <w:abstractNum w:abstractNumId="24">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5">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6">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7">
    <w:nsid w:val="5D901B77"/>
    <w:multiLevelType w:val="singleLevel"/>
    <w:tmpl w:val="5D901B77"/>
    <w:lvl w:ilvl="0" w:tentative="0">
      <w:start w:val="1"/>
      <w:numFmt w:val="chineseCounting"/>
      <w:suff w:val="nothing"/>
      <w:lvlText w:val="（%1）"/>
      <w:lvlJc w:val="left"/>
      <w:pPr>
        <w:ind w:left="0" w:firstLine="420"/>
      </w:pPr>
      <w:rPr>
        <w:rFonts w:hint="eastAsia"/>
      </w:rPr>
    </w:lvl>
  </w:abstractNum>
  <w:abstractNum w:abstractNumId="28">
    <w:nsid w:val="6823595B"/>
    <w:multiLevelType w:val="multilevel"/>
    <w:tmpl w:val="6823595B"/>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0">
    <w:nsid w:val="704302FC"/>
    <w:multiLevelType w:val="singleLevel"/>
    <w:tmpl w:val="704302FC"/>
    <w:lvl w:ilvl="0" w:tentative="0">
      <w:start w:val="1"/>
      <w:numFmt w:val="decimal"/>
      <w:suff w:val="nothing"/>
      <w:lvlText w:val="%1．"/>
      <w:lvlJc w:val="left"/>
      <w:pPr>
        <w:ind w:left="0" w:firstLine="400"/>
      </w:pPr>
      <w:rPr>
        <w:rFonts w:hint="default"/>
      </w:rPr>
    </w:lvl>
  </w:abstractNum>
  <w:abstractNum w:abstractNumId="31">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2">
    <w:nsid w:val="724D3838"/>
    <w:multiLevelType w:val="multilevel"/>
    <w:tmpl w:val="724D383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47C8C8F"/>
    <w:multiLevelType w:val="singleLevel"/>
    <w:tmpl w:val="747C8C8F"/>
    <w:lvl w:ilvl="0" w:tentative="0">
      <w:start w:val="1"/>
      <w:numFmt w:val="decimal"/>
      <w:suff w:val="nothing"/>
      <w:lvlText w:val="%1．"/>
      <w:lvlJc w:val="left"/>
      <w:pPr>
        <w:ind w:left="0" w:firstLine="400"/>
      </w:pPr>
      <w:rPr>
        <w:rFonts w:hint="default"/>
      </w:rPr>
    </w:lvl>
  </w:abstractNum>
  <w:abstractNum w:abstractNumId="34">
    <w:nsid w:val="781C1DDD"/>
    <w:multiLevelType w:val="singleLevel"/>
    <w:tmpl w:val="781C1DDD"/>
    <w:lvl w:ilvl="0" w:tentative="0">
      <w:start w:val="1"/>
      <w:numFmt w:val="decimal"/>
      <w:suff w:val="nothing"/>
      <w:lvlText w:val="%1．"/>
      <w:lvlJc w:val="left"/>
      <w:pPr>
        <w:ind w:left="0" w:firstLine="400"/>
      </w:pPr>
      <w:rPr>
        <w:rFonts w:hint="default"/>
      </w:rPr>
    </w:lvl>
  </w:abstractNum>
  <w:abstractNum w:abstractNumId="35">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29"/>
  </w:num>
  <w:num w:numId="2">
    <w:abstractNumId w:val="25"/>
  </w:num>
  <w:num w:numId="3">
    <w:abstractNumId w:val="11"/>
  </w:num>
  <w:num w:numId="4">
    <w:abstractNumId w:val="20"/>
  </w:num>
  <w:num w:numId="5">
    <w:abstractNumId w:val="23"/>
  </w:num>
  <w:num w:numId="6">
    <w:abstractNumId w:val="31"/>
  </w:num>
  <w:num w:numId="7">
    <w:abstractNumId w:val="16"/>
  </w:num>
  <w:num w:numId="8">
    <w:abstractNumId w:val="10"/>
  </w:num>
  <w:num w:numId="9">
    <w:abstractNumId w:val="12"/>
  </w:num>
  <w:num w:numId="10">
    <w:abstractNumId w:val="5"/>
  </w:num>
  <w:num w:numId="11">
    <w:abstractNumId w:val="6"/>
  </w:num>
  <w:num w:numId="12">
    <w:abstractNumId w:val="30"/>
  </w:num>
  <w:num w:numId="13">
    <w:abstractNumId w:val="14"/>
  </w:num>
  <w:num w:numId="14">
    <w:abstractNumId w:val="7"/>
  </w:num>
  <w:num w:numId="15">
    <w:abstractNumId w:val="9"/>
  </w:num>
  <w:num w:numId="16">
    <w:abstractNumId w:val="27"/>
  </w:num>
  <w:num w:numId="17">
    <w:abstractNumId w:val="34"/>
  </w:num>
  <w:num w:numId="18">
    <w:abstractNumId w:val="28"/>
  </w:num>
  <w:num w:numId="19">
    <w:abstractNumId w:val="18"/>
  </w:num>
  <w:num w:numId="20">
    <w:abstractNumId w:val="21"/>
  </w:num>
  <w:num w:numId="21">
    <w:abstractNumId w:val="22"/>
  </w:num>
  <w:num w:numId="22">
    <w:abstractNumId w:val="32"/>
  </w:num>
  <w:num w:numId="23">
    <w:abstractNumId w:val="13"/>
  </w:num>
  <w:num w:numId="24">
    <w:abstractNumId w:val="17"/>
  </w:num>
  <w:num w:numId="25">
    <w:abstractNumId w:val="8"/>
  </w:num>
  <w:num w:numId="26">
    <w:abstractNumId w:val="19"/>
  </w:num>
  <w:num w:numId="27">
    <w:abstractNumId w:val="4"/>
  </w:num>
  <w:num w:numId="28">
    <w:abstractNumId w:val="35"/>
  </w:num>
  <w:num w:numId="29">
    <w:abstractNumId w:val="0"/>
  </w:num>
  <w:num w:numId="30">
    <w:abstractNumId w:val="33"/>
  </w:num>
  <w:num w:numId="31">
    <w:abstractNumId w:val="2"/>
  </w:num>
  <w:num w:numId="32">
    <w:abstractNumId w:val="1"/>
  </w:num>
  <w:num w:numId="33">
    <w:abstractNumId w:val="26"/>
  </w:num>
  <w:num w:numId="34">
    <w:abstractNumId w:val="3"/>
  </w:num>
  <w:num w:numId="35">
    <w:abstractNumId w:val="2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55462"/>
    <w:rsid w:val="00066EB5"/>
    <w:rsid w:val="000704AC"/>
    <w:rsid w:val="000775B8"/>
    <w:rsid w:val="00077870"/>
    <w:rsid w:val="0008426A"/>
    <w:rsid w:val="00084FC8"/>
    <w:rsid w:val="00092026"/>
    <w:rsid w:val="000E1D77"/>
    <w:rsid w:val="00121884"/>
    <w:rsid w:val="001252F0"/>
    <w:rsid w:val="00131D18"/>
    <w:rsid w:val="001360AA"/>
    <w:rsid w:val="00151472"/>
    <w:rsid w:val="00155E93"/>
    <w:rsid w:val="00160670"/>
    <w:rsid w:val="0016226C"/>
    <w:rsid w:val="00167995"/>
    <w:rsid w:val="00172A27"/>
    <w:rsid w:val="00177DB2"/>
    <w:rsid w:val="00184B6A"/>
    <w:rsid w:val="0019317C"/>
    <w:rsid w:val="001D06F3"/>
    <w:rsid w:val="001F3443"/>
    <w:rsid w:val="001F3FA4"/>
    <w:rsid w:val="001F6730"/>
    <w:rsid w:val="00204CDD"/>
    <w:rsid w:val="00211957"/>
    <w:rsid w:val="00212346"/>
    <w:rsid w:val="00213918"/>
    <w:rsid w:val="002266D2"/>
    <w:rsid w:val="002560DB"/>
    <w:rsid w:val="00282C8D"/>
    <w:rsid w:val="00286B34"/>
    <w:rsid w:val="002A03FC"/>
    <w:rsid w:val="002B7918"/>
    <w:rsid w:val="002C14E6"/>
    <w:rsid w:val="002E6ABB"/>
    <w:rsid w:val="002F4FBD"/>
    <w:rsid w:val="002F518B"/>
    <w:rsid w:val="002F5659"/>
    <w:rsid w:val="00304259"/>
    <w:rsid w:val="00304742"/>
    <w:rsid w:val="0032748F"/>
    <w:rsid w:val="0032772B"/>
    <w:rsid w:val="00330308"/>
    <w:rsid w:val="00372405"/>
    <w:rsid w:val="003D691C"/>
    <w:rsid w:val="003E4F57"/>
    <w:rsid w:val="003E7E90"/>
    <w:rsid w:val="00402245"/>
    <w:rsid w:val="004048A2"/>
    <w:rsid w:val="00406C52"/>
    <w:rsid w:val="0041263D"/>
    <w:rsid w:val="004169BF"/>
    <w:rsid w:val="00443DDA"/>
    <w:rsid w:val="00466D47"/>
    <w:rsid w:val="00470BC1"/>
    <w:rsid w:val="00470DDE"/>
    <w:rsid w:val="0047190A"/>
    <w:rsid w:val="00474B2B"/>
    <w:rsid w:val="00475E8E"/>
    <w:rsid w:val="00476C0F"/>
    <w:rsid w:val="00484174"/>
    <w:rsid w:val="00493C7F"/>
    <w:rsid w:val="004A7756"/>
    <w:rsid w:val="004B11D7"/>
    <w:rsid w:val="004C14CD"/>
    <w:rsid w:val="004E5FDB"/>
    <w:rsid w:val="004F2909"/>
    <w:rsid w:val="004F36BB"/>
    <w:rsid w:val="004F45E1"/>
    <w:rsid w:val="00501A8A"/>
    <w:rsid w:val="005033BB"/>
    <w:rsid w:val="0052081A"/>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210A7"/>
    <w:rsid w:val="006326E3"/>
    <w:rsid w:val="00643C6C"/>
    <w:rsid w:val="00650D96"/>
    <w:rsid w:val="00671D4B"/>
    <w:rsid w:val="0068111A"/>
    <w:rsid w:val="006814C2"/>
    <w:rsid w:val="00682622"/>
    <w:rsid w:val="006A3BB3"/>
    <w:rsid w:val="006A4371"/>
    <w:rsid w:val="006A5CC4"/>
    <w:rsid w:val="006B71ED"/>
    <w:rsid w:val="006D6938"/>
    <w:rsid w:val="006D7FA1"/>
    <w:rsid w:val="006F4560"/>
    <w:rsid w:val="007029DA"/>
    <w:rsid w:val="00705503"/>
    <w:rsid w:val="00714007"/>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6ECE"/>
    <w:rsid w:val="007D2560"/>
    <w:rsid w:val="007E2195"/>
    <w:rsid w:val="007E3247"/>
    <w:rsid w:val="007F201B"/>
    <w:rsid w:val="00804AB7"/>
    <w:rsid w:val="00807B8B"/>
    <w:rsid w:val="008203A0"/>
    <w:rsid w:val="008233B6"/>
    <w:rsid w:val="008433A6"/>
    <w:rsid w:val="00856C32"/>
    <w:rsid w:val="00865633"/>
    <w:rsid w:val="00883690"/>
    <w:rsid w:val="008A600E"/>
    <w:rsid w:val="008D3C13"/>
    <w:rsid w:val="008D7E50"/>
    <w:rsid w:val="008E45E8"/>
    <w:rsid w:val="00910331"/>
    <w:rsid w:val="00920579"/>
    <w:rsid w:val="009325E3"/>
    <w:rsid w:val="00936314"/>
    <w:rsid w:val="0093768E"/>
    <w:rsid w:val="00947D4B"/>
    <w:rsid w:val="00950B98"/>
    <w:rsid w:val="00954F62"/>
    <w:rsid w:val="00961F75"/>
    <w:rsid w:val="00972CF1"/>
    <w:rsid w:val="009B252A"/>
    <w:rsid w:val="009B63A8"/>
    <w:rsid w:val="009D20F5"/>
    <w:rsid w:val="009D4CB5"/>
    <w:rsid w:val="009D62F1"/>
    <w:rsid w:val="009E0F9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6A1A"/>
    <w:rsid w:val="00B473E4"/>
    <w:rsid w:val="00B92D92"/>
    <w:rsid w:val="00BC18DB"/>
    <w:rsid w:val="00BC1D8F"/>
    <w:rsid w:val="00BC35D2"/>
    <w:rsid w:val="00BD137E"/>
    <w:rsid w:val="00BD6859"/>
    <w:rsid w:val="00C00FB8"/>
    <w:rsid w:val="00C02D4F"/>
    <w:rsid w:val="00C21B6F"/>
    <w:rsid w:val="00C24901"/>
    <w:rsid w:val="00C25A28"/>
    <w:rsid w:val="00C31D3F"/>
    <w:rsid w:val="00C34E86"/>
    <w:rsid w:val="00C35BE0"/>
    <w:rsid w:val="00CB3548"/>
    <w:rsid w:val="00CB6A7F"/>
    <w:rsid w:val="00CB6FFA"/>
    <w:rsid w:val="00CB7D96"/>
    <w:rsid w:val="00CD49B7"/>
    <w:rsid w:val="00CD5BBA"/>
    <w:rsid w:val="00CD6C03"/>
    <w:rsid w:val="00CE6AE9"/>
    <w:rsid w:val="00CF212B"/>
    <w:rsid w:val="00D05844"/>
    <w:rsid w:val="00D11328"/>
    <w:rsid w:val="00D21EBE"/>
    <w:rsid w:val="00D4050C"/>
    <w:rsid w:val="00D50238"/>
    <w:rsid w:val="00D56296"/>
    <w:rsid w:val="00D62037"/>
    <w:rsid w:val="00D64649"/>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4D1E"/>
    <w:rsid w:val="00EC4ED2"/>
    <w:rsid w:val="00EC63AD"/>
    <w:rsid w:val="00ED5BEE"/>
    <w:rsid w:val="00ED5E29"/>
    <w:rsid w:val="00EE01B2"/>
    <w:rsid w:val="00F1390E"/>
    <w:rsid w:val="00F16E25"/>
    <w:rsid w:val="00F36482"/>
    <w:rsid w:val="00F5422B"/>
    <w:rsid w:val="00F56CDD"/>
    <w:rsid w:val="00F67C31"/>
    <w:rsid w:val="00F96BC0"/>
    <w:rsid w:val="00FA1E8E"/>
    <w:rsid w:val="00FE22F7"/>
    <w:rsid w:val="00FF6134"/>
    <w:rsid w:val="0296642E"/>
    <w:rsid w:val="0B6143C8"/>
    <w:rsid w:val="11075A94"/>
    <w:rsid w:val="14C81627"/>
    <w:rsid w:val="187622AE"/>
    <w:rsid w:val="1C7561F6"/>
    <w:rsid w:val="1D486867"/>
    <w:rsid w:val="1EA0654E"/>
    <w:rsid w:val="218D2D34"/>
    <w:rsid w:val="237D7A54"/>
    <w:rsid w:val="24C37BD9"/>
    <w:rsid w:val="24E1746D"/>
    <w:rsid w:val="28E76FDC"/>
    <w:rsid w:val="28E84500"/>
    <w:rsid w:val="2B3A1378"/>
    <w:rsid w:val="30F62060"/>
    <w:rsid w:val="318105E6"/>
    <w:rsid w:val="31AA16AD"/>
    <w:rsid w:val="330B1B18"/>
    <w:rsid w:val="3B4320D1"/>
    <w:rsid w:val="3C862F44"/>
    <w:rsid w:val="3E126EF8"/>
    <w:rsid w:val="3F846E42"/>
    <w:rsid w:val="48AC1DB7"/>
    <w:rsid w:val="4BD60CD2"/>
    <w:rsid w:val="4C4D66DC"/>
    <w:rsid w:val="515D054B"/>
    <w:rsid w:val="538A488E"/>
    <w:rsid w:val="53C25510"/>
    <w:rsid w:val="53E02240"/>
    <w:rsid w:val="55BC644E"/>
    <w:rsid w:val="59A71CEC"/>
    <w:rsid w:val="5B5163B3"/>
    <w:rsid w:val="5C4C0928"/>
    <w:rsid w:val="608A6D09"/>
    <w:rsid w:val="63584245"/>
    <w:rsid w:val="64287193"/>
    <w:rsid w:val="664637B7"/>
    <w:rsid w:val="67B61456"/>
    <w:rsid w:val="6C9C1458"/>
    <w:rsid w:val="6D535020"/>
    <w:rsid w:val="6E1048B6"/>
    <w:rsid w:val="76414366"/>
    <w:rsid w:val="788E4090"/>
    <w:rsid w:val="78E45BDC"/>
    <w:rsid w:val="7B4C6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spacing w:before="25" w:after="25"/>
    </w:pPr>
    <w:rPr>
      <w:bCs/>
      <w:spacing w:val="10"/>
      <w:sz w:val="24"/>
    </w:rPr>
  </w:style>
  <w:style w:type="paragraph" w:styleId="6">
    <w:name w:val="Normal Indent"/>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Body Text"/>
    <w:basedOn w:val="1"/>
    <w:unhideWhenUsed/>
    <w:qFormat/>
    <w:uiPriority w:val="0"/>
    <w:rPr>
      <w:sz w:val="24"/>
    </w:rPr>
  </w:style>
  <w:style w:type="paragraph" w:styleId="8">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9">
    <w:name w:val="Balloon Text"/>
    <w:basedOn w:val="1"/>
    <w:link w:val="24"/>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basedOn w:val="15"/>
    <w:semiHidden/>
    <w:unhideWhenUsed/>
    <w:qFormat/>
    <w:uiPriority w:val="0"/>
    <w:rPr>
      <w:color w:val="2490F8"/>
      <w:u w:val="none"/>
    </w:rPr>
  </w:style>
  <w:style w:type="character" w:styleId="18">
    <w:name w:val="Emphasis"/>
    <w:basedOn w:val="15"/>
    <w:qFormat/>
    <w:uiPriority w:val="0"/>
  </w:style>
  <w:style w:type="character" w:styleId="19">
    <w:name w:val="Hyperlink"/>
    <w:basedOn w:val="15"/>
    <w:unhideWhenUsed/>
    <w:qFormat/>
    <w:uiPriority w:val="99"/>
    <w:rPr>
      <w:color w:val="2490F8"/>
      <w:u w:val="none"/>
    </w:rPr>
  </w:style>
  <w:style w:type="paragraph" w:customStyle="1" w:styleId="20">
    <w:name w:val="列出段落1"/>
    <w:basedOn w:val="1"/>
    <w:unhideWhenUsed/>
    <w:qFormat/>
    <w:uiPriority w:val="34"/>
    <w:pPr>
      <w:ind w:firstLine="420" w:firstLineChars="200"/>
    </w:pPr>
  </w:style>
  <w:style w:type="paragraph" w:customStyle="1" w:styleId="21">
    <w:name w:val="_Style 3"/>
    <w:basedOn w:val="1"/>
    <w:unhideWhenUsed/>
    <w:qFormat/>
    <w:uiPriority w:val="99"/>
    <w:pPr>
      <w:ind w:firstLine="420" w:firstLineChars="200"/>
    </w:pPr>
    <w:rPr>
      <w:rFonts w:ascii="Times New Roman" w:hAnsi="Times New Roman"/>
    </w:rPr>
  </w:style>
  <w:style w:type="paragraph" w:customStyle="1" w:styleId="22">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3">
    <w:name w:val="List Paragraph"/>
    <w:basedOn w:val="1"/>
    <w:unhideWhenUsed/>
    <w:qFormat/>
    <w:uiPriority w:val="34"/>
    <w:pPr>
      <w:ind w:firstLine="420" w:firstLineChars="200"/>
    </w:pPr>
  </w:style>
  <w:style w:type="character" w:customStyle="1" w:styleId="24">
    <w:name w:val="批注框文本 字符"/>
    <w:basedOn w:val="15"/>
    <w:link w:val="9"/>
    <w:qFormat/>
    <w:uiPriority w:val="0"/>
    <w:rPr>
      <w:rFonts w:asciiTheme="minorHAnsi" w:hAnsiTheme="minorHAnsi" w:eastAsiaTheme="minorEastAsia" w:cstheme="minorBidi"/>
      <w:kern w:val="2"/>
      <w:sz w:val="18"/>
      <w:szCs w:val="18"/>
    </w:rPr>
  </w:style>
  <w:style w:type="character" w:customStyle="1" w:styleId="25">
    <w:name w:val="页眉 字符"/>
    <w:basedOn w:val="15"/>
    <w:link w:val="11"/>
    <w:qFormat/>
    <w:uiPriority w:val="0"/>
    <w:rPr>
      <w:rFonts w:asciiTheme="minorHAnsi" w:hAnsiTheme="minorHAnsi" w:eastAsiaTheme="minorEastAsia" w:cstheme="minorBidi"/>
      <w:kern w:val="2"/>
      <w:sz w:val="18"/>
      <w:szCs w:val="18"/>
    </w:rPr>
  </w:style>
  <w:style w:type="character" w:customStyle="1" w:styleId="26">
    <w:name w:val="xdrichtextbox2"/>
    <w:basedOn w:val="15"/>
    <w:qFormat/>
    <w:uiPriority w:val="0"/>
    <w:rPr>
      <w:color w:val="0000FF"/>
      <w:sz w:val="18"/>
      <w:szCs w:val="18"/>
      <w:u w:val="none"/>
      <w:bdr w:val="single" w:color="DCDCDC" w:sz="8" w:space="0"/>
      <w:shd w:val="clear" w:color="auto" w:fill="FFFFFF"/>
    </w:rPr>
  </w:style>
  <w:style w:type="paragraph" w:customStyle="1" w:styleId="2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after"/>
    <w:basedOn w:val="15"/>
    <w:qFormat/>
    <w:uiPriority w:val="0"/>
    <w:rPr>
      <w:sz w:val="0"/>
      <w:szCs w:val="0"/>
    </w:rPr>
  </w:style>
  <w:style w:type="character" w:customStyle="1" w:styleId="29">
    <w:name w:val="hilite6"/>
    <w:basedOn w:val="15"/>
    <w:qFormat/>
    <w:uiPriority w:val="0"/>
    <w:rPr>
      <w:color w:val="FFFFFF"/>
      <w:shd w:val="clear" w:fill="666666"/>
    </w:rPr>
  </w:style>
  <w:style w:type="character" w:customStyle="1" w:styleId="30">
    <w:name w:val="button"/>
    <w:basedOn w:val="15"/>
    <w:qFormat/>
    <w:uiPriority w:val="0"/>
  </w:style>
  <w:style w:type="character" w:customStyle="1" w:styleId="31">
    <w:name w:val="icontext1"/>
    <w:basedOn w:val="15"/>
    <w:qFormat/>
    <w:uiPriority w:val="0"/>
  </w:style>
  <w:style w:type="character" w:customStyle="1" w:styleId="32">
    <w:name w:val="icontext11"/>
    <w:basedOn w:val="15"/>
    <w:qFormat/>
    <w:uiPriority w:val="0"/>
  </w:style>
  <w:style w:type="character" w:customStyle="1" w:styleId="33">
    <w:name w:val="icontext12"/>
    <w:basedOn w:val="15"/>
    <w:qFormat/>
    <w:uiPriority w:val="0"/>
  </w:style>
  <w:style w:type="character" w:customStyle="1" w:styleId="34">
    <w:name w:val="w32"/>
    <w:basedOn w:val="15"/>
    <w:qFormat/>
    <w:uiPriority w:val="0"/>
  </w:style>
  <w:style w:type="character" w:customStyle="1" w:styleId="35">
    <w:name w:val="cdropright"/>
    <w:basedOn w:val="15"/>
    <w:qFormat/>
    <w:uiPriority w:val="0"/>
  </w:style>
  <w:style w:type="character" w:customStyle="1" w:styleId="36">
    <w:name w:val="tmpztreemove_arrow"/>
    <w:basedOn w:val="15"/>
    <w:qFormat/>
    <w:uiPriority w:val="0"/>
  </w:style>
  <w:style w:type="character" w:customStyle="1" w:styleId="37">
    <w:name w:val="drapbtn"/>
    <w:basedOn w:val="15"/>
    <w:qFormat/>
    <w:uiPriority w:val="0"/>
  </w:style>
  <w:style w:type="character" w:customStyle="1" w:styleId="38">
    <w:name w:val="cdropleft"/>
    <w:basedOn w:val="15"/>
    <w:qFormat/>
    <w:uiPriority w:val="0"/>
  </w:style>
  <w:style w:type="character" w:customStyle="1" w:styleId="39">
    <w:name w:val="pagechatarealistclose_box"/>
    <w:basedOn w:val="15"/>
    <w:qFormat/>
    <w:uiPriority w:val="0"/>
  </w:style>
  <w:style w:type="character" w:customStyle="1" w:styleId="40">
    <w:name w:val="pagechatarealistclose_box1"/>
    <w:basedOn w:val="15"/>
    <w:qFormat/>
    <w:uiPriority w:val="0"/>
  </w:style>
  <w:style w:type="character" w:customStyle="1" w:styleId="41">
    <w:name w:val="icontext2"/>
    <w:basedOn w:val="15"/>
    <w:qFormat/>
    <w:uiPriority w:val="0"/>
  </w:style>
  <w:style w:type="character" w:customStyle="1" w:styleId="42">
    <w:name w:val="icontext3"/>
    <w:basedOn w:val="15"/>
    <w:qFormat/>
    <w:uiPriority w:val="0"/>
  </w:style>
  <w:style w:type="character" w:customStyle="1" w:styleId="43">
    <w:name w:val="iconline2"/>
    <w:basedOn w:val="15"/>
    <w:qFormat/>
    <w:uiPriority w:val="0"/>
  </w:style>
  <w:style w:type="character" w:customStyle="1" w:styleId="44">
    <w:name w:val="iconline21"/>
    <w:basedOn w:val="15"/>
    <w:qFormat/>
    <w:uiPriority w:val="0"/>
  </w:style>
  <w:style w:type="character" w:customStyle="1" w:styleId="45">
    <w:name w:val="ico1654"/>
    <w:basedOn w:val="15"/>
    <w:qFormat/>
    <w:uiPriority w:val="0"/>
  </w:style>
  <w:style w:type="character" w:customStyle="1" w:styleId="46">
    <w:name w:val="ico1655"/>
    <w:basedOn w:val="15"/>
    <w:qFormat/>
    <w:uiPriority w:val="0"/>
  </w:style>
  <w:style w:type="character" w:customStyle="1" w:styleId="47">
    <w:name w:val="associateddata"/>
    <w:basedOn w:val="15"/>
    <w:qFormat/>
    <w:uiPriority w:val="0"/>
    <w:rPr>
      <w:shd w:val="clear" w:fill="50A6F9"/>
    </w:rPr>
  </w:style>
  <w:style w:type="character" w:customStyle="1" w:styleId="48">
    <w:name w:val="cy"/>
    <w:basedOn w:val="15"/>
    <w:qFormat/>
    <w:uiPriority w:val="0"/>
  </w:style>
  <w:style w:type="character" w:customStyle="1" w:styleId="49">
    <w:name w:val="active8"/>
    <w:basedOn w:val="15"/>
    <w:qFormat/>
    <w:uiPriority w:val="0"/>
    <w:rPr>
      <w:color w:val="00FF00"/>
      <w:shd w:val="clear" w:fill="111111"/>
    </w:rPr>
  </w:style>
  <w:style w:type="character" w:customStyle="1" w:styleId="50">
    <w:name w:val="layui-layer-tabnow"/>
    <w:basedOn w:val="15"/>
    <w:qFormat/>
    <w:uiPriority w:val="0"/>
    <w:rPr>
      <w:bdr w:val="single" w:color="CCCCCC" w:sz="6" w:space="0"/>
      <w:shd w:val="clear" w:fill="FFFFFF"/>
    </w:rPr>
  </w:style>
  <w:style w:type="character" w:customStyle="1" w:styleId="51">
    <w:name w:val="first-child"/>
    <w:basedOn w:val="15"/>
    <w:qFormat/>
    <w:uiPriority w:val="0"/>
  </w:style>
  <w:style w:type="character" w:customStyle="1" w:styleId="52">
    <w:name w:val="choose-status"/>
    <w:basedOn w:val="15"/>
    <w:qFormat/>
    <w:uiPriority w:val="0"/>
    <w:rPr>
      <w:color w:val="1F85EC"/>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CC01-2EE9-4E76-AD22-630C697772D5}">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37</Pages>
  <Words>8343</Words>
  <Characters>8672</Characters>
  <Lines>52</Lines>
  <Paragraphs>14</Paragraphs>
  <TotalTime>17</TotalTime>
  <ScaleCrop>false</ScaleCrop>
  <LinksUpToDate>false</LinksUpToDate>
  <CharactersWithSpaces>8716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云上晴</cp:lastModifiedBy>
  <cp:lastPrinted>2025-07-25T01:51:07Z</cp:lastPrinted>
  <dcterms:modified xsi:type="dcterms:W3CDTF">2025-07-25T01:56:41Z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eyJoZGlkIjoiMDNmYmMyYjJlZTJiYmIyY2IxNmYxZmEzZTZkMjk3MTMiLCJ1c2VySWQiOiI1MDAwMzE1NzMifQ==</vt:lpwstr>
  </property>
  <property fmtid="{D5CDD505-2E9C-101B-9397-08002B2CF9AE}" pid="4" name="ICV">
    <vt:lpwstr>AF21C78F697542E68F9EF09B7900BEA3_13</vt:lpwstr>
  </property>
</Properties>
</file>