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28"/>
        </w:rPr>
      </w:pPr>
      <w:r>
        <w:rPr>
          <w:rFonts w:hint="eastAsia"/>
          <w:b/>
          <w:color w:val="auto"/>
          <w:sz w:val="28"/>
        </w:rPr>
        <w:t>广州城投综合能源投资经营管理有限公司</w:t>
      </w:r>
    </w:p>
    <w:p>
      <w:pPr>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智慧运维与节能降耗的冷站控制系统的数字化研究与开发项目</w:t>
      </w:r>
    </w:p>
    <w:p>
      <w:pPr>
        <w:jc w:val="center"/>
        <w:rPr>
          <w:b/>
          <w:color w:val="auto"/>
          <w:sz w:val="28"/>
        </w:rPr>
      </w:pPr>
      <w:r>
        <w:rPr>
          <w:rFonts w:hint="eastAsia"/>
          <w:b/>
          <w:color w:val="auto"/>
          <w:sz w:val="28"/>
        </w:rPr>
        <w:t>竞选文件</w:t>
      </w:r>
    </w:p>
    <w:p>
      <w:pPr>
        <w:pStyle w:val="18"/>
        <w:numPr>
          <w:ilvl w:val="0"/>
          <w:numId w:val="1"/>
        </w:numPr>
        <w:spacing w:line="360" w:lineRule="auto"/>
        <w:ind w:left="0" w:firstLine="482"/>
        <w:rPr>
          <w:rFonts w:ascii="宋体" w:hAnsi="宋体"/>
          <w:b/>
          <w:color w:val="auto"/>
          <w:sz w:val="24"/>
        </w:rPr>
      </w:pPr>
      <w:r>
        <w:rPr>
          <w:rFonts w:hint="eastAsia" w:ascii="宋体" w:hAnsi="宋体"/>
          <w:b/>
          <w:color w:val="auto"/>
          <w:sz w:val="24"/>
        </w:rPr>
        <w:t>项目名称和采购内容</w:t>
      </w:r>
    </w:p>
    <w:p>
      <w:pPr>
        <w:pStyle w:val="18"/>
        <w:numPr>
          <w:ilvl w:val="0"/>
          <w:numId w:val="2"/>
        </w:numPr>
        <w:tabs>
          <w:tab w:val="left" w:pos="420"/>
        </w:tabs>
        <w:spacing w:line="360" w:lineRule="auto"/>
        <w:ind w:left="0" w:firstLine="480" w:firstLineChars="0"/>
        <w:rPr>
          <w:rFonts w:ascii="宋体" w:hAnsi="宋体"/>
          <w:color w:val="auto"/>
          <w:sz w:val="24"/>
        </w:rPr>
      </w:pPr>
      <w:r>
        <w:rPr>
          <w:rFonts w:hint="eastAsia" w:ascii="宋体" w:hAnsi="宋体"/>
          <w:color w:val="auto"/>
          <w:sz w:val="24"/>
        </w:rPr>
        <w:t>项目名称：</w:t>
      </w:r>
      <w:r>
        <w:rPr>
          <w:rFonts w:hint="eastAsia" w:ascii="宋体" w:hAnsi="宋体" w:eastAsia="宋体" w:cs="宋体"/>
          <w:color w:val="auto"/>
          <w:sz w:val="24"/>
          <w:u w:val="single"/>
          <w:lang w:eastAsia="zh-CN"/>
        </w:rPr>
        <w:t>智慧运维与节能降耗的冷站控制系统的数字化研究与开发项目</w:t>
      </w:r>
    </w:p>
    <w:p>
      <w:pPr>
        <w:pStyle w:val="18"/>
        <w:numPr>
          <w:ilvl w:val="0"/>
          <w:numId w:val="2"/>
        </w:numPr>
        <w:tabs>
          <w:tab w:val="left" w:pos="420"/>
        </w:tabs>
        <w:spacing w:line="360" w:lineRule="auto"/>
        <w:ind w:left="0" w:firstLine="480" w:firstLineChars="0"/>
        <w:rPr>
          <w:rFonts w:ascii="宋体" w:hAnsi="宋体"/>
          <w:color w:val="auto"/>
          <w:sz w:val="24"/>
        </w:rPr>
      </w:pPr>
      <w:r>
        <w:rPr>
          <w:rFonts w:hint="eastAsia" w:ascii="宋体" w:hAnsi="宋体"/>
          <w:color w:val="auto"/>
          <w:sz w:val="24"/>
        </w:rPr>
        <w:t>采购限价：</w:t>
      </w:r>
      <w:r>
        <w:rPr>
          <w:rFonts w:hint="eastAsia" w:ascii="宋体" w:hAnsi="宋体"/>
          <w:color w:val="auto"/>
          <w:sz w:val="24"/>
          <w:lang w:val="en-US" w:eastAsia="zh-CN"/>
        </w:rPr>
        <w:t>21</w:t>
      </w:r>
      <w:r>
        <w:rPr>
          <w:rFonts w:hint="eastAsia" w:ascii="宋体" w:hAnsi="宋体"/>
          <w:color w:val="auto"/>
          <w:sz w:val="24"/>
        </w:rPr>
        <w:t>万元。（投标报价超过采购限价为无效投标）。</w:t>
      </w:r>
    </w:p>
    <w:p>
      <w:pPr>
        <w:pStyle w:val="18"/>
        <w:numPr>
          <w:ilvl w:val="0"/>
          <w:numId w:val="2"/>
        </w:numPr>
        <w:tabs>
          <w:tab w:val="left" w:pos="420"/>
        </w:tabs>
        <w:spacing w:line="360" w:lineRule="auto"/>
        <w:ind w:left="0" w:firstLine="480" w:firstLineChars="0"/>
        <w:rPr>
          <w:rFonts w:ascii="宋体" w:hAnsi="宋体"/>
          <w:color w:val="auto"/>
          <w:sz w:val="24"/>
        </w:rPr>
      </w:pPr>
      <w:r>
        <w:rPr>
          <w:rFonts w:hint="eastAsia" w:ascii="宋体" w:hAnsi="宋体"/>
          <w:color w:val="auto"/>
          <w:sz w:val="24"/>
        </w:rPr>
        <w:t>采购内容：完成</w:t>
      </w:r>
      <w:r>
        <w:rPr>
          <w:rFonts w:hint="eastAsia" w:ascii="宋体" w:hAnsi="宋体" w:eastAsia="宋体" w:cs="宋体"/>
          <w:color w:val="auto"/>
          <w:sz w:val="24"/>
          <w:u w:val="single"/>
          <w:lang w:eastAsia="zh-CN"/>
        </w:rPr>
        <w:t>智慧运维与节能降耗的冷站控制系统的数字化研究与开发项目</w:t>
      </w:r>
      <w:r>
        <w:rPr>
          <w:rFonts w:ascii="宋体" w:hAnsi="宋体"/>
          <w:color w:val="auto"/>
          <w:sz w:val="24"/>
          <w:highlight w:val="none"/>
        </w:rPr>
        <w:t>。</w:t>
      </w:r>
      <w:r>
        <w:rPr>
          <w:rFonts w:hint="eastAsia" w:ascii="宋体" w:hAnsi="宋体"/>
          <w:color w:val="auto"/>
          <w:sz w:val="24"/>
          <w:highlight w:val="none"/>
        </w:rPr>
        <w:t>具体详见附件1本项目“采购需求”。</w:t>
      </w:r>
    </w:p>
    <w:p>
      <w:pPr>
        <w:spacing w:line="360" w:lineRule="auto"/>
        <w:ind w:firstLine="482" w:firstLineChars="200"/>
        <w:rPr>
          <w:rFonts w:ascii="宋体" w:hAnsi="宋体"/>
          <w:b/>
          <w:color w:val="auto"/>
          <w:sz w:val="24"/>
        </w:rPr>
      </w:pPr>
      <w:r>
        <w:rPr>
          <w:rFonts w:hint="eastAsia" w:ascii="宋体" w:hAnsi="宋体"/>
          <w:b/>
          <w:color w:val="auto"/>
          <w:sz w:val="24"/>
        </w:rPr>
        <w:t>二、合格供应商资格要求</w:t>
      </w:r>
    </w:p>
    <w:p>
      <w:pPr>
        <w:pStyle w:val="21"/>
        <w:numPr>
          <w:ilvl w:val="0"/>
          <w:numId w:val="3"/>
        </w:numPr>
        <w:tabs>
          <w:tab w:val="left" w:pos="709"/>
          <w:tab w:val="left" w:pos="851"/>
        </w:tabs>
        <w:spacing w:line="360" w:lineRule="auto"/>
        <w:ind w:left="0" w:firstLine="560" w:firstLineChars="0"/>
        <w:rPr>
          <w:rFonts w:asciiTheme="minorEastAsia" w:hAnsiTheme="minorEastAsia"/>
          <w:color w:val="auto"/>
          <w:sz w:val="24"/>
          <w:szCs w:val="24"/>
        </w:rPr>
      </w:pP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或其他组织，提供营业执照或法人证书或民办非企业单位登记证书的盖章扫描件证明。</w:t>
      </w:r>
      <w:r>
        <w:rPr>
          <w:rFonts w:asciiTheme="minorEastAsia" w:hAnsiTheme="minorEastAsia"/>
          <w:color w:val="auto"/>
          <w:sz w:val="24"/>
          <w:szCs w:val="24"/>
        </w:rPr>
        <w:t xml:space="preserve"> </w:t>
      </w:r>
    </w:p>
    <w:p>
      <w:pPr>
        <w:pStyle w:val="21"/>
        <w:numPr>
          <w:ilvl w:val="0"/>
          <w:numId w:val="3"/>
        </w:numPr>
        <w:tabs>
          <w:tab w:val="left" w:pos="709"/>
          <w:tab w:val="left" w:pos="851"/>
        </w:tabs>
        <w:spacing w:line="360" w:lineRule="auto"/>
        <w:ind w:left="0" w:firstLine="560" w:firstLineChars="0"/>
        <w:rPr>
          <w:rFonts w:cs="Arial" w:asciiTheme="minorEastAsia" w:hAnsiTheme="minorEastAsia"/>
          <w:color w:val="auto"/>
          <w:sz w:val="24"/>
          <w:szCs w:val="24"/>
        </w:rPr>
      </w:pPr>
      <w:r>
        <w:rPr>
          <w:rFonts w:hint="eastAsia" w:cs="Arial" w:asciiTheme="minorEastAsia" w:hAnsiTheme="minorEastAsia"/>
          <w:color w:val="auto"/>
          <w:sz w:val="24"/>
        </w:rPr>
        <w:t>投标人未被列入“信用中国”网站(www.creditchina.gov.cn)记录失信被执行人名单,须提供“信用中国”网站(www.creditchina.gov.cn)的信用记录查询结果截图或信用信息报告并打印页面加盖公章</w:t>
      </w:r>
      <w:r>
        <w:rPr>
          <w:rFonts w:cs="Arial" w:asciiTheme="minorEastAsia" w:hAnsiTheme="minorEastAsia"/>
          <w:color w:val="auto"/>
          <w:sz w:val="24"/>
          <w:szCs w:val="24"/>
        </w:rPr>
        <w:t>。</w:t>
      </w:r>
    </w:p>
    <w:p>
      <w:pPr>
        <w:pStyle w:val="21"/>
        <w:numPr>
          <w:ilvl w:val="0"/>
          <w:numId w:val="3"/>
        </w:numPr>
        <w:tabs>
          <w:tab w:val="left" w:pos="709"/>
          <w:tab w:val="left" w:pos="851"/>
        </w:tabs>
        <w:spacing w:line="360" w:lineRule="auto"/>
        <w:ind w:left="0" w:firstLine="560" w:firstLineChars="0"/>
        <w:rPr>
          <w:rFonts w:cs="Arial" w:asciiTheme="minorEastAsia" w:hAnsiTheme="minorEastAsia"/>
          <w:color w:val="auto"/>
          <w:sz w:val="24"/>
          <w:szCs w:val="24"/>
        </w:rPr>
      </w:pPr>
      <w:r>
        <w:rPr>
          <w:rFonts w:hint="eastAsia" w:cs="Arial" w:asciiTheme="minorEastAsia" w:hAnsiTheme="minorEastAsia"/>
          <w:color w:val="auto"/>
          <w:sz w:val="24"/>
          <w:szCs w:val="24"/>
        </w:rPr>
        <w:t>投标人没有处于被责令停业或破产状态，且资产未被重组、接管和冻结，声明在投标活动中</w:t>
      </w:r>
      <w:r>
        <w:rPr>
          <w:rFonts w:cs="Arial" w:asciiTheme="minorEastAsia" w:hAnsiTheme="minorEastAsia"/>
          <w:color w:val="auto"/>
          <w:sz w:val="24"/>
          <w:szCs w:val="24"/>
        </w:rPr>
        <w:t>3年内没有重大违法活动和涉嫌违规行为。（</w:t>
      </w:r>
      <w:r>
        <w:rPr>
          <w:rFonts w:hint="eastAsia" w:cs="Arial" w:asciiTheme="minorEastAsia" w:hAnsiTheme="minorEastAsia"/>
          <w:color w:val="auto"/>
          <w:sz w:val="24"/>
          <w:szCs w:val="24"/>
          <w:lang w:val="en-US" w:eastAsia="zh-CN"/>
        </w:rPr>
        <w:t>附投标声明函</w:t>
      </w:r>
      <w:r>
        <w:rPr>
          <w:rFonts w:cs="Arial" w:asciiTheme="minorEastAsia" w:hAnsiTheme="minorEastAsia"/>
          <w:color w:val="auto"/>
          <w:sz w:val="24"/>
          <w:szCs w:val="24"/>
        </w:rPr>
        <w:t>）</w:t>
      </w:r>
    </w:p>
    <w:p>
      <w:pPr>
        <w:pStyle w:val="21"/>
        <w:numPr>
          <w:ilvl w:val="0"/>
          <w:numId w:val="3"/>
        </w:numPr>
        <w:spacing w:line="360" w:lineRule="auto"/>
        <w:ind w:left="0" w:firstLine="560" w:firstLineChars="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投标人具有有效期内电子与智能化工程专业承包贰级或以上资质。</w:t>
      </w:r>
    </w:p>
    <w:p>
      <w:pPr>
        <w:pStyle w:val="21"/>
        <w:numPr>
          <w:ilvl w:val="0"/>
          <w:numId w:val="3"/>
        </w:numPr>
        <w:spacing w:line="360" w:lineRule="auto"/>
        <w:ind w:left="0" w:firstLine="560" w:firstLineChars="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投标人具有完成</w:t>
      </w:r>
      <w:r>
        <w:rPr>
          <w:rFonts w:hint="eastAsia" w:asciiTheme="minorEastAsia" w:hAnsiTheme="minorEastAsia"/>
          <w:color w:val="auto"/>
          <w:sz w:val="24"/>
          <w:szCs w:val="24"/>
          <w:highlight w:val="none"/>
          <w:lang w:val="en-US" w:eastAsia="zh-CN"/>
        </w:rPr>
        <w:t>过</w:t>
      </w:r>
      <w:r>
        <w:rPr>
          <w:rFonts w:hint="eastAsia" w:asciiTheme="minorEastAsia" w:hAnsiTheme="minorEastAsia"/>
          <w:color w:val="auto"/>
          <w:sz w:val="24"/>
          <w:szCs w:val="24"/>
          <w:highlight w:val="none"/>
        </w:rPr>
        <w:t>区域供冷</w:t>
      </w:r>
      <w:r>
        <w:rPr>
          <w:rFonts w:hint="eastAsia" w:asciiTheme="minorEastAsia" w:hAnsiTheme="minorEastAsia"/>
          <w:color w:val="auto"/>
          <w:sz w:val="24"/>
          <w:szCs w:val="24"/>
          <w:highlight w:val="none"/>
          <w:lang w:val="en-US" w:eastAsia="zh-CN"/>
        </w:rPr>
        <w:t>或集中供冷或蓄冷</w:t>
      </w:r>
      <w:r>
        <w:rPr>
          <w:rFonts w:hint="eastAsia" w:asciiTheme="minorEastAsia" w:hAnsiTheme="minorEastAsia"/>
          <w:color w:val="auto"/>
          <w:sz w:val="24"/>
          <w:szCs w:val="24"/>
          <w:highlight w:val="none"/>
        </w:rPr>
        <w:t>项目</w:t>
      </w:r>
      <w:r>
        <w:rPr>
          <w:rFonts w:hint="eastAsia" w:asciiTheme="minorEastAsia" w:hAnsiTheme="minorEastAsia"/>
          <w:color w:val="auto"/>
          <w:sz w:val="24"/>
          <w:szCs w:val="24"/>
          <w:highlight w:val="none"/>
          <w:lang w:val="en-US" w:eastAsia="zh-CN"/>
        </w:rPr>
        <w:t>中央空调自控工程项目业绩</w:t>
      </w:r>
      <w:r>
        <w:rPr>
          <w:rFonts w:hint="eastAsia" w:asciiTheme="minorEastAsia" w:hAnsiTheme="minorEastAsia"/>
          <w:color w:val="auto"/>
          <w:sz w:val="24"/>
          <w:szCs w:val="24"/>
          <w:highlight w:val="none"/>
        </w:rPr>
        <w:t>，提供合同关键页复印件，包括但不限于项目名称、金额及实施内容、合同盖章、签订日期，加盖单位公章。</w:t>
      </w:r>
    </w:p>
    <w:p>
      <w:pPr>
        <w:pStyle w:val="21"/>
        <w:numPr>
          <w:ilvl w:val="0"/>
          <w:numId w:val="3"/>
        </w:numPr>
        <w:spacing w:line="360" w:lineRule="auto"/>
        <w:ind w:left="0" w:firstLine="560" w:firstLineChars="0"/>
        <w:rPr>
          <w:rFonts w:asciiTheme="minorEastAsia" w:hAnsiTheme="minorEastAsia"/>
          <w:sz w:val="24"/>
          <w:szCs w:val="24"/>
        </w:rPr>
      </w:pPr>
      <w:r>
        <w:rPr>
          <w:rFonts w:hint="eastAsia" w:asciiTheme="minorEastAsia" w:hAnsiTheme="minorEastAsia"/>
          <w:sz w:val="24"/>
          <w:szCs w:val="24"/>
        </w:rPr>
        <w:t>本项目不接受联合体报价。</w:t>
      </w:r>
    </w:p>
    <w:p>
      <w:pPr>
        <w:pStyle w:val="18"/>
        <w:numPr>
          <w:ilvl w:val="0"/>
          <w:numId w:val="4"/>
        </w:numPr>
        <w:spacing w:line="360" w:lineRule="auto"/>
        <w:ind w:left="0" w:firstLine="482"/>
        <w:rPr>
          <w:rFonts w:ascii="宋体" w:hAnsi="宋体"/>
          <w:b/>
          <w:color w:val="auto"/>
          <w:sz w:val="24"/>
        </w:rPr>
      </w:pPr>
      <w:r>
        <w:rPr>
          <w:rFonts w:hint="eastAsia" w:ascii="宋体" w:hAnsi="宋体"/>
          <w:b/>
          <w:color w:val="auto"/>
          <w:sz w:val="24"/>
          <w:lang w:val="en-US" w:eastAsia="zh-CN"/>
        </w:rPr>
        <w:t>主要工程量清单</w:t>
      </w:r>
    </w:p>
    <w:p>
      <w:pPr>
        <w:pStyle w:val="2"/>
        <w:numPr>
          <w:ilvl w:val="0"/>
          <w:numId w:val="5"/>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rPr>
        <w:t>本项目由投标人包工包料，投标人应根据竞选文件及结合现场实际情况综合考虑再进行报价，投标人的投标报价应包括按竞选文件要求完成本项的全部费用。</w:t>
      </w:r>
      <w:r>
        <w:rPr>
          <w:rFonts w:hint="eastAsia" w:asciiTheme="minorEastAsia" w:hAnsiTheme="minorEastAsia" w:eastAsiaTheme="minorEastAsia" w:cstheme="minorEastAsia"/>
          <w:b/>
          <w:bCs/>
          <w:sz w:val="24"/>
          <w:szCs w:val="24"/>
          <w:lang w:val="en-US" w:eastAsia="zh-CN"/>
        </w:rPr>
        <w:t>投标报价请按下表《工程量清单表》计算报价明细表。</w:t>
      </w:r>
    </w:p>
    <w:tbl>
      <w:tblPr>
        <w:tblStyle w:val="16"/>
        <w:tblW w:w="9400" w:type="dxa"/>
        <w:tblInd w:w="0" w:type="dxa"/>
        <w:tblLayout w:type="fixed"/>
        <w:tblCellMar>
          <w:top w:w="0" w:type="dxa"/>
          <w:left w:w="108" w:type="dxa"/>
          <w:bottom w:w="0" w:type="dxa"/>
          <w:right w:w="108" w:type="dxa"/>
        </w:tblCellMar>
      </w:tblPr>
      <w:tblGrid>
        <w:gridCol w:w="956"/>
        <w:gridCol w:w="1814"/>
        <w:gridCol w:w="3142"/>
        <w:gridCol w:w="993"/>
        <w:gridCol w:w="731"/>
        <w:gridCol w:w="888"/>
        <w:gridCol w:w="876"/>
      </w:tblGrid>
      <w:tr>
        <w:tblPrEx>
          <w:tblLayout w:type="fixed"/>
          <w:tblCellMar>
            <w:top w:w="0" w:type="dxa"/>
            <w:left w:w="108" w:type="dxa"/>
            <w:bottom w:w="0" w:type="dxa"/>
            <w:right w:w="108" w:type="dxa"/>
          </w:tblCellMar>
        </w:tblPrEx>
        <w:trPr>
          <w:trHeight w:val="285"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1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w:t>
            </w:r>
          </w:p>
        </w:tc>
        <w:tc>
          <w:tcPr>
            <w:tcW w:w="3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规格</w:t>
            </w:r>
          </w:p>
        </w:tc>
        <w:tc>
          <w:tcPr>
            <w:tcW w:w="99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单位</w:t>
            </w:r>
          </w:p>
        </w:tc>
        <w:tc>
          <w:tcPr>
            <w:tcW w:w="7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数量</w:t>
            </w:r>
          </w:p>
        </w:tc>
        <w:tc>
          <w:tcPr>
            <w:tcW w:w="8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8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合价（元）</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一</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硬件</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3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PLC</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西门子S7-1500R系列，</w:t>
            </w:r>
            <w:r>
              <w:rPr>
                <w:rFonts w:hint="eastAsia" w:ascii="宋体" w:hAnsi="宋体" w:cs="等线"/>
                <w:sz w:val="24"/>
              </w:rPr>
              <w:t>固件版本：≥V3.0，程序内存不小于1MB，数据内存不小于4.5MB，同步方式：通过PROFINET接口进行冗余同步，系统切换时间：300ms，支持MRP冗余环网，可连接I/O设备的最大数量：64；</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交换机</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西门子工业交换机，8x100Mbps RJ45电气接口，支持1.1项中PLC冗余通讯，</w:t>
            </w:r>
            <w:r>
              <w:rPr>
                <w:rFonts w:ascii="宋体" w:hAnsi="宋体" w:cs="Segoe UI"/>
                <w:color w:val="0F1115"/>
                <w:sz w:val="24"/>
                <w:shd w:val="clear" w:color="auto" w:fill="FFFFFF"/>
              </w:rPr>
              <w:t>支持MRP和H-Sync转发</w:t>
            </w:r>
            <w:r>
              <w:rPr>
                <w:rFonts w:hint="eastAsia" w:ascii="宋体" w:hAnsi="宋体" w:cs="Segoe UI"/>
                <w:color w:val="0F1115"/>
                <w:sz w:val="24"/>
                <w:shd w:val="clear" w:color="auto" w:fill="FFFFFF"/>
              </w:rPr>
              <w:t>，</w:t>
            </w:r>
            <w:r>
              <w:rPr>
                <w:rFonts w:ascii="宋体" w:hAnsi="宋体" w:cs="Segoe UI"/>
                <w:color w:val="0F1115"/>
                <w:sz w:val="24"/>
                <w:shd w:val="clear" w:color="auto" w:fill="FFFFFF"/>
              </w:rPr>
              <w:t>固件版本≥V4.0</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接口模块</w:t>
            </w:r>
          </w:p>
        </w:tc>
        <w:tc>
          <w:tcPr>
            <w:tcW w:w="3142"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西门子ET200M接口模块</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适配现有的IO模块</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存储卡</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24MB，支持1.1项PLC</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块</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背板</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r>
              <w:rPr>
                <w:rFonts w:hint="eastAsia" w:ascii="宋体" w:hAnsi="宋体" w:cs="宋体"/>
                <w:color w:val="auto"/>
                <w:kern w:val="0"/>
                <w:sz w:val="24"/>
              </w:rPr>
              <w:t>1.1-1.5项安装所需背板</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8524"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小计</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二</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软件</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810"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PLC程序重构与仿真测试</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重构PLC程序，实现冷站全自动运行，其中参与冷站运行的程序占60%，仿真测试程序占40%。</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810"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上位机程序</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天气数据获取、冷站以及10楼中控室的组态界面、数据存储、智能优化算法(MPC、负荷预测)嵌入、操作记录、报警等</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8524"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小计</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机柜改造</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接线、硬件调试及辅材</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含人工及辅材。提供完整图纸，接线压接端子，套号码管。</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8524"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小计</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四</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810"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培训</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项目培训，采用文档讲解与仿真的形式，不少于3个工作日，提供不少于3台电脑临时用于培训。</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49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项目文档</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提供电子版，以及5个完整的控制策略A4规格的简装本。</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495" w:hRule="atLeast"/>
        </w:trPr>
        <w:tc>
          <w:tcPr>
            <w:tcW w:w="8524"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小计</w:t>
            </w:r>
          </w:p>
        </w:tc>
        <w:tc>
          <w:tcPr>
            <w:tcW w:w="876" w:type="dxa"/>
            <w:tcBorders>
              <w:top w:val="single" w:color="auto" w:sz="4" w:space="0"/>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p>
        </w:tc>
      </w:tr>
      <w:tr>
        <w:tblPrEx>
          <w:tblLayout w:type="fixed"/>
          <w:tblCellMar>
            <w:top w:w="0" w:type="dxa"/>
            <w:left w:w="108" w:type="dxa"/>
            <w:bottom w:w="0" w:type="dxa"/>
            <w:right w:w="108" w:type="dxa"/>
          </w:tblCellMar>
        </w:tblPrEx>
        <w:trPr>
          <w:trHeight w:val="495" w:hRule="atLeast"/>
        </w:trPr>
        <w:tc>
          <w:tcPr>
            <w:tcW w:w="8524"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含增值税专票税/元</w:t>
            </w:r>
          </w:p>
        </w:tc>
        <w:tc>
          <w:tcPr>
            <w:tcW w:w="876" w:type="dxa"/>
            <w:tcBorders>
              <w:top w:val="single" w:color="auto" w:sz="4" w:space="0"/>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p>
        </w:tc>
      </w:tr>
      <w:tr>
        <w:tblPrEx>
          <w:tblLayout w:type="fixed"/>
          <w:tblCellMar>
            <w:top w:w="0" w:type="dxa"/>
            <w:left w:w="108" w:type="dxa"/>
            <w:bottom w:w="0" w:type="dxa"/>
            <w:right w:w="108" w:type="dxa"/>
          </w:tblCellMar>
        </w:tblPrEx>
        <w:trPr>
          <w:trHeight w:val="495" w:hRule="atLeast"/>
        </w:trPr>
        <w:tc>
          <w:tcPr>
            <w:tcW w:w="8524"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rPr>
              <w:t>合计</w:t>
            </w:r>
            <w:r>
              <w:rPr>
                <w:rFonts w:hint="eastAsia" w:ascii="宋体" w:hAnsi="宋体" w:cs="宋体"/>
                <w:color w:val="000000"/>
                <w:kern w:val="0"/>
                <w:sz w:val="22"/>
                <w:szCs w:val="22"/>
                <w:lang w:val="en-US" w:eastAsia="zh-CN"/>
              </w:rPr>
              <w:t>/元</w:t>
            </w:r>
          </w:p>
        </w:tc>
        <w:tc>
          <w:tcPr>
            <w:tcW w:w="876" w:type="dxa"/>
            <w:tcBorders>
              <w:top w:val="single" w:color="auto" w:sz="4" w:space="0"/>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p>
        </w:tc>
      </w:tr>
    </w:tbl>
    <w:p>
      <w:pPr>
        <w:pStyle w:val="18"/>
        <w:numPr>
          <w:ilvl w:val="-1"/>
          <w:numId w:val="0"/>
        </w:numPr>
        <w:spacing w:line="360" w:lineRule="auto"/>
        <w:ind w:left="420" w:leftChars="200" w:firstLine="0" w:firstLineChars="0"/>
        <w:rPr>
          <w:rFonts w:ascii="宋体" w:hAnsi="宋体"/>
          <w:b/>
          <w:color w:val="auto"/>
          <w:sz w:val="24"/>
        </w:rPr>
      </w:pPr>
    </w:p>
    <w:p>
      <w:pPr>
        <w:pStyle w:val="18"/>
        <w:numPr>
          <w:ilvl w:val="0"/>
          <w:numId w:val="4"/>
        </w:numPr>
        <w:spacing w:line="360" w:lineRule="auto"/>
        <w:ind w:left="0" w:firstLine="482"/>
        <w:rPr>
          <w:rFonts w:ascii="宋体" w:hAnsi="宋体"/>
          <w:b/>
          <w:color w:val="auto"/>
          <w:sz w:val="24"/>
        </w:rPr>
      </w:pPr>
      <w:r>
        <w:rPr>
          <w:rFonts w:hint="eastAsia" w:ascii="宋体" w:hAnsi="宋体"/>
          <w:b/>
          <w:color w:val="auto"/>
          <w:sz w:val="24"/>
        </w:rPr>
        <w:t>费用、支付方式及货期</w:t>
      </w:r>
    </w:p>
    <w:p>
      <w:pPr>
        <w:pStyle w:val="18"/>
        <w:numPr>
          <w:ilvl w:val="0"/>
          <w:numId w:val="6"/>
        </w:numPr>
        <w:spacing w:line="360" w:lineRule="auto"/>
        <w:ind w:firstLine="480"/>
        <w:rPr>
          <w:rFonts w:ascii="宋体" w:hAnsi="宋体"/>
          <w:color w:val="auto"/>
          <w:sz w:val="24"/>
        </w:rPr>
      </w:pPr>
      <w:r>
        <w:rPr>
          <w:rFonts w:hint="eastAsia" w:ascii="宋体" w:hAnsi="宋体"/>
          <w:color w:val="auto"/>
          <w:sz w:val="24"/>
        </w:rPr>
        <w:t>本工程采用</w:t>
      </w:r>
      <w:r>
        <w:rPr>
          <w:rFonts w:hint="eastAsia" w:ascii="宋体" w:hAnsi="宋体"/>
          <w:color w:val="auto"/>
          <w:sz w:val="24"/>
          <w:lang w:val="en-US" w:eastAsia="zh-CN"/>
        </w:rPr>
        <w:t>总</w:t>
      </w:r>
      <w:r>
        <w:rPr>
          <w:rFonts w:hint="eastAsia" w:ascii="宋体" w:hAnsi="宋体"/>
          <w:color w:val="auto"/>
          <w:sz w:val="24"/>
        </w:rPr>
        <w:t>价包干，包工、包料、包设计、</w:t>
      </w:r>
      <w:r>
        <w:rPr>
          <w:rFonts w:hint="eastAsia" w:ascii="宋体" w:hAnsi="宋体"/>
          <w:color w:val="auto"/>
          <w:sz w:val="24"/>
          <w:lang w:val="en-US" w:eastAsia="zh-CN"/>
        </w:rPr>
        <w:t>包硬件、包软件、包培训、</w:t>
      </w:r>
      <w:r>
        <w:rPr>
          <w:rFonts w:hint="eastAsia" w:ascii="宋体" w:hAnsi="宋体"/>
          <w:color w:val="auto"/>
          <w:sz w:val="24"/>
        </w:rPr>
        <w:t>包安装调试、包工期、包质量、包安全、包安全文明施工、包验收、包结算、包资料整理、包综合治理、包现场卫生清洁、包风险、包利润和管理费等完成本项目的全部费用。</w:t>
      </w:r>
    </w:p>
    <w:p>
      <w:pPr>
        <w:pStyle w:val="18"/>
        <w:numPr>
          <w:ilvl w:val="0"/>
          <w:numId w:val="6"/>
        </w:numPr>
        <w:spacing w:line="360" w:lineRule="auto"/>
        <w:ind w:firstLine="480"/>
        <w:rPr>
          <w:rFonts w:ascii="宋体" w:hAnsi="宋体"/>
          <w:color w:val="auto"/>
          <w:sz w:val="24"/>
        </w:rPr>
      </w:pPr>
      <w:r>
        <w:rPr>
          <w:rFonts w:hint="eastAsia" w:ascii="宋体" w:hAnsi="宋体"/>
          <w:color w:val="auto"/>
          <w:sz w:val="24"/>
        </w:rPr>
        <w:t>付款方式</w:t>
      </w:r>
    </w:p>
    <w:p>
      <w:pPr>
        <w:spacing w:line="360" w:lineRule="auto"/>
        <w:ind w:firstLine="480" w:firstLineChars="200"/>
        <w:rPr>
          <w:rFonts w:ascii="宋体" w:hAnsi="宋体" w:cs="Arial"/>
          <w:color w:val="auto"/>
          <w:sz w:val="24"/>
        </w:rPr>
      </w:pPr>
      <w:r>
        <w:rPr>
          <w:rFonts w:hint="eastAsia" w:ascii="宋体" w:hAnsi="宋体" w:cs="Arial"/>
          <w:color w:val="auto"/>
          <w:sz w:val="24"/>
        </w:rPr>
        <w:t>在合同履行期内，若国家税费调整，合同含税金额按国家规定税率作出相应调整，供方每次申请付款应按照合同内容开具相应税率的合法有效的增值税专用发票。</w:t>
      </w:r>
    </w:p>
    <w:p>
      <w:pPr>
        <w:spacing w:line="360" w:lineRule="auto"/>
        <w:ind w:firstLine="480" w:firstLineChars="200"/>
        <w:rPr>
          <w:rFonts w:ascii="宋体" w:hAnsi="宋体" w:cs="Arial"/>
          <w:color w:val="auto"/>
          <w:sz w:val="24"/>
        </w:rPr>
      </w:pPr>
      <w:r>
        <w:rPr>
          <w:rFonts w:hint="eastAsia" w:ascii="宋体" w:hAnsi="宋体" w:cs="Arial"/>
          <w:color w:val="auto"/>
          <w:sz w:val="24"/>
        </w:rPr>
        <w:t>合同付款按完成进度支付，具体为：</w:t>
      </w:r>
    </w:p>
    <w:p>
      <w:pPr>
        <w:pStyle w:val="21"/>
        <w:numPr>
          <w:ilvl w:val="0"/>
          <w:numId w:val="7"/>
        </w:numPr>
        <w:spacing w:line="360" w:lineRule="auto"/>
        <w:ind w:left="0" w:firstLine="560" w:firstLineChars="0"/>
        <w:rPr>
          <w:rFonts w:asciiTheme="minorEastAsia" w:hAnsiTheme="minorEastAsia"/>
          <w:color w:val="auto"/>
          <w:sz w:val="24"/>
          <w:szCs w:val="28"/>
        </w:rPr>
      </w:pPr>
      <w:r>
        <w:rPr>
          <w:rFonts w:hint="eastAsia" w:cs="Arial" w:asciiTheme="minorEastAsia" w:hAnsiTheme="minorEastAsia"/>
          <w:color w:val="auto"/>
          <w:sz w:val="24"/>
          <w:szCs w:val="28"/>
        </w:rPr>
        <w:t>合同签订后，采购人收到中标人请款资料后15个工作日内支付合同价的</w:t>
      </w:r>
      <w:r>
        <w:rPr>
          <w:rFonts w:hint="eastAsia" w:cs="Arial" w:asciiTheme="minorEastAsia" w:hAnsiTheme="minorEastAsia"/>
          <w:color w:val="auto"/>
          <w:sz w:val="24"/>
          <w:szCs w:val="28"/>
          <w:highlight w:val="none"/>
          <w:lang w:val="en-US" w:eastAsia="zh-CN"/>
        </w:rPr>
        <w:t>2</w:t>
      </w:r>
      <w:r>
        <w:rPr>
          <w:rFonts w:hint="eastAsia" w:cs="Arial" w:asciiTheme="minorEastAsia" w:hAnsiTheme="minorEastAsia"/>
          <w:color w:val="auto"/>
          <w:sz w:val="24"/>
          <w:szCs w:val="28"/>
          <w:highlight w:val="none"/>
        </w:rPr>
        <w:t>0%预付款；</w:t>
      </w:r>
    </w:p>
    <w:p>
      <w:pPr>
        <w:pStyle w:val="21"/>
        <w:numPr>
          <w:ilvl w:val="0"/>
          <w:numId w:val="7"/>
        </w:numPr>
        <w:spacing w:line="360" w:lineRule="auto"/>
        <w:ind w:left="0" w:firstLine="560" w:firstLineChars="0"/>
        <w:rPr>
          <w:rFonts w:asciiTheme="minorEastAsia" w:hAnsiTheme="minorEastAsia"/>
          <w:color w:val="auto"/>
          <w:sz w:val="24"/>
          <w:szCs w:val="28"/>
        </w:rPr>
      </w:pPr>
      <w:r>
        <w:rPr>
          <w:rFonts w:hint="default" w:cs="Arial" w:asciiTheme="minorEastAsia" w:hAnsiTheme="minorEastAsia"/>
          <w:color w:val="auto"/>
          <w:sz w:val="24"/>
          <w:szCs w:val="28"/>
        </w:rPr>
        <w:t>项目形象进度完成合同工程量</w:t>
      </w:r>
      <w:r>
        <w:rPr>
          <w:rFonts w:hint="eastAsia" w:cs="Arial" w:asciiTheme="minorEastAsia" w:hAnsiTheme="minorEastAsia"/>
          <w:color w:val="auto"/>
          <w:sz w:val="24"/>
          <w:szCs w:val="28"/>
          <w:lang w:eastAsia="zh-CN"/>
        </w:rPr>
        <w:t>6</w:t>
      </w:r>
      <w:r>
        <w:rPr>
          <w:rFonts w:hint="default" w:cs="Arial" w:asciiTheme="minorEastAsia" w:hAnsiTheme="minorEastAsia"/>
          <w:color w:val="auto"/>
          <w:sz w:val="24"/>
          <w:szCs w:val="28"/>
        </w:rPr>
        <w:t>0%，甲方收到乙方请款资料后15个工作日内支付至合同总价的</w:t>
      </w:r>
      <w:r>
        <w:rPr>
          <w:rFonts w:hint="eastAsia" w:cs="Arial" w:asciiTheme="minorEastAsia" w:hAnsiTheme="minorEastAsia"/>
          <w:color w:val="auto"/>
          <w:sz w:val="24"/>
          <w:szCs w:val="28"/>
          <w:lang w:eastAsia="zh-CN"/>
        </w:rPr>
        <w:t>4</w:t>
      </w:r>
      <w:r>
        <w:rPr>
          <w:rFonts w:hint="default" w:cs="Arial" w:asciiTheme="minorEastAsia" w:hAnsiTheme="minorEastAsia"/>
          <w:color w:val="auto"/>
          <w:sz w:val="24"/>
          <w:szCs w:val="28"/>
        </w:rPr>
        <w:t>0%</w:t>
      </w:r>
      <w:r>
        <w:rPr>
          <w:rFonts w:asciiTheme="minorEastAsia" w:hAnsiTheme="minorEastAsia"/>
          <w:color w:val="auto"/>
          <w:sz w:val="24"/>
          <w:szCs w:val="28"/>
        </w:rPr>
        <w:t>；</w:t>
      </w:r>
    </w:p>
    <w:p>
      <w:pPr>
        <w:pStyle w:val="21"/>
        <w:numPr>
          <w:ilvl w:val="0"/>
          <w:numId w:val="7"/>
        </w:numPr>
        <w:spacing w:line="360" w:lineRule="auto"/>
        <w:ind w:left="0" w:firstLine="560" w:firstLineChars="0"/>
        <w:rPr>
          <w:rFonts w:asciiTheme="minorEastAsia" w:hAnsiTheme="minorEastAsia"/>
          <w:color w:val="auto"/>
          <w:sz w:val="24"/>
          <w:szCs w:val="28"/>
        </w:rPr>
      </w:pPr>
      <w:r>
        <w:rPr>
          <w:rFonts w:hint="default" w:cs="Arial" w:asciiTheme="minorEastAsia" w:hAnsiTheme="minorEastAsia"/>
          <w:color w:val="auto"/>
          <w:sz w:val="24"/>
          <w:szCs w:val="28"/>
        </w:rPr>
        <w:t>项目形象进度完成合同工程量</w:t>
      </w:r>
      <w:r>
        <w:rPr>
          <w:rFonts w:hint="eastAsia" w:cs="Arial" w:asciiTheme="minorEastAsia" w:hAnsiTheme="minorEastAsia"/>
          <w:color w:val="auto"/>
          <w:sz w:val="24"/>
          <w:szCs w:val="28"/>
          <w:lang w:val="en-US" w:eastAsia="zh-CN"/>
        </w:rPr>
        <w:t>8</w:t>
      </w:r>
      <w:r>
        <w:rPr>
          <w:rFonts w:hint="default" w:cs="Arial" w:asciiTheme="minorEastAsia" w:hAnsiTheme="minorEastAsia"/>
          <w:color w:val="auto"/>
          <w:sz w:val="24"/>
          <w:szCs w:val="28"/>
        </w:rPr>
        <w:t>0%，甲方收到乙方请款资料后15个工作日内支付至合同总价的</w:t>
      </w:r>
      <w:r>
        <w:rPr>
          <w:rFonts w:hint="eastAsia" w:cs="Arial" w:asciiTheme="minorEastAsia" w:hAnsiTheme="minorEastAsia"/>
          <w:color w:val="auto"/>
          <w:sz w:val="24"/>
          <w:szCs w:val="28"/>
          <w:lang w:val="en-US" w:eastAsia="zh-CN"/>
        </w:rPr>
        <w:t>6</w:t>
      </w:r>
      <w:r>
        <w:rPr>
          <w:rFonts w:hint="default" w:cs="Arial" w:asciiTheme="minorEastAsia" w:hAnsiTheme="minorEastAsia"/>
          <w:color w:val="auto"/>
          <w:sz w:val="24"/>
          <w:szCs w:val="28"/>
        </w:rPr>
        <w:t>0%</w:t>
      </w:r>
      <w:r>
        <w:rPr>
          <w:rFonts w:asciiTheme="minorEastAsia" w:hAnsiTheme="minorEastAsia"/>
          <w:color w:val="auto"/>
          <w:sz w:val="24"/>
          <w:szCs w:val="28"/>
        </w:rPr>
        <w:t>；</w:t>
      </w:r>
    </w:p>
    <w:p>
      <w:pPr>
        <w:pStyle w:val="21"/>
        <w:numPr>
          <w:ilvl w:val="0"/>
          <w:numId w:val="7"/>
        </w:numPr>
        <w:spacing w:line="360" w:lineRule="auto"/>
        <w:ind w:left="0" w:firstLine="560" w:firstLineChars="0"/>
        <w:rPr>
          <w:rFonts w:asciiTheme="minorEastAsia" w:hAnsiTheme="minorEastAsia"/>
          <w:color w:val="auto"/>
          <w:sz w:val="24"/>
          <w:szCs w:val="28"/>
        </w:rPr>
      </w:pPr>
      <w:r>
        <w:rPr>
          <w:rFonts w:hint="eastAsia" w:asciiTheme="minorEastAsia" w:hAnsiTheme="minorEastAsia"/>
          <w:color w:val="auto"/>
          <w:sz w:val="24"/>
          <w:szCs w:val="28"/>
        </w:rPr>
        <w:t>项目全部完工并竣工验收合格并按甲方要求完成合同结算手续后，甲方收到乙方请款资料后15个工作日内支付</w:t>
      </w:r>
      <w:r>
        <w:rPr>
          <w:rFonts w:hint="eastAsia" w:asciiTheme="minorEastAsia" w:hAnsiTheme="minorEastAsia"/>
          <w:color w:val="auto"/>
          <w:sz w:val="24"/>
          <w:szCs w:val="28"/>
          <w:lang w:val="en-US" w:eastAsia="zh-CN"/>
        </w:rPr>
        <w:t>合同结算价</w:t>
      </w:r>
      <w:r>
        <w:rPr>
          <w:rFonts w:hint="eastAsia" w:asciiTheme="minorEastAsia" w:hAnsiTheme="minorEastAsia"/>
          <w:color w:val="auto"/>
          <w:sz w:val="24"/>
          <w:szCs w:val="28"/>
        </w:rPr>
        <w:t>的95%</w:t>
      </w:r>
    </w:p>
    <w:p>
      <w:pPr>
        <w:pStyle w:val="21"/>
        <w:numPr>
          <w:ilvl w:val="0"/>
          <w:numId w:val="7"/>
        </w:numPr>
        <w:spacing w:line="360" w:lineRule="auto"/>
        <w:ind w:left="0" w:firstLine="560" w:firstLineChars="0"/>
        <w:rPr>
          <w:rFonts w:asciiTheme="minorEastAsia" w:hAnsiTheme="minorEastAsia"/>
          <w:color w:val="auto"/>
          <w:sz w:val="24"/>
          <w:szCs w:val="28"/>
        </w:rPr>
      </w:pPr>
      <w:r>
        <w:rPr>
          <w:rFonts w:hint="eastAsia" w:cs="Arial" w:asciiTheme="minorEastAsia" w:hAnsiTheme="minorEastAsia"/>
          <w:color w:val="auto"/>
          <w:sz w:val="24"/>
          <w:szCs w:val="28"/>
        </w:rPr>
        <w:t>质保期</w:t>
      </w:r>
      <w:r>
        <w:rPr>
          <w:rFonts w:hint="eastAsia" w:cs="Arial" w:asciiTheme="minorEastAsia" w:hAnsiTheme="minorEastAsia"/>
          <w:color w:val="auto"/>
          <w:sz w:val="24"/>
          <w:szCs w:val="28"/>
          <w:lang w:val="en-US" w:eastAsia="zh-CN"/>
        </w:rPr>
        <w:t>一年。期满</w:t>
      </w:r>
      <w:r>
        <w:rPr>
          <w:rFonts w:hint="eastAsia" w:cs="Arial" w:asciiTheme="minorEastAsia" w:hAnsiTheme="minorEastAsia"/>
          <w:color w:val="auto"/>
          <w:sz w:val="24"/>
          <w:szCs w:val="28"/>
        </w:rPr>
        <w:t>且乙方质保期义务按要求履行完毕后，甲方收到乙方请款资料后15个工作日内付清余款（不计利息）</w:t>
      </w:r>
      <w:r>
        <w:rPr>
          <w:rFonts w:asciiTheme="minorEastAsia" w:hAnsiTheme="minorEastAsia"/>
          <w:color w:val="auto"/>
          <w:sz w:val="24"/>
          <w:szCs w:val="28"/>
        </w:rPr>
        <w:t>；</w:t>
      </w:r>
    </w:p>
    <w:p>
      <w:pPr>
        <w:pStyle w:val="21"/>
        <w:numPr>
          <w:ilvl w:val="0"/>
          <w:numId w:val="7"/>
        </w:numPr>
        <w:spacing w:line="360" w:lineRule="auto"/>
        <w:ind w:left="0" w:firstLine="560" w:firstLineChars="0"/>
        <w:rPr>
          <w:rFonts w:cs="Arial" w:asciiTheme="minorEastAsia" w:hAnsiTheme="minorEastAsia"/>
          <w:color w:val="auto"/>
          <w:sz w:val="24"/>
          <w:szCs w:val="28"/>
        </w:rPr>
      </w:pPr>
      <w:r>
        <w:rPr>
          <w:rFonts w:hint="eastAsia" w:cs="Arial" w:asciiTheme="minorEastAsia" w:hAnsiTheme="minorEastAsia"/>
          <w:color w:val="auto"/>
          <w:sz w:val="24"/>
          <w:szCs w:val="28"/>
        </w:rPr>
        <w:t>每次付款前乙方开具符合国家税务规定的等额合格的增值税专用发票给甲方。乙方晚于付款期限提供的，甲方付款期限相应顺延。</w:t>
      </w:r>
    </w:p>
    <w:p>
      <w:pPr>
        <w:pStyle w:val="18"/>
        <w:spacing w:line="360" w:lineRule="auto"/>
        <w:ind w:firstLine="482"/>
        <w:rPr>
          <w:rFonts w:ascii="宋体" w:hAnsi="宋体"/>
          <w:b/>
          <w:color w:val="auto"/>
          <w:sz w:val="24"/>
        </w:rPr>
      </w:pPr>
      <w:r>
        <w:rPr>
          <w:rFonts w:hint="eastAsia" w:ascii="宋体" w:hAnsi="宋体"/>
          <w:b/>
          <w:color w:val="auto"/>
          <w:sz w:val="24"/>
        </w:rPr>
        <w:t>四、投标文件</w:t>
      </w:r>
    </w:p>
    <w:p>
      <w:pPr>
        <w:pStyle w:val="18"/>
        <w:spacing w:line="360" w:lineRule="auto"/>
        <w:ind w:firstLine="480"/>
        <w:rPr>
          <w:rFonts w:ascii="宋体" w:hAnsi="宋体"/>
          <w:color w:val="auto"/>
          <w:sz w:val="24"/>
        </w:rPr>
      </w:pPr>
      <w:r>
        <w:rPr>
          <w:rFonts w:hint="eastAsia" w:ascii="宋体" w:hAnsi="宋体"/>
          <w:color w:val="auto"/>
          <w:sz w:val="24"/>
        </w:rPr>
        <w:t>根据采购人要求的投标文件格式编制，进行密封报价（盖章）。投标文件应包含以下内容：</w:t>
      </w:r>
    </w:p>
    <w:p>
      <w:pPr>
        <w:pStyle w:val="18"/>
        <w:numPr>
          <w:ilvl w:val="0"/>
          <w:numId w:val="8"/>
        </w:numPr>
        <w:spacing w:line="360" w:lineRule="auto"/>
        <w:ind w:firstLine="480"/>
        <w:rPr>
          <w:rFonts w:ascii="宋体" w:hAnsi="宋体"/>
          <w:color w:val="auto"/>
          <w:sz w:val="24"/>
        </w:rPr>
      </w:pPr>
      <w:r>
        <w:rPr>
          <w:rFonts w:hint="eastAsia" w:ascii="宋体" w:hAnsi="宋体"/>
          <w:color w:val="auto"/>
          <w:sz w:val="24"/>
        </w:rPr>
        <w:t>价格文件</w:t>
      </w:r>
    </w:p>
    <w:p>
      <w:pPr>
        <w:pStyle w:val="21"/>
        <w:numPr>
          <w:ilvl w:val="0"/>
          <w:numId w:val="9"/>
        </w:numPr>
        <w:spacing w:line="360" w:lineRule="auto"/>
        <w:ind w:left="851" w:hanging="291" w:firstLineChars="0"/>
        <w:rPr>
          <w:rFonts w:cs="Arial" w:asciiTheme="minorEastAsia" w:hAnsiTheme="minorEastAsia"/>
          <w:color w:val="auto"/>
          <w:sz w:val="24"/>
          <w:szCs w:val="28"/>
        </w:rPr>
      </w:pPr>
      <w:r>
        <w:rPr>
          <w:rFonts w:hint="eastAsia" w:cs="Arial" w:asciiTheme="minorEastAsia" w:hAnsiTheme="minorEastAsia"/>
          <w:color w:val="auto"/>
          <w:sz w:val="24"/>
          <w:szCs w:val="28"/>
        </w:rPr>
        <w:t>报价一览表</w:t>
      </w:r>
      <w:r>
        <w:rPr>
          <w:rFonts w:hint="eastAsia" w:cs="Arial" w:asciiTheme="minorEastAsia" w:hAnsiTheme="minorEastAsia"/>
          <w:color w:val="auto"/>
          <w:sz w:val="24"/>
          <w:szCs w:val="28"/>
          <w:lang w:eastAsia="zh-CN"/>
        </w:rPr>
        <w:t>：</w:t>
      </w:r>
      <w:r>
        <w:rPr>
          <w:rFonts w:hint="eastAsia" w:ascii="宋体" w:hAnsi="宋体"/>
          <w:color w:val="auto"/>
          <w:sz w:val="24"/>
        </w:rPr>
        <w:t>见</w:t>
      </w:r>
      <w:r>
        <w:rPr>
          <w:rFonts w:hint="eastAsia" w:ascii="宋体" w:hAnsi="宋体"/>
          <w:color w:val="auto"/>
          <w:sz w:val="24"/>
          <w:lang w:val="en-US" w:eastAsia="zh-CN"/>
        </w:rPr>
        <w:t>附件2</w:t>
      </w:r>
      <w:r>
        <w:rPr>
          <w:rFonts w:hint="eastAsia" w:ascii="宋体" w:hAnsi="宋体"/>
          <w:color w:val="auto"/>
          <w:sz w:val="24"/>
        </w:rPr>
        <w:t>格式</w:t>
      </w:r>
      <w:r>
        <w:rPr>
          <w:rFonts w:hint="eastAsia" w:ascii="宋体" w:hAnsi="宋体"/>
          <w:color w:val="auto"/>
          <w:sz w:val="24"/>
          <w:lang w:val="en-US" w:eastAsia="zh-CN"/>
        </w:rPr>
        <w:t>1</w:t>
      </w:r>
      <w:r>
        <w:rPr>
          <w:rFonts w:hint="eastAsia" w:ascii="宋体" w:hAnsi="宋体"/>
          <w:color w:val="auto"/>
          <w:sz w:val="24"/>
        </w:rPr>
        <w:t>，加盖公章</w:t>
      </w:r>
    </w:p>
    <w:p>
      <w:pPr>
        <w:pStyle w:val="21"/>
        <w:numPr>
          <w:ilvl w:val="-1"/>
          <w:numId w:val="0"/>
        </w:numPr>
        <w:spacing w:line="360" w:lineRule="auto"/>
        <w:ind w:left="0" w:firstLine="480" w:firstLineChars="200"/>
        <w:rPr>
          <w:rFonts w:cs="Arial" w:asciiTheme="minorEastAsia" w:hAnsiTheme="minorEastAsia"/>
          <w:color w:val="auto"/>
          <w:sz w:val="24"/>
          <w:szCs w:val="28"/>
        </w:rPr>
      </w:pPr>
      <w:r>
        <w:rPr>
          <w:rFonts w:hint="eastAsia" w:cs="Arial" w:asciiTheme="minorEastAsia" w:hAnsiTheme="minorEastAsia"/>
          <w:color w:val="auto"/>
          <w:sz w:val="24"/>
          <w:szCs w:val="28"/>
          <w:lang w:val="en-US" w:eastAsia="zh-CN"/>
        </w:rPr>
        <w:t>2.报价明细表：</w:t>
      </w:r>
      <w:r>
        <w:rPr>
          <w:rFonts w:hint="eastAsia" w:cs="Arial" w:asciiTheme="minorEastAsia" w:hAnsiTheme="minorEastAsia"/>
          <w:color w:val="auto"/>
          <w:sz w:val="24"/>
          <w:szCs w:val="28"/>
        </w:rPr>
        <w:t>采用工程量清单计价，按本竞选文件中列明的工程量清单报价，并以此作为结算依据，包括但不限于工程量清单各项目单价及综合总报价，并注明未含税总价、税率及含税总价。</w:t>
      </w:r>
    </w:p>
    <w:p>
      <w:pPr>
        <w:pStyle w:val="18"/>
        <w:numPr>
          <w:ilvl w:val="0"/>
          <w:numId w:val="8"/>
        </w:numPr>
        <w:spacing w:line="360" w:lineRule="auto"/>
        <w:ind w:firstLine="480"/>
        <w:rPr>
          <w:rFonts w:ascii="宋体" w:hAnsi="宋体"/>
          <w:color w:val="auto"/>
          <w:sz w:val="24"/>
        </w:rPr>
      </w:pPr>
      <w:r>
        <w:rPr>
          <w:rFonts w:hint="eastAsia" w:ascii="宋体" w:hAnsi="宋体"/>
          <w:color w:val="auto"/>
          <w:sz w:val="24"/>
        </w:rPr>
        <w:t>商务部分</w:t>
      </w:r>
    </w:p>
    <w:p>
      <w:pPr>
        <w:spacing w:before="120" w:beforeLines="50" w:after="120" w:afterLines="50" w:line="360" w:lineRule="auto"/>
        <w:ind w:firstLine="480" w:firstLineChars="200"/>
        <w:rPr>
          <w:rFonts w:ascii="宋体" w:hAnsi="宋体"/>
          <w:color w:val="auto"/>
          <w:sz w:val="24"/>
          <w:szCs w:val="24"/>
        </w:rPr>
      </w:pPr>
      <w:r>
        <w:rPr>
          <w:rFonts w:hint="eastAsia" w:ascii="宋体" w:hAnsi="宋体"/>
          <w:color w:val="auto"/>
          <w:sz w:val="24"/>
          <w:szCs w:val="24"/>
        </w:rPr>
        <w:t>1.提供营业执照或法人证书或民办非企业单位登记证书的盖章扫描件证明；</w:t>
      </w:r>
    </w:p>
    <w:p>
      <w:pPr>
        <w:spacing w:before="120" w:beforeLines="50" w:after="120" w:afterLines="50" w:line="360" w:lineRule="auto"/>
        <w:ind w:firstLine="480" w:firstLineChars="200"/>
        <w:rPr>
          <w:rFonts w:ascii="宋体" w:hAnsi="宋体"/>
          <w:color w:val="auto"/>
          <w:sz w:val="24"/>
          <w:szCs w:val="24"/>
        </w:rPr>
      </w:pPr>
      <w:r>
        <w:rPr>
          <w:rFonts w:hint="eastAsia" w:ascii="宋体" w:hAnsi="宋体"/>
          <w:color w:val="auto"/>
          <w:sz w:val="24"/>
          <w:szCs w:val="24"/>
        </w:rPr>
        <w:t>2.投标人未被列入“信用中国”网站(www.creditchina.gov.cn)记录失信被执行人名单,须提供“信用中国”网站(www.creditchina.gov.cn)的信用记录查询结果截图或信用信息报告并打印页面加盖公章；</w:t>
      </w:r>
    </w:p>
    <w:p>
      <w:pPr>
        <w:spacing w:before="120" w:beforeLines="50" w:after="120" w:afterLines="50"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rPr>
        <w:t>3.投标人没有处于被责令停业或破产状态，且资产未被重组、接管和冻结，声明在投标活动中3年内没有重大违法活动和涉嫌违规行为（附投标声明函</w:t>
      </w:r>
      <w:r>
        <w:rPr>
          <w:rFonts w:hint="eastAsia" w:ascii="宋体" w:hAnsi="宋体"/>
          <w:color w:val="auto"/>
          <w:sz w:val="24"/>
          <w:szCs w:val="24"/>
          <w:lang w:eastAsia="zh-CN"/>
        </w:rPr>
        <w:t>，</w:t>
      </w:r>
      <w:r>
        <w:rPr>
          <w:rFonts w:hint="eastAsia" w:ascii="宋体" w:hAnsi="宋体"/>
          <w:color w:val="auto"/>
          <w:sz w:val="24"/>
          <w:szCs w:val="24"/>
          <w:lang w:val="en-US" w:eastAsia="zh-CN"/>
        </w:rPr>
        <w:t>见附件2格式5</w:t>
      </w:r>
      <w:r>
        <w:rPr>
          <w:rFonts w:hint="eastAsia" w:ascii="宋体" w:hAnsi="宋体"/>
          <w:color w:val="auto"/>
          <w:sz w:val="24"/>
          <w:szCs w:val="24"/>
        </w:rPr>
        <w:t>）</w:t>
      </w:r>
      <w:r>
        <w:rPr>
          <w:rFonts w:hint="eastAsia" w:ascii="宋体" w:hAnsi="宋体"/>
          <w:color w:val="auto"/>
          <w:sz w:val="24"/>
          <w:szCs w:val="24"/>
          <w:lang w:eastAsia="zh-CN"/>
        </w:rPr>
        <w:t>；</w:t>
      </w:r>
    </w:p>
    <w:p>
      <w:pPr>
        <w:pStyle w:val="21"/>
        <w:numPr>
          <w:ilvl w:val="0"/>
          <w:numId w:val="0"/>
        </w:numPr>
        <w:tabs>
          <w:tab w:val="left" w:pos="851"/>
        </w:tabs>
        <w:spacing w:line="360" w:lineRule="auto"/>
        <w:ind w:firstLine="480" w:firstLineChars="200"/>
        <w:rPr>
          <w:rFonts w:hint="default"/>
          <w:color w:val="auto"/>
          <w:lang w:val="en-US" w:eastAsia="zh-CN"/>
        </w:rPr>
      </w:pPr>
      <w:r>
        <w:rPr>
          <w:rFonts w:hint="eastAsia" w:ascii="宋体" w:hAnsi="宋体"/>
          <w:color w:val="auto"/>
          <w:sz w:val="24"/>
          <w:szCs w:val="24"/>
          <w:lang w:val="en-US" w:eastAsia="zh-CN"/>
        </w:rPr>
        <w:t>4.</w:t>
      </w:r>
      <w:r>
        <w:rPr>
          <w:rFonts w:hint="eastAsia" w:asciiTheme="minorEastAsia" w:hAnsiTheme="minorEastAsia"/>
          <w:color w:val="auto"/>
          <w:sz w:val="24"/>
          <w:szCs w:val="28"/>
        </w:rPr>
        <w:t>投标人具有有效期内电子与智能化工程专业承包贰级</w:t>
      </w:r>
      <w:r>
        <w:rPr>
          <w:rFonts w:hint="eastAsia" w:asciiTheme="minorEastAsia" w:hAnsiTheme="minorEastAsia"/>
          <w:color w:val="auto"/>
          <w:sz w:val="24"/>
          <w:szCs w:val="28"/>
          <w:lang w:val="en-US" w:eastAsia="zh-CN"/>
        </w:rPr>
        <w:t>或</w:t>
      </w:r>
      <w:r>
        <w:rPr>
          <w:rFonts w:hint="eastAsia" w:asciiTheme="minorEastAsia" w:hAnsiTheme="minorEastAsia"/>
          <w:color w:val="auto"/>
          <w:sz w:val="24"/>
          <w:szCs w:val="28"/>
        </w:rPr>
        <w:t>以上资质</w:t>
      </w:r>
      <w:r>
        <w:rPr>
          <w:rFonts w:hint="eastAsia" w:asciiTheme="minorEastAsia" w:hAnsiTheme="minorEastAsia"/>
          <w:color w:val="auto"/>
          <w:sz w:val="24"/>
          <w:szCs w:val="28"/>
          <w:lang w:eastAsia="zh-CN"/>
        </w:rPr>
        <w:t>。</w:t>
      </w:r>
      <w:r>
        <w:rPr>
          <w:rFonts w:hint="eastAsia" w:asciiTheme="minorEastAsia" w:hAnsiTheme="minorEastAsia"/>
          <w:color w:val="auto"/>
          <w:sz w:val="24"/>
          <w:szCs w:val="28"/>
          <w:lang w:val="en-US" w:eastAsia="zh-CN"/>
        </w:rPr>
        <w:t>提供</w:t>
      </w:r>
      <w:r>
        <w:rPr>
          <w:rFonts w:hint="eastAsia" w:asciiTheme="minorEastAsia" w:hAnsiTheme="minorEastAsia"/>
          <w:color w:val="auto"/>
          <w:sz w:val="24"/>
          <w:szCs w:val="28"/>
        </w:rPr>
        <w:t>证书复印件作为证明材料；</w:t>
      </w:r>
    </w:p>
    <w:p>
      <w:pPr>
        <w:pStyle w:val="21"/>
        <w:numPr>
          <w:ilvl w:val="-1"/>
          <w:numId w:val="0"/>
        </w:numPr>
        <w:tabs>
          <w:tab w:val="left" w:pos="851"/>
        </w:tabs>
        <w:spacing w:line="360" w:lineRule="auto"/>
        <w:ind w:left="567" w:firstLine="0" w:firstLineChars="0"/>
        <w:rPr>
          <w:rFonts w:asciiTheme="minorEastAsia" w:hAnsiTheme="minorEastAsia"/>
          <w:color w:val="auto"/>
          <w:sz w:val="24"/>
          <w:szCs w:val="28"/>
        </w:rPr>
      </w:pPr>
      <w:r>
        <w:rPr>
          <w:rFonts w:hint="eastAsia" w:asciiTheme="minorEastAsia" w:hAnsiTheme="minorEastAsia"/>
          <w:color w:val="auto"/>
          <w:sz w:val="24"/>
          <w:szCs w:val="28"/>
          <w:lang w:val="en-US" w:eastAsia="zh-CN"/>
        </w:rPr>
        <w:t>5.</w:t>
      </w:r>
      <w:r>
        <w:rPr>
          <w:rFonts w:hint="eastAsia" w:asciiTheme="minorEastAsia" w:hAnsiTheme="minorEastAsia"/>
          <w:color w:val="auto"/>
          <w:sz w:val="24"/>
          <w:szCs w:val="28"/>
        </w:rPr>
        <w:t>供应商调查表（</w:t>
      </w:r>
      <w:r>
        <w:rPr>
          <w:rFonts w:hint="eastAsia" w:ascii="宋体" w:hAnsi="宋体"/>
          <w:color w:val="auto"/>
          <w:sz w:val="24"/>
        </w:rPr>
        <w:t>见</w:t>
      </w:r>
      <w:r>
        <w:rPr>
          <w:rFonts w:hint="eastAsia" w:ascii="宋体" w:hAnsi="宋体"/>
          <w:color w:val="auto"/>
          <w:sz w:val="24"/>
          <w:lang w:val="en-US" w:eastAsia="zh-CN"/>
        </w:rPr>
        <w:t>附件2</w:t>
      </w:r>
      <w:r>
        <w:rPr>
          <w:rFonts w:hint="eastAsia" w:ascii="宋体" w:hAnsi="宋体"/>
          <w:color w:val="auto"/>
          <w:sz w:val="24"/>
        </w:rPr>
        <w:t>格式</w:t>
      </w:r>
      <w:r>
        <w:rPr>
          <w:rFonts w:hint="eastAsia" w:ascii="宋体" w:hAnsi="宋体"/>
          <w:color w:val="auto"/>
          <w:sz w:val="24"/>
          <w:lang w:val="en-US" w:eastAsia="zh-CN"/>
        </w:rPr>
        <w:t>4</w:t>
      </w:r>
      <w:r>
        <w:rPr>
          <w:rFonts w:hint="eastAsia" w:asciiTheme="minorEastAsia" w:hAnsiTheme="minorEastAsia"/>
          <w:color w:val="auto"/>
          <w:sz w:val="24"/>
          <w:szCs w:val="28"/>
        </w:rPr>
        <w:t>）；</w:t>
      </w:r>
    </w:p>
    <w:p>
      <w:pPr>
        <w:pStyle w:val="21"/>
        <w:numPr>
          <w:ilvl w:val="-1"/>
          <w:numId w:val="0"/>
        </w:numPr>
        <w:tabs>
          <w:tab w:val="left" w:pos="851"/>
        </w:tabs>
        <w:spacing w:line="360" w:lineRule="auto"/>
        <w:ind w:left="567" w:firstLine="0" w:firstLineChars="0"/>
        <w:rPr>
          <w:rFonts w:asciiTheme="minorEastAsia" w:hAnsiTheme="minorEastAsia"/>
          <w:color w:val="auto"/>
          <w:sz w:val="24"/>
          <w:szCs w:val="28"/>
        </w:rPr>
      </w:pPr>
      <w:r>
        <w:rPr>
          <w:rFonts w:hint="eastAsia" w:asciiTheme="minorEastAsia" w:hAnsiTheme="minorEastAsia"/>
          <w:color w:val="auto"/>
          <w:sz w:val="24"/>
          <w:szCs w:val="28"/>
          <w:lang w:val="en-US" w:eastAsia="zh-CN"/>
        </w:rPr>
        <w:t>6.</w:t>
      </w:r>
      <w:r>
        <w:rPr>
          <w:rFonts w:hint="eastAsia" w:asciiTheme="minorEastAsia" w:hAnsiTheme="minorEastAsia"/>
          <w:color w:val="auto"/>
          <w:sz w:val="24"/>
          <w:szCs w:val="28"/>
        </w:rPr>
        <w:t>法定代表人证明书、法定代表人授权委托书原件（</w:t>
      </w:r>
      <w:r>
        <w:rPr>
          <w:rFonts w:hint="eastAsia" w:ascii="宋体" w:hAnsi="宋体"/>
          <w:color w:val="auto"/>
          <w:sz w:val="24"/>
        </w:rPr>
        <w:t>见</w:t>
      </w:r>
      <w:r>
        <w:rPr>
          <w:rFonts w:hint="eastAsia" w:ascii="宋体" w:hAnsi="宋体"/>
          <w:color w:val="auto"/>
          <w:sz w:val="24"/>
          <w:lang w:val="en-US" w:eastAsia="zh-CN"/>
        </w:rPr>
        <w:t>附件2</w:t>
      </w:r>
      <w:r>
        <w:rPr>
          <w:rFonts w:hint="eastAsia" w:ascii="宋体" w:hAnsi="宋体"/>
          <w:color w:val="auto"/>
          <w:sz w:val="24"/>
        </w:rPr>
        <w:t>格式</w:t>
      </w:r>
      <w:r>
        <w:rPr>
          <w:rFonts w:hint="eastAsia" w:ascii="宋体" w:hAnsi="宋体"/>
          <w:color w:val="auto"/>
          <w:sz w:val="24"/>
          <w:lang w:val="en-US" w:eastAsia="zh-CN"/>
        </w:rPr>
        <w:t>3</w:t>
      </w:r>
      <w:r>
        <w:rPr>
          <w:rFonts w:hint="eastAsia" w:asciiTheme="minorEastAsia" w:hAnsiTheme="minorEastAsia"/>
          <w:color w:val="auto"/>
          <w:sz w:val="24"/>
          <w:szCs w:val="28"/>
        </w:rPr>
        <w:t>）；</w:t>
      </w:r>
    </w:p>
    <w:p>
      <w:pPr>
        <w:pStyle w:val="21"/>
        <w:numPr>
          <w:ilvl w:val="-1"/>
          <w:numId w:val="0"/>
        </w:numPr>
        <w:spacing w:line="360" w:lineRule="auto"/>
        <w:ind w:left="0" w:firstLine="480" w:firstLineChars="20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8"/>
          <w:lang w:val="en-US" w:eastAsia="zh-CN"/>
        </w:rPr>
        <w:t>7.</w:t>
      </w:r>
      <w:r>
        <w:rPr>
          <w:rFonts w:hint="eastAsia" w:asciiTheme="minorEastAsia" w:hAnsiTheme="minorEastAsia"/>
          <w:color w:val="auto"/>
          <w:sz w:val="24"/>
          <w:szCs w:val="24"/>
          <w:highlight w:val="none"/>
        </w:rPr>
        <w:t>投标人具有完成</w:t>
      </w:r>
      <w:r>
        <w:rPr>
          <w:rFonts w:hint="eastAsia" w:asciiTheme="minorEastAsia" w:hAnsiTheme="minorEastAsia"/>
          <w:color w:val="auto"/>
          <w:sz w:val="24"/>
          <w:szCs w:val="24"/>
          <w:highlight w:val="none"/>
          <w:lang w:val="en-US" w:eastAsia="zh-CN"/>
        </w:rPr>
        <w:t>过</w:t>
      </w:r>
      <w:r>
        <w:rPr>
          <w:rFonts w:hint="eastAsia" w:asciiTheme="minorEastAsia" w:hAnsiTheme="minorEastAsia"/>
          <w:color w:val="auto"/>
          <w:sz w:val="24"/>
          <w:szCs w:val="24"/>
          <w:highlight w:val="none"/>
        </w:rPr>
        <w:t>区域供冷或集中供冷或蓄冷项目中央空调自控工程项目业绩，提供合同关键页复印件，包括但不限于项目名称、金额及实施内容、合同盖章、签订日期，加盖单位公章</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及其他项目业绩。</w:t>
      </w:r>
    </w:p>
    <w:p>
      <w:pPr>
        <w:pStyle w:val="21"/>
        <w:numPr>
          <w:ilvl w:val="-1"/>
          <w:numId w:val="0"/>
        </w:numPr>
        <w:tabs>
          <w:tab w:val="left" w:pos="851"/>
        </w:tabs>
        <w:spacing w:line="360" w:lineRule="auto"/>
        <w:ind w:left="0" w:firstLine="480" w:firstLineChars="200"/>
        <w:rPr>
          <w:rFonts w:asciiTheme="minorEastAsia" w:hAnsiTheme="minorEastAsia"/>
          <w:color w:val="auto"/>
          <w:sz w:val="24"/>
          <w:szCs w:val="28"/>
          <w:highlight w:val="none"/>
        </w:rPr>
      </w:pPr>
      <w:r>
        <w:rPr>
          <w:rFonts w:hint="eastAsia" w:asciiTheme="minorEastAsia" w:hAnsiTheme="minorEastAsia"/>
          <w:color w:val="auto"/>
          <w:sz w:val="24"/>
          <w:szCs w:val="28"/>
          <w:lang w:val="en-US" w:eastAsia="zh-CN"/>
        </w:rPr>
        <w:t>8.</w:t>
      </w:r>
      <w:r>
        <w:rPr>
          <w:rFonts w:hint="eastAsia" w:asciiTheme="minorEastAsia" w:hAnsiTheme="minorEastAsia"/>
          <w:color w:val="auto"/>
          <w:sz w:val="24"/>
          <w:szCs w:val="28"/>
        </w:rPr>
        <w:t>本工程拟</w:t>
      </w:r>
      <w:r>
        <w:rPr>
          <w:rFonts w:hint="eastAsia" w:asciiTheme="minorEastAsia" w:hAnsiTheme="minorEastAsia"/>
          <w:color w:val="auto"/>
          <w:sz w:val="24"/>
          <w:szCs w:val="28"/>
          <w:highlight w:val="none"/>
        </w:rPr>
        <w:t>派项目负责人简历表</w:t>
      </w:r>
      <w:r>
        <w:rPr>
          <w:rFonts w:asciiTheme="minorEastAsia" w:hAnsiTheme="minorEastAsia"/>
          <w:color w:val="auto"/>
          <w:sz w:val="24"/>
          <w:szCs w:val="28"/>
          <w:highlight w:val="none"/>
        </w:rPr>
        <w:t>（包括姓名、部门和职务、</w:t>
      </w:r>
      <w:r>
        <w:rPr>
          <w:rFonts w:hint="eastAsia" w:asciiTheme="minorEastAsia" w:hAnsiTheme="minorEastAsia"/>
          <w:color w:val="auto"/>
          <w:sz w:val="24"/>
          <w:szCs w:val="28"/>
          <w:highlight w:val="none"/>
        </w:rPr>
        <w:t>所学专业和</w:t>
      </w:r>
      <w:r>
        <w:rPr>
          <w:rFonts w:asciiTheme="minorEastAsia" w:hAnsiTheme="minorEastAsia"/>
          <w:color w:val="auto"/>
          <w:sz w:val="24"/>
          <w:szCs w:val="28"/>
          <w:highlight w:val="none"/>
        </w:rPr>
        <w:t>毕业</w:t>
      </w:r>
      <w:r>
        <w:rPr>
          <w:rFonts w:hint="eastAsia" w:asciiTheme="minorEastAsia" w:hAnsiTheme="minorEastAsia"/>
          <w:color w:val="auto"/>
          <w:sz w:val="24"/>
          <w:szCs w:val="28"/>
          <w:highlight w:val="none"/>
        </w:rPr>
        <w:t>院校名称及毕业</w:t>
      </w:r>
      <w:r>
        <w:rPr>
          <w:rFonts w:asciiTheme="minorEastAsia" w:hAnsiTheme="minorEastAsia"/>
          <w:color w:val="auto"/>
          <w:sz w:val="24"/>
          <w:szCs w:val="28"/>
          <w:highlight w:val="none"/>
        </w:rPr>
        <w:t>时间、主要资历、经验及承担过的</w:t>
      </w:r>
      <w:r>
        <w:rPr>
          <w:rFonts w:hint="eastAsia" w:asciiTheme="minorEastAsia" w:hAnsiTheme="minorEastAsia"/>
          <w:color w:val="auto"/>
          <w:sz w:val="24"/>
          <w:szCs w:val="28"/>
          <w:highlight w:val="none"/>
        </w:rPr>
        <w:t>类似</w:t>
      </w:r>
      <w:r>
        <w:rPr>
          <w:rFonts w:asciiTheme="minorEastAsia" w:hAnsiTheme="minorEastAsia"/>
          <w:color w:val="auto"/>
          <w:sz w:val="24"/>
          <w:szCs w:val="28"/>
          <w:highlight w:val="none"/>
        </w:rPr>
        <w:t>项目</w:t>
      </w:r>
      <w:r>
        <w:rPr>
          <w:rFonts w:hint="eastAsia" w:asciiTheme="minorEastAsia" w:hAnsiTheme="minorEastAsia"/>
          <w:color w:val="auto"/>
          <w:sz w:val="24"/>
          <w:szCs w:val="28"/>
          <w:highlight w:val="none"/>
        </w:rPr>
        <w:t>，</w:t>
      </w:r>
      <w:r>
        <w:rPr>
          <w:rFonts w:asciiTheme="minorEastAsia" w:hAnsiTheme="minorEastAsia"/>
          <w:color w:val="auto"/>
          <w:sz w:val="24"/>
          <w:szCs w:val="28"/>
          <w:highlight w:val="none"/>
        </w:rPr>
        <w:t>获得认证资质证书</w:t>
      </w:r>
      <w:r>
        <w:rPr>
          <w:rFonts w:hint="eastAsia" w:asciiTheme="minorEastAsia" w:hAnsiTheme="minorEastAsia"/>
          <w:color w:val="auto"/>
          <w:sz w:val="24"/>
          <w:szCs w:val="28"/>
          <w:highlight w:val="none"/>
        </w:rPr>
        <w:t>及复印件</w:t>
      </w:r>
      <w:r>
        <w:rPr>
          <w:rFonts w:asciiTheme="minorEastAsia" w:hAnsiTheme="minorEastAsia"/>
          <w:color w:val="auto"/>
          <w:sz w:val="24"/>
          <w:szCs w:val="28"/>
          <w:highlight w:val="none"/>
        </w:rPr>
        <w:t>）</w:t>
      </w:r>
      <w:r>
        <w:rPr>
          <w:rFonts w:hint="eastAsia" w:asciiTheme="minorEastAsia" w:hAnsiTheme="minorEastAsia"/>
          <w:color w:val="auto"/>
          <w:sz w:val="24"/>
          <w:szCs w:val="28"/>
          <w:highlight w:val="none"/>
        </w:rPr>
        <w:t>；</w:t>
      </w:r>
    </w:p>
    <w:p>
      <w:pPr>
        <w:pStyle w:val="21"/>
        <w:numPr>
          <w:ilvl w:val="-1"/>
          <w:numId w:val="0"/>
        </w:numPr>
        <w:tabs>
          <w:tab w:val="left" w:pos="851"/>
        </w:tabs>
        <w:spacing w:line="360" w:lineRule="auto"/>
        <w:ind w:left="0" w:firstLine="480" w:firstLineChars="200"/>
        <w:rPr>
          <w:rFonts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9.</w:t>
      </w:r>
      <w:r>
        <w:rPr>
          <w:rFonts w:hint="eastAsia" w:asciiTheme="minorEastAsia" w:hAnsiTheme="minorEastAsia"/>
          <w:color w:val="auto"/>
          <w:sz w:val="24"/>
          <w:szCs w:val="28"/>
          <w:highlight w:val="none"/>
        </w:rPr>
        <w:t>本工程拟派项目团队成员的简历表</w:t>
      </w:r>
      <w:r>
        <w:rPr>
          <w:rFonts w:asciiTheme="minorEastAsia" w:hAnsiTheme="minorEastAsia"/>
          <w:color w:val="auto"/>
          <w:sz w:val="24"/>
          <w:szCs w:val="28"/>
          <w:highlight w:val="none"/>
        </w:rPr>
        <w:t>（包括姓名、部门和职务、</w:t>
      </w:r>
      <w:r>
        <w:rPr>
          <w:rFonts w:hint="eastAsia" w:asciiTheme="minorEastAsia" w:hAnsiTheme="minorEastAsia"/>
          <w:color w:val="auto"/>
          <w:sz w:val="24"/>
          <w:szCs w:val="28"/>
          <w:highlight w:val="none"/>
        </w:rPr>
        <w:t>所学专业和</w:t>
      </w:r>
      <w:r>
        <w:rPr>
          <w:rFonts w:asciiTheme="minorEastAsia" w:hAnsiTheme="minorEastAsia"/>
          <w:color w:val="auto"/>
          <w:sz w:val="24"/>
          <w:szCs w:val="28"/>
          <w:highlight w:val="none"/>
        </w:rPr>
        <w:t>毕业</w:t>
      </w:r>
      <w:r>
        <w:rPr>
          <w:rFonts w:hint="eastAsia" w:asciiTheme="minorEastAsia" w:hAnsiTheme="minorEastAsia"/>
          <w:color w:val="auto"/>
          <w:sz w:val="24"/>
          <w:szCs w:val="28"/>
          <w:highlight w:val="none"/>
        </w:rPr>
        <w:t>院校名称及毕业</w:t>
      </w:r>
      <w:r>
        <w:rPr>
          <w:rFonts w:asciiTheme="minorEastAsia" w:hAnsiTheme="minorEastAsia"/>
          <w:color w:val="auto"/>
          <w:sz w:val="24"/>
          <w:szCs w:val="28"/>
          <w:highlight w:val="none"/>
        </w:rPr>
        <w:t>时间、主要资历、经验及承担过的</w:t>
      </w:r>
      <w:r>
        <w:rPr>
          <w:rFonts w:hint="eastAsia" w:asciiTheme="minorEastAsia" w:hAnsiTheme="minorEastAsia"/>
          <w:color w:val="auto"/>
          <w:sz w:val="24"/>
          <w:szCs w:val="28"/>
          <w:highlight w:val="none"/>
        </w:rPr>
        <w:t>类似</w:t>
      </w:r>
      <w:r>
        <w:rPr>
          <w:rFonts w:asciiTheme="minorEastAsia" w:hAnsiTheme="minorEastAsia"/>
          <w:color w:val="auto"/>
          <w:sz w:val="24"/>
          <w:szCs w:val="28"/>
          <w:highlight w:val="none"/>
        </w:rPr>
        <w:t>项目</w:t>
      </w:r>
      <w:r>
        <w:rPr>
          <w:rFonts w:hint="eastAsia" w:asciiTheme="minorEastAsia" w:hAnsiTheme="minorEastAsia"/>
          <w:color w:val="auto"/>
          <w:sz w:val="24"/>
          <w:szCs w:val="28"/>
          <w:highlight w:val="none"/>
        </w:rPr>
        <w:t>，</w:t>
      </w:r>
      <w:r>
        <w:rPr>
          <w:rFonts w:asciiTheme="minorEastAsia" w:hAnsiTheme="minorEastAsia"/>
          <w:color w:val="auto"/>
          <w:sz w:val="24"/>
          <w:szCs w:val="28"/>
          <w:highlight w:val="none"/>
        </w:rPr>
        <w:t>获得认证资质证书</w:t>
      </w:r>
      <w:r>
        <w:rPr>
          <w:rFonts w:hint="eastAsia" w:asciiTheme="minorEastAsia" w:hAnsiTheme="minorEastAsia"/>
          <w:color w:val="auto"/>
          <w:sz w:val="24"/>
          <w:szCs w:val="28"/>
          <w:highlight w:val="none"/>
        </w:rPr>
        <w:t>及复印件</w:t>
      </w:r>
      <w:r>
        <w:rPr>
          <w:rFonts w:asciiTheme="minorEastAsia" w:hAnsiTheme="minorEastAsia"/>
          <w:color w:val="auto"/>
          <w:sz w:val="24"/>
          <w:szCs w:val="28"/>
          <w:highlight w:val="none"/>
        </w:rPr>
        <w:t>）</w:t>
      </w:r>
      <w:r>
        <w:rPr>
          <w:rFonts w:hint="eastAsia" w:asciiTheme="minorEastAsia" w:hAnsiTheme="minorEastAsia"/>
          <w:color w:val="auto"/>
          <w:sz w:val="24"/>
          <w:szCs w:val="28"/>
          <w:highlight w:val="none"/>
        </w:rPr>
        <w:t>等</w:t>
      </w:r>
    </w:p>
    <w:p>
      <w:pPr>
        <w:pStyle w:val="21"/>
        <w:numPr>
          <w:ilvl w:val="-1"/>
          <w:numId w:val="0"/>
        </w:numPr>
        <w:tabs>
          <w:tab w:val="left" w:pos="851"/>
        </w:tabs>
        <w:spacing w:line="360" w:lineRule="auto"/>
        <w:ind w:left="567" w:firstLine="0" w:firstLineChars="0"/>
        <w:rPr>
          <w:rFonts w:asciiTheme="minorEastAsia" w:hAnsiTheme="minorEastAsia"/>
          <w:color w:val="auto"/>
          <w:sz w:val="24"/>
          <w:szCs w:val="28"/>
        </w:rPr>
      </w:pPr>
      <w:r>
        <w:rPr>
          <w:rFonts w:hint="eastAsia" w:asciiTheme="minorEastAsia" w:hAnsiTheme="minorEastAsia"/>
          <w:color w:val="auto"/>
          <w:sz w:val="24"/>
          <w:szCs w:val="28"/>
          <w:lang w:val="en-US" w:eastAsia="zh-CN"/>
        </w:rPr>
        <w:t>10.</w:t>
      </w:r>
      <w:r>
        <w:rPr>
          <w:rFonts w:hint="eastAsia" w:asciiTheme="minorEastAsia" w:hAnsiTheme="minorEastAsia"/>
          <w:color w:val="auto"/>
          <w:sz w:val="24"/>
          <w:szCs w:val="28"/>
        </w:rPr>
        <w:t>投标人认为有必要的其他资质等材料复印件。</w:t>
      </w:r>
    </w:p>
    <w:p>
      <w:pPr>
        <w:pStyle w:val="18"/>
        <w:numPr>
          <w:ilvl w:val="0"/>
          <w:numId w:val="8"/>
        </w:numPr>
        <w:spacing w:line="360" w:lineRule="auto"/>
        <w:ind w:firstLine="480"/>
        <w:rPr>
          <w:rFonts w:ascii="宋体" w:hAnsi="宋体"/>
          <w:color w:val="auto"/>
          <w:sz w:val="24"/>
          <w:highlight w:val="none"/>
        </w:rPr>
      </w:pPr>
      <w:r>
        <w:rPr>
          <w:rFonts w:hint="eastAsia" w:ascii="宋体" w:hAnsi="宋体"/>
          <w:color w:val="auto"/>
          <w:sz w:val="24"/>
          <w:highlight w:val="none"/>
        </w:rPr>
        <w:t>技术部分（如有，格式自定，加盖公章）</w:t>
      </w:r>
    </w:p>
    <w:p>
      <w:pPr>
        <w:pStyle w:val="18"/>
        <w:numPr>
          <w:ilvl w:val="255"/>
          <w:numId w:val="0"/>
        </w:numPr>
        <w:spacing w:line="360" w:lineRule="auto"/>
        <w:ind w:left="420" w:leftChars="200"/>
        <w:rPr>
          <w:rFonts w:ascii="宋体" w:hAnsi="宋体"/>
          <w:color w:val="auto"/>
          <w:sz w:val="24"/>
          <w:highlight w:val="none"/>
        </w:rPr>
      </w:pPr>
      <w:r>
        <w:rPr>
          <w:rFonts w:hint="eastAsia" w:ascii="宋体" w:hAnsi="宋体"/>
          <w:color w:val="auto"/>
          <w:sz w:val="24"/>
          <w:highlight w:val="none"/>
          <w:lang w:val="en-US" w:eastAsia="zh-CN"/>
        </w:rPr>
        <w:t>施工</w:t>
      </w:r>
      <w:r>
        <w:rPr>
          <w:rFonts w:hint="eastAsia" w:ascii="宋体" w:hAnsi="宋体"/>
          <w:color w:val="auto"/>
          <w:sz w:val="24"/>
          <w:highlight w:val="none"/>
        </w:rPr>
        <w:t>方案：供应商应针对本项目制定切实可行的</w:t>
      </w:r>
      <w:r>
        <w:rPr>
          <w:rFonts w:hint="eastAsia" w:ascii="宋体" w:hAnsi="宋体"/>
          <w:color w:val="auto"/>
          <w:sz w:val="24"/>
          <w:highlight w:val="none"/>
          <w:lang w:val="en-US" w:eastAsia="zh-CN"/>
        </w:rPr>
        <w:t>施工</w:t>
      </w:r>
      <w:r>
        <w:rPr>
          <w:rFonts w:hint="eastAsia" w:ascii="宋体" w:hAnsi="宋体"/>
          <w:color w:val="auto"/>
          <w:sz w:val="24"/>
          <w:highlight w:val="none"/>
        </w:rPr>
        <w:t>方案，包括但不限于：</w:t>
      </w:r>
    </w:p>
    <w:p>
      <w:pPr>
        <w:pStyle w:val="21"/>
        <w:numPr>
          <w:ilvl w:val="3"/>
          <w:numId w:val="10"/>
        </w:numPr>
        <w:spacing w:line="360" w:lineRule="auto"/>
        <w:ind w:left="0" w:firstLine="567" w:firstLineChars="0"/>
        <w:rPr>
          <w:rFonts w:ascii="宋体" w:hAnsi="宋体"/>
          <w:color w:val="auto"/>
          <w:sz w:val="24"/>
          <w:highlight w:val="none"/>
        </w:rPr>
      </w:pPr>
      <w:r>
        <w:rPr>
          <w:rFonts w:hint="eastAsia" w:ascii="宋体" w:hAnsi="宋体"/>
          <w:color w:val="auto"/>
          <w:sz w:val="24"/>
          <w:highlight w:val="none"/>
        </w:rPr>
        <w:t>总体方案；</w:t>
      </w:r>
    </w:p>
    <w:p>
      <w:pPr>
        <w:pStyle w:val="21"/>
        <w:numPr>
          <w:ilvl w:val="3"/>
          <w:numId w:val="10"/>
        </w:numPr>
        <w:spacing w:line="360" w:lineRule="auto"/>
        <w:ind w:left="0" w:firstLine="567" w:firstLineChars="0"/>
        <w:rPr>
          <w:rFonts w:ascii="宋体" w:hAnsi="宋体"/>
          <w:color w:val="auto"/>
          <w:sz w:val="24"/>
          <w:highlight w:val="none"/>
        </w:rPr>
      </w:pPr>
      <w:r>
        <w:rPr>
          <w:rFonts w:hint="eastAsia" w:ascii="宋体" w:hAnsi="宋体"/>
          <w:color w:val="auto"/>
          <w:sz w:val="24"/>
          <w:highlight w:val="none"/>
        </w:rPr>
        <w:t>项目重点和难点分析；</w:t>
      </w:r>
    </w:p>
    <w:p>
      <w:pPr>
        <w:pStyle w:val="21"/>
        <w:numPr>
          <w:ilvl w:val="3"/>
          <w:numId w:val="10"/>
        </w:numPr>
        <w:spacing w:line="360" w:lineRule="auto"/>
        <w:ind w:left="0" w:firstLine="567" w:firstLineChars="0"/>
        <w:rPr>
          <w:rFonts w:ascii="宋体" w:hAnsi="宋体"/>
          <w:color w:val="auto"/>
          <w:sz w:val="24"/>
          <w:highlight w:val="none"/>
        </w:rPr>
      </w:pPr>
      <w:r>
        <w:rPr>
          <w:rFonts w:hint="eastAsia" w:ascii="宋体" w:hAnsi="宋体"/>
          <w:color w:val="auto"/>
          <w:sz w:val="24"/>
          <w:highlight w:val="none"/>
        </w:rPr>
        <w:t>技术深度及硬指标（方案</w:t>
      </w:r>
      <w:r>
        <w:rPr>
          <w:rFonts w:hint="eastAsia" w:ascii="宋体" w:hAnsi="宋体"/>
          <w:color w:val="auto"/>
          <w:sz w:val="24"/>
          <w:highlight w:val="none"/>
          <w:lang w:val="en-US" w:eastAsia="zh-CN"/>
        </w:rPr>
        <w:t>中</w:t>
      </w:r>
      <w:r>
        <w:rPr>
          <w:rFonts w:hint="eastAsia" w:ascii="宋体" w:hAnsi="宋体"/>
          <w:color w:val="auto"/>
          <w:sz w:val="24"/>
          <w:highlight w:val="none"/>
        </w:rPr>
        <w:t>关于系统架构与设计深度、控制系统安全性及可靠性、参数相应与符合度的要求）；</w:t>
      </w:r>
    </w:p>
    <w:p>
      <w:pPr>
        <w:pStyle w:val="21"/>
        <w:numPr>
          <w:ilvl w:val="3"/>
          <w:numId w:val="10"/>
        </w:numPr>
        <w:spacing w:line="360" w:lineRule="auto"/>
        <w:ind w:left="0" w:firstLine="567" w:firstLineChars="0"/>
        <w:rPr>
          <w:rFonts w:ascii="宋体" w:hAnsi="宋体"/>
          <w:color w:val="auto"/>
          <w:sz w:val="24"/>
          <w:highlight w:val="none"/>
        </w:rPr>
      </w:pPr>
      <w:r>
        <w:rPr>
          <w:rFonts w:hint="eastAsia" w:ascii="宋体" w:hAnsi="宋体"/>
          <w:color w:val="auto"/>
          <w:sz w:val="24"/>
          <w:highlight w:val="none"/>
        </w:rPr>
        <w:t>服务的质量与进度保证措施（提出针对本项目提供优质的服务计划及技术支持，其他措施自拟）；</w:t>
      </w:r>
    </w:p>
    <w:p>
      <w:pPr>
        <w:pStyle w:val="21"/>
        <w:numPr>
          <w:ilvl w:val="3"/>
          <w:numId w:val="10"/>
        </w:numPr>
        <w:spacing w:line="360" w:lineRule="auto"/>
        <w:ind w:left="0" w:firstLine="567" w:firstLineChars="0"/>
        <w:rPr>
          <w:rFonts w:ascii="宋体" w:hAnsi="宋体"/>
          <w:color w:val="auto"/>
          <w:sz w:val="24"/>
          <w:highlight w:val="none"/>
        </w:rPr>
      </w:pPr>
      <w:r>
        <w:rPr>
          <w:rFonts w:hint="eastAsia" w:ascii="宋体" w:hAnsi="宋体"/>
          <w:color w:val="auto"/>
          <w:sz w:val="24"/>
          <w:highlight w:val="none"/>
        </w:rPr>
        <w:t>投标人认为其它需要说明的文字。</w:t>
      </w:r>
    </w:p>
    <w:p>
      <w:pPr>
        <w:numPr>
          <w:ilvl w:val="0"/>
          <w:numId w:val="11"/>
        </w:numPr>
        <w:spacing w:line="360" w:lineRule="auto"/>
        <w:ind w:firstLine="482" w:firstLineChars="200"/>
        <w:rPr>
          <w:rFonts w:hint="eastAsia" w:ascii="宋体" w:hAnsi="宋体"/>
          <w:b/>
          <w:color w:val="auto"/>
          <w:sz w:val="24"/>
          <w:lang w:val="en-US" w:eastAsia="zh-CN"/>
        </w:rPr>
      </w:pPr>
      <w:r>
        <w:rPr>
          <w:rFonts w:hint="eastAsia" w:ascii="宋体" w:hAnsi="宋体"/>
          <w:b/>
          <w:color w:val="auto"/>
          <w:sz w:val="24"/>
          <w:lang w:val="en-US" w:eastAsia="zh-CN"/>
        </w:rPr>
        <w:t>特别注意</w:t>
      </w:r>
    </w:p>
    <w:p>
      <w:pPr>
        <w:tabs>
          <w:tab w:val="left" w:pos="540"/>
          <w:tab w:val="left" w:pos="720"/>
        </w:tabs>
        <w:spacing w:before="120" w:beforeLines="50" w:after="120" w:afterLines="50" w:line="360" w:lineRule="auto"/>
        <w:ind w:left="425" w:firstLine="480" w:firstLineChars="200"/>
        <w:rPr>
          <w:bCs/>
          <w:color w:val="auto"/>
          <w:sz w:val="24"/>
          <w:szCs w:val="24"/>
        </w:rPr>
      </w:pPr>
      <w:bookmarkStart w:id="0" w:name="OLE_LINK2"/>
      <w:r>
        <w:rPr>
          <w:rFonts w:hint="eastAsia"/>
          <w:bCs/>
          <w:color w:val="auto"/>
          <w:sz w:val="24"/>
          <w:szCs w:val="24"/>
        </w:rPr>
        <w:t>（一）本项目公告未明确事项，按采购文件执行。供应商响应报价即为认同本项目所有文件中的约定，本项目报价文件为采购方免费提供，无论成交与否，均默认授权由采购方自行处理，不作退回。</w:t>
      </w:r>
    </w:p>
    <w:p>
      <w:pPr>
        <w:tabs>
          <w:tab w:val="left" w:pos="540"/>
          <w:tab w:val="left" w:pos="720"/>
        </w:tabs>
        <w:spacing w:before="120" w:beforeLines="50" w:after="120" w:afterLines="50" w:line="360" w:lineRule="auto"/>
        <w:ind w:left="425" w:firstLine="480" w:firstLineChars="200"/>
        <w:rPr>
          <w:bCs/>
          <w:color w:val="auto"/>
          <w:sz w:val="24"/>
          <w:szCs w:val="24"/>
        </w:rPr>
      </w:pPr>
      <w:r>
        <w:rPr>
          <w:rFonts w:hint="eastAsia"/>
          <w:bCs/>
          <w:color w:val="auto"/>
          <w:sz w:val="24"/>
          <w:szCs w:val="24"/>
        </w:rPr>
        <w:t>（二）供应商之间不得与同一个第三人存在关联关系，如存在关联关系，则投标无效。如果发现供应商存在围标、串标等违法情形，将列入采购黑名单，不得参与采购人的采购项目。</w:t>
      </w:r>
    </w:p>
    <w:p>
      <w:pPr>
        <w:tabs>
          <w:tab w:val="left" w:pos="540"/>
          <w:tab w:val="left" w:pos="720"/>
        </w:tabs>
        <w:spacing w:before="120" w:beforeLines="50" w:after="120" w:afterLines="50" w:line="360" w:lineRule="auto"/>
        <w:ind w:left="425" w:firstLine="480" w:firstLineChars="200"/>
        <w:rPr>
          <w:bCs/>
          <w:color w:val="auto"/>
          <w:sz w:val="24"/>
          <w:szCs w:val="24"/>
        </w:rPr>
      </w:pPr>
      <w:r>
        <w:rPr>
          <w:rFonts w:hint="eastAsia"/>
          <w:bCs/>
          <w:color w:val="auto"/>
          <w:sz w:val="24"/>
          <w:szCs w:val="24"/>
        </w:rPr>
        <w:t>（三）采购项目若存在项目调整或计划变动，采购人有权单方面终止采购。</w:t>
      </w:r>
    </w:p>
    <w:p>
      <w:pPr>
        <w:tabs>
          <w:tab w:val="left" w:pos="540"/>
          <w:tab w:val="left" w:pos="720"/>
        </w:tabs>
        <w:spacing w:before="120" w:beforeLines="50" w:after="120" w:afterLines="50" w:line="360" w:lineRule="auto"/>
        <w:ind w:left="425" w:firstLine="480" w:firstLineChars="200"/>
        <w:rPr>
          <w:rFonts w:hint="eastAsia" w:ascii="宋体" w:hAnsi="宋体"/>
          <w:b/>
          <w:color w:val="auto"/>
          <w:sz w:val="24"/>
          <w:lang w:val="en-US" w:eastAsia="zh-CN"/>
        </w:rPr>
      </w:pPr>
      <w:r>
        <w:rPr>
          <w:rFonts w:hint="eastAsia"/>
          <w:bCs/>
          <w:color w:val="auto"/>
          <w:sz w:val="24"/>
          <w:szCs w:val="24"/>
        </w:rPr>
        <w:t>（四）</w:t>
      </w:r>
      <w:r>
        <w:rPr>
          <w:rFonts w:hint="eastAsia" w:ascii="宋体" w:hAnsi="宋体"/>
          <w:color w:val="auto"/>
          <w:sz w:val="24"/>
          <w:szCs w:val="24"/>
        </w:rPr>
        <w:t>如乙方所提供的服务未达甲方要求的，甲方书面提出整改通知，乙方未按要求及时整改或未达整改要求的属于违约行为，甲方有权单方面终止合同，由此造成甲方经济损失的，乙方应给予赔偿</w:t>
      </w:r>
      <w:bookmarkEnd w:id="0"/>
      <w:r>
        <w:rPr>
          <w:rFonts w:hint="eastAsia" w:ascii="宋体" w:hAnsi="宋体"/>
          <w:color w:val="auto"/>
          <w:sz w:val="24"/>
          <w:szCs w:val="24"/>
        </w:rPr>
        <w:t>。</w:t>
      </w:r>
    </w:p>
    <w:p>
      <w:pPr>
        <w:numPr>
          <w:ilvl w:val="-1"/>
          <w:numId w:val="0"/>
        </w:numPr>
        <w:spacing w:line="360" w:lineRule="auto"/>
        <w:ind w:firstLine="482" w:firstLineChars="200"/>
        <w:rPr>
          <w:rFonts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评标方法：</w:t>
      </w:r>
    </w:p>
    <w:p>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rPr>
        <w:t>本项目采用综合评</w:t>
      </w:r>
      <w:r>
        <w:rPr>
          <w:rFonts w:hint="eastAsia" w:ascii="宋体" w:hAnsi="宋体"/>
          <w:color w:val="auto"/>
          <w:sz w:val="24"/>
          <w:lang w:val="en-US" w:eastAsia="zh-CN"/>
        </w:rPr>
        <w:t>分</w:t>
      </w:r>
      <w:r>
        <w:rPr>
          <w:rFonts w:hint="eastAsia" w:ascii="宋体" w:hAnsi="宋体"/>
          <w:color w:val="auto"/>
          <w:sz w:val="24"/>
        </w:rPr>
        <w:t>法</w:t>
      </w:r>
      <w:r>
        <w:rPr>
          <w:rFonts w:hint="eastAsia" w:ascii="宋体" w:hAnsi="宋体"/>
          <w:color w:val="auto"/>
          <w:sz w:val="24"/>
          <w:highlight w:val="none"/>
        </w:rPr>
        <w:t>，对投标人进行价格、商务</w:t>
      </w:r>
      <w:r>
        <w:rPr>
          <w:rFonts w:hint="eastAsia" w:ascii="宋体" w:hAnsi="宋体"/>
          <w:color w:val="auto"/>
          <w:sz w:val="24"/>
          <w:highlight w:val="none"/>
          <w:lang w:val="en-US" w:eastAsia="zh-CN"/>
        </w:rPr>
        <w:t>和</w:t>
      </w:r>
      <w:r>
        <w:rPr>
          <w:rFonts w:hint="eastAsia" w:ascii="宋体" w:hAnsi="宋体"/>
          <w:color w:val="auto"/>
          <w:sz w:val="24"/>
          <w:highlight w:val="none"/>
        </w:rPr>
        <w:t>技术评审，其中价格评审部分占</w:t>
      </w:r>
      <w:r>
        <w:rPr>
          <w:rFonts w:hint="eastAsia" w:ascii="宋体" w:hAnsi="宋体"/>
          <w:color w:val="auto"/>
          <w:sz w:val="24"/>
          <w:highlight w:val="none"/>
          <w:lang w:val="en-US" w:eastAsia="zh-CN"/>
        </w:rPr>
        <w:t>5</w:t>
      </w:r>
      <w:r>
        <w:rPr>
          <w:rFonts w:hint="eastAsia" w:ascii="宋体" w:hAnsi="宋体"/>
          <w:color w:val="auto"/>
          <w:sz w:val="24"/>
          <w:highlight w:val="none"/>
        </w:rPr>
        <w:t>0%，商务评审部分占</w:t>
      </w:r>
      <w:r>
        <w:rPr>
          <w:rFonts w:hint="eastAsia" w:ascii="宋体" w:hAnsi="宋体"/>
          <w:color w:val="auto"/>
          <w:sz w:val="24"/>
          <w:highlight w:val="none"/>
          <w:lang w:val="en-US" w:eastAsia="zh-CN"/>
        </w:rPr>
        <w:t>30</w:t>
      </w:r>
      <w:r>
        <w:rPr>
          <w:rFonts w:hint="eastAsia" w:ascii="宋体" w:hAnsi="宋体"/>
          <w:color w:val="auto"/>
          <w:sz w:val="24"/>
          <w:highlight w:val="none"/>
        </w:rPr>
        <w:t>%，技术评审占</w:t>
      </w:r>
      <w:r>
        <w:rPr>
          <w:rFonts w:hint="eastAsia" w:ascii="宋体" w:hAnsi="宋体"/>
          <w:color w:val="auto"/>
          <w:sz w:val="24"/>
          <w:highlight w:val="none"/>
          <w:lang w:val="en-US" w:eastAsia="zh-CN"/>
        </w:rPr>
        <w:t>20</w:t>
      </w:r>
      <w:r>
        <w:rPr>
          <w:rFonts w:hint="eastAsia" w:ascii="宋体" w:hAnsi="宋体"/>
          <w:color w:val="auto"/>
          <w:sz w:val="24"/>
          <w:highlight w:val="none"/>
        </w:rPr>
        <w:t>%，</w:t>
      </w:r>
      <w:r>
        <w:rPr>
          <w:rFonts w:hint="eastAsia" w:ascii="宋体" w:hAnsi="宋体"/>
          <w:color w:val="auto"/>
          <w:sz w:val="24"/>
        </w:rPr>
        <w:t>投标人评审得分=价格得分+商务得分+技术得分，评分标准见</w:t>
      </w:r>
      <w:r>
        <w:rPr>
          <w:rFonts w:hint="eastAsia" w:ascii="宋体" w:hAnsi="宋体"/>
          <w:color w:val="auto"/>
          <w:sz w:val="24"/>
          <w:lang w:val="en-US" w:eastAsia="zh-CN"/>
        </w:rPr>
        <w:t>附件3</w:t>
      </w:r>
      <w:r>
        <w:rPr>
          <w:rFonts w:hint="eastAsia" w:ascii="宋体" w:hAnsi="宋体"/>
          <w:color w:val="auto"/>
          <w:sz w:val="24"/>
        </w:rPr>
        <w:t>。同时通过投标人资格及有效性审查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numPr>
          <w:ilvl w:val="-1"/>
          <w:numId w:val="0"/>
        </w:numPr>
        <w:spacing w:line="360" w:lineRule="auto"/>
        <w:ind w:firstLine="420" w:firstLineChars="200"/>
        <w:rPr>
          <w:rFonts w:ascii="宋体" w:hAnsi="宋体"/>
          <w:color w:val="auto"/>
          <w:sz w:val="24"/>
          <w:szCs w:val="24"/>
        </w:rPr>
      </w:pPr>
      <w:r>
        <w:rPr>
          <w:rFonts w:hint="eastAsia"/>
          <w:color w:val="auto"/>
          <w:lang w:val="en-US" w:eastAsia="zh-CN"/>
        </w:rPr>
        <w:t xml:space="preserve">（二） </w:t>
      </w:r>
      <w:r>
        <w:rPr>
          <w:rFonts w:hint="eastAsia" w:ascii="宋体" w:hAnsi="宋体"/>
          <w:color w:val="auto"/>
          <w:sz w:val="24"/>
          <w:szCs w:val="24"/>
        </w:rPr>
        <w:t>采购人不对未成交人就评标过程以及未能成交原因作出任何解释。未成交人不得向评标委员会组成人员或其他有关人员索问评标过程的情况和材料。</w:t>
      </w:r>
    </w:p>
    <w:p>
      <w:pPr>
        <w:numPr>
          <w:ilvl w:val="-1"/>
          <w:numId w:val="0"/>
        </w:num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三</w:t>
      </w:r>
      <w:r>
        <w:rPr>
          <w:rFonts w:hint="eastAsia" w:ascii="宋体" w:hAnsi="宋体"/>
          <w:color w:val="auto"/>
          <w:sz w:val="24"/>
          <w:szCs w:val="24"/>
          <w:lang w:eastAsia="zh-CN"/>
        </w:rPr>
        <w:t>）</w:t>
      </w:r>
      <w:r>
        <w:rPr>
          <w:rFonts w:hint="eastAsia" w:ascii="宋体" w:hAnsi="宋体"/>
          <w:color w:val="auto"/>
          <w:sz w:val="24"/>
          <w:szCs w:val="24"/>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pStyle w:val="4"/>
        <w:rPr>
          <w:color w:val="auto"/>
          <w:sz w:val="24"/>
        </w:rPr>
      </w:pPr>
      <w:r>
        <w:rPr>
          <w:rFonts w:hint="eastAsia" w:ascii="宋体" w:hAnsi="宋体"/>
          <w:color w:val="auto"/>
          <w:sz w:val="24"/>
          <w:szCs w:val="24"/>
        </w:rPr>
        <w:t xml:space="preserve">     （四）成交方式：收到我司通知单位为成交单位，无收到通知单位为未成交单位。</w:t>
      </w:r>
    </w:p>
    <w:p>
      <w:pPr>
        <w:pStyle w:val="4"/>
        <w:rPr>
          <w:rFonts w:hint="default" w:eastAsiaTheme="minorEastAsia"/>
          <w:color w:val="auto"/>
          <w:lang w:val="en-US" w:eastAsia="zh-CN"/>
        </w:rPr>
      </w:pPr>
    </w:p>
    <w:p>
      <w:pPr>
        <w:spacing w:line="360" w:lineRule="auto"/>
        <w:ind w:firstLine="482" w:firstLineChars="200"/>
        <w:rPr>
          <w:rFonts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、递交投标文件</w:t>
      </w:r>
    </w:p>
    <w:p>
      <w:pPr>
        <w:pStyle w:val="21"/>
        <w:numPr>
          <w:ilvl w:val="2"/>
          <w:numId w:val="12"/>
        </w:numPr>
        <w:spacing w:line="360" w:lineRule="auto"/>
        <w:ind w:left="0" w:firstLine="480" w:firstLineChars="0"/>
        <w:rPr>
          <w:rFonts w:ascii="宋体" w:hAnsi="宋体" w:eastAsia="宋体" w:cs="宋体"/>
          <w:color w:val="auto"/>
          <w:sz w:val="24"/>
        </w:rPr>
      </w:pPr>
      <w:r>
        <w:rPr>
          <w:rFonts w:hint="eastAsia" w:ascii="宋体" w:hAnsi="宋体" w:eastAsia="宋体" w:cs="宋体"/>
          <w:color w:val="auto"/>
          <w:sz w:val="24"/>
        </w:rPr>
        <w:t>投标文件纸质文件一式一份。纸质文件递交截止时间：</w:t>
      </w:r>
      <w:r>
        <w:rPr>
          <w:rFonts w:hint="eastAsia" w:ascii="宋体" w:hAnsi="宋体" w:eastAsia="宋体" w:cs="宋体"/>
          <w:color w:val="FF0000"/>
          <w:sz w:val="24"/>
        </w:rPr>
        <w:t>202</w:t>
      </w:r>
      <w:r>
        <w:rPr>
          <w:rFonts w:hint="eastAsia" w:ascii="宋体" w:hAnsi="宋体" w:eastAsia="宋体" w:cs="宋体"/>
          <w:color w:val="FF0000"/>
          <w:sz w:val="24"/>
          <w:lang w:val="en-US" w:eastAsia="zh-CN"/>
        </w:rPr>
        <w:t>5</w:t>
      </w:r>
      <w:r>
        <w:rPr>
          <w:rFonts w:hint="eastAsia" w:ascii="宋体" w:hAnsi="宋体" w:eastAsia="宋体" w:cs="宋体"/>
          <w:color w:val="FF0000"/>
          <w:sz w:val="24"/>
        </w:rPr>
        <w:t>年</w:t>
      </w:r>
      <w:r>
        <w:rPr>
          <w:rFonts w:hint="eastAsia" w:ascii="宋体" w:hAnsi="宋体" w:eastAsia="宋体" w:cs="宋体"/>
          <w:color w:val="FF0000"/>
          <w:sz w:val="24"/>
          <w:lang w:val="en-US" w:eastAsia="zh-CN"/>
        </w:rPr>
        <w:t>11</w:t>
      </w:r>
      <w:r>
        <w:rPr>
          <w:rFonts w:hint="eastAsia" w:ascii="宋体" w:hAnsi="宋体" w:eastAsia="宋体" w:cs="宋体"/>
          <w:color w:val="FF0000"/>
          <w:sz w:val="24"/>
        </w:rPr>
        <w:t>月</w:t>
      </w:r>
      <w:r>
        <w:rPr>
          <w:rFonts w:hint="eastAsia" w:ascii="宋体" w:hAnsi="宋体" w:eastAsia="宋体" w:cs="宋体"/>
          <w:color w:val="FF0000"/>
          <w:sz w:val="24"/>
          <w:lang w:val="en-US" w:eastAsia="zh-CN"/>
        </w:rPr>
        <w:t>26</w:t>
      </w:r>
      <w:r>
        <w:rPr>
          <w:rFonts w:hint="eastAsia" w:ascii="宋体" w:hAnsi="宋体" w:eastAsia="宋体" w:cs="宋体"/>
          <w:color w:val="FF0000"/>
          <w:sz w:val="24"/>
        </w:rPr>
        <w:t>日</w:t>
      </w:r>
      <w:r>
        <w:rPr>
          <w:rFonts w:hint="eastAsia" w:ascii="宋体" w:hAnsi="宋体" w:eastAsia="宋体" w:cs="宋体"/>
          <w:color w:val="FF0000"/>
          <w:sz w:val="24"/>
          <w:lang w:val="en-US" w:eastAsia="zh-CN"/>
        </w:rPr>
        <w:t>16</w:t>
      </w:r>
      <w:r>
        <w:rPr>
          <w:rFonts w:hint="eastAsia" w:ascii="宋体" w:hAnsi="宋体" w:eastAsia="宋体" w:cs="宋体"/>
          <w:color w:val="FF0000"/>
          <w:sz w:val="24"/>
        </w:rPr>
        <w:t>时0分前</w:t>
      </w:r>
      <w:r>
        <w:rPr>
          <w:rFonts w:hint="eastAsia" w:ascii="宋体" w:hAnsi="宋体" w:eastAsia="宋体" w:cs="宋体"/>
          <w:color w:val="auto"/>
          <w:sz w:val="24"/>
        </w:rPr>
        <w:t>。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auto"/>
          <w:sz w:val="24"/>
          <w:u w:val="single"/>
          <w:lang w:eastAsia="zh-CN"/>
        </w:rPr>
        <w:t>智慧运维与节能降耗的冷站控制系统的数字化研究与开发项目</w:t>
      </w:r>
      <w:r>
        <w:rPr>
          <w:rFonts w:hint="eastAsia" w:ascii="宋体" w:hAnsi="宋体" w:eastAsia="宋体" w:cs="宋体"/>
          <w:color w:val="auto"/>
          <w:sz w:val="24"/>
        </w:rPr>
        <w:t>”字样。投标供应商递交投标文件后，请联系采购人确认。</w:t>
      </w:r>
    </w:p>
    <w:p>
      <w:pPr>
        <w:pStyle w:val="21"/>
        <w:numPr>
          <w:ilvl w:val="2"/>
          <w:numId w:val="12"/>
        </w:numPr>
        <w:spacing w:line="360" w:lineRule="auto"/>
        <w:ind w:left="0" w:firstLine="480" w:firstLineChars="0"/>
        <w:rPr>
          <w:rFonts w:ascii="宋体" w:hAnsi="宋体"/>
          <w:color w:val="auto"/>
          <w:sz w:val="24"/>
        </w:rPr>
      </w:pPr>
      <w:r>
        <w:rPr>
          <w:rFonts w:hint="eastAsia" w:ascii="宋体" w:hAnsi="宋体"/>
          <w:color w:val="auto"/>
          <w:sz w:val="24"/>
        </w:rPr>
        <w:t>投标文件逾期递交、未送达指定地点的、或未按要求密封的，采购人有权不予受理。</w:t>
      </w:r>
    </w:p>
    <w:p>
      <w:pPr>
        <w:spacing w:line="360" w:lineRule="auto"/>
        <w:ind w:firstLine="482" w:firstLineChars="200"/>
        <w:rPr>
          <w:rFonts w:ascii="宋体" w:hAnsi="宋体"/>
          <w:b/>
          <w:color w:val="auto"/>
          <w:sz w:val="24"/>
        </w:rPr>
      </w:pPr>
      <w:r>
        <w:rPr>
          <w:rFonts w:hint="eastAsia" w:ascii="宋体" w:hAnsi="宋体"/>
          <w:b/>
          <w:color w:val="auto"/>
          <w:sz w:val="24"/>
          <w:lang w:val="en-US" w:eastAsia="zh-CN"/>
        </w:rPr>
        <w:t>九</w:t>
      </w:r>
      <w:r>
        <w:rPr>
          <w:rFonts w:hint="eastAsia" w:ascii="宋体" w:hAnsi="宋体"/>
          <w:b/>
          <w:color w:val="auto"/>
          <w:sz w:val="24"/>
        </w:rPr>
        <w:t>、竞选文件公示</w:t>
      </w:r>
    </w:p>
    <w:p>
      <w:pPr>
        <w:spacing w:line="360" w:lineRule="auto"/>
        <w:ind w:firstLine="480" w:firstLineChars="200"/>
        <w:rPr>
          <w:rFonts w:cs="Arial" w:asciiTheme="minorEastAsia" w:hAnsiTheme="minorEastAsia"/>
          <w:color w:val="auto"/>
          <w:sz w:val="24"/>
        </w:rPr>
      </w:pPr>
      <w:r>
        <w:rPr>
          <w:rFonts w:hint="eastAsia" w:cs="Arial" w:asciiTheme="minorEastAsia" w:hAnsiTheme="minorEastAsia"/>
          <w:color w:val="auto"/>
          <w:sz w:val="24"/>
        </w:rPr>
        <w:t>本竞选文件</w:t>
      </w:r>
      <w:r>
        <w:rPr>
          <w:rFonts w:hint="eastAsia" w:asciiTheme="minorEastAsia" w:hAnsiTheme="minorEastAsia"/>
          <w:color w:val="auto"/>
          <w:sz w:val="24"/>
        </w:rPr>
        <w:t>在广州国企阳光采购服务平台（http://ygcg.gzggzy.cn）、</w:t>
      </w:r>
      <w:r>
        <w:rPr>
          <w:rFonts w:hint="eastAsia" w:cs="Arial" w:asciiTheme="minorEastAsia" w:hAnsiTheme="minorEastAsia"/>
          <w:color w:val="auto"/>
          <w:sz w:val="24"/>
        </w:rPr>
        <w:t>广州城投综合能源投资经营管理有限公司网站（网址：</w:t>
      </w:r>
      <w:r>
        <w:rPr>
          <w:rFonts w:cs="Arial" w:asciiTheme="minorEastAsia" w:hAnsiTheme="minorEastAsia"/>
          <w:color w:val="auto"/>
          <w:sz w:val="24"/>
        </w:rPr>
        <w:t>https://www.gzuci.com/</w:t>
      </w:r>
      <w:r>
        <w:rPr>
          <w:rFonts w:hint="eastAsia" w:cs="Arial" w:asciiTheme="minorEastAsia" w:hAnsiTheme="minorEastAsia"/>
          <w:color w:val="auto"/>
          <w:sz w:val="24"/>
        </w:rPr>
        <w:t>）同时发布。本竞选文件在各媒体发布的文本如有不同之处，以在广州城投综合能源投资经营管理有限公司网站发布的文本为准。</w:t>
      </w:r>
    </w:p>
    <w:p>
      <w:pPr>
        <w:spacing w:line="360" w:lineRule="auto"/>
        <w:ind w:firstLine="482" w:firstLineChars="200"/>
        <w:rPr>
          <w:rFonts w:ascii="宋体" w:hAnsi="宋体"/>
          <w:b/>
          <w:color w:val="auto"/>
          <w:sz w:val="24"/>
        </w:rPr>
      </w:pPr>
      <w:r>
        <w:rPr>
          <w:rFonts w:hint="eastAsia" w:ascii="宋体" w:hAnsi="宋体"/>
          <w:b/>
          <w:color w:val="auto"/>
          <w:sz w:val="24"/>
          <w:lang w:val="en-US" w:eastAsia="zh-CN"/>
        </w:rPr>
        <w:t>十</w:t>
      </w:r>
      <w:r>
        <w:rPr>
          <w:rFonts w:hint="eastAsia" w:ascii="宋体" w:hAnsi="宋体"/>
          <w:b/>
          <w:color w:val="auto"/>
          <w:sz w:val="24"/>
        </w:rPr>
        <w:t>、采购人地址和联系方式</w:t>
      </w:r>
    </w:p>
    <w:p>
      <w:pPr>
        <w:pStyle w:val="21"/>
        <w:numPr>
          <w:ilvl w:val="0"/>
          <w:numId w:val="13"/>
        </w:numPr>
        <w:spacing w:line="360" w:lineRule="auto"/>
        <w:ind w:firstLineChars="0"/>
        <w:rPr>
          <w:rFonts w:ascii="宋体" w:hAnsi="宋体"/>
          <w:color w:val="auto"/>
          <w:sz w:val="24"/>
        </w:rPr>
      </w:pPr>
      <w:r>
        <w:rPr>
          <w:rFonts w:hint="eastAsia" w:ascii="宋体" w:hAnsi="宋体"/>
          <w:color w:val="auto"/>
          <w:sz w:val="24"/>
        </w:rPr>
        <w:t>采购单位：广州城投综合能源投资经营管理有限公司</w:t>
      </w:r>
    </w:p>
    <w:p>
      <w:pPr>
        <w:pStyle w:val="21"/>
        <w:numPr>
          <w:ilvl w:val="0"/>
          <w:numId w:val="13"/>
        </w:numPr>
        <w:spacing w:line="360" w:lineRule="auto"/>
        <w:ind w:firstLineChars="0"/>
        <w:rPr>
          <w:rFonts w:ascii="宋体" w:hAnsi="宋体"/>
          <w:color w:val="auto"/>
          <w:sz w:val="24"/>
        </w:rPr>
      </w:pPr>
      <w:r>
        <w:rPr>
          <w:rFonts w:hint="eastAsia" w:ascii="宋体" w:hAnsi="宋体"/>
          <w:color w:val="auto"/>
          <w:sz w:val="24"/>
        </w:rPr>
        <w:t>联系地址：广州市番禺区大学城明志街1号信息枢纽楼9楼</w:t>
      </w:r>
    </w:p>
    <w:p>
      <w:pPr>
        <w:pStyle w:val="18"/>
        <w:numPr>
          <w:ilvl w:val="0"/>
          <w:numId w:val="13"/>
        </w:numPr>
        <w:spacing w:line="360" w:lineRule="auto"/>
        <w:ind w:left="0" w:firstLine="480" w:firstLineChars="0"/>
        <w:rPr>
          <w:rFonts w:ascii="宋体" w:hAnsi="宋体"/>
          <w:color w:val="auto"/>
          <w:sz w:val="24"/>
        </w:rPr>
      </w:pPr>
      <w:r>
        <w:rPr>
          <w:rFonts w:hint="eastAsia" w:ascii="宋体" w:hAnsi="宋体"/>
          <w:color w:val="auto"/>
          <w:sz w:val="24"/>
        </w:rPr>
        <w:t>联系人：詹工 ，联系电话：</w:t>
      </w:r>
      <w:r>
        <w:rPr>
          <w:rFonts w:hint="eastAsia" w:ascii="宋体" w:hAnsi="宋体"/>
          <w:color w:val="auto"/>
          <w:sz w:val="24"/>
          <w:lang w:val="en-US" w:eastAsia="zh-CN"/>
        </w:rPr>
        <w:t>13928878915</w:t>
      </w:r>
      <w:r>
        <w:rPr>
          <w:rFonts w:hint="eastAsia" w:ascii="宋体" w:hAnsi="宋体"/>
          <w:color w:val="auto"/>
          <w:sz w:val="24"/>
        </w:rPr>
        <w:t>，电子邮件：328062345@qq.com</w:t>
      </w:r>
    </w:p>
    <w:p>
      <w:pPr>
        <w:spacing w:before="120" w:beforeLines="50" w:after="120" w:afterLines="50" w:line="360" w:lineRule="auto"/>
        <w:ind w:firstLine="480" w:firstLineChars="200"/>
        <w:rPr>
          <w:rFonts w:hint="default" w:ascii="宋体" w:hAnsi="宋体" w:cs="Arial" w:eastAsiaTheme="minorEastAsia"/>
          <w:color w:val="auto"/>
          <w:sz w:val="24"/>
          <w:szCs w:val="24"/>
          <w:lang w:val="en-US" w:eastAsia="zh-CN"/>
        </w:rPr>
      </w:pPr>
      <w:r>
        <w:rPr>
          <w:rFonts w:hint="eastAsia" w:ascii="宋体" w:hAnsi="宋体" w:cs="Arial"/>
          <w:color w:val="auto"/>
          <w:sz w:val="24"/>
          <w:szCs w:val="24"/>
        </w:rPr>
        <w:t>附件1：</w:t>
      </w:r>
      <w:r>
        <w:rPr>
          <w:rFonts w:hint="eastAsia" w:ascii="宋体" w:hAnsi="宋体" w:cs="Arial"/>
          <w:color w:val="auto"/>
          <w:sz w:val="24"/>
          <w:szCs w:val="24"/>
          <w:lang w:val="en-US" w:eastAsia="zh-CN"/>
        </w:rPr>
        <w:t>采购需求</w:t>
      </w:r>
    </w:p>
    <w:p>
      <w:pPr>
        <w:spacing w:before="120" w:beforeLines="50" w:after="120" w:afterLines="50" w:line="360" w:lineRule="auto"/>
        <w:ind w:firstLine="480" w:firstLineChars="200"/>
        <w:rPr>
          <w:rFonts w:ascii="宋体" w:hAnsi="宋体" w:cs="Arial"/>
          <w:color w:val="auto"/>
          <w:sz w:val="24"/>
          <w:szCs w:val="24"/>
        </w:rPr>
      </w:pPr>
      <w:r>
        <w:rPr>
          <w:rFonts w:hint="eastAsia" w:ascii="宋体" w:hAnsi="宋体" w:cs="Arial"/>
          <w:color w:val="auto"/>
          <w:sz w:val="24"/>
          <w:szCs w:val="24"/>
          <w:lang w:val="en-US" w:eastAsia="zh-CN"/>
        </w:rPr>
        <w:t>附件2：</w:t>
      </w:r>
      <w:r>
        <w:rPr>
          <w:rFonts w:hint="eastAsia" w:ascii="宋体" w:hAnsi="宋体" w:cs="Arial"/>
          <w:color w:val="auto"/>
          <w:sz w:val="24"/>
          <w:szCs w:val="24"/>
        </w:rPr>
        <w:t>投标文件目录及格式要求</w:t>
      </w:r>
    </w:p>
    <w:p>
      <w:pPr>
        <w:spacing w:before="120" w:beforeLines="50" w:after="120" w:afterLines="50" w:line="360" w:lineRule="auto"/>
        <w:ind w:firstLine="480" w:firstLineChars="200"/>
        <w:rPr>
          <w:rFonts w:ascii="宋体" w:hAnsi="宋体" w:cs="Arial"/>
          <w:color w:val="auto"/>
          <w:sz w:val="24"/>
          <w:szCs w:val="24"/>
        </w:rPr>
      </w:pPr>
      <w:r>
        <w:rPr>
          <w:rFonts w:hint="eastAsia" w:ascii="宋体" w:hAnsi="宋体" w:cs="Arial"/>
          <w:color w:val="auto"/>
          <w:sz w:val="24"/>
          <w:szCs w:val="24"/>
        </w:rPr>
        <w:t>附件</w:t>
      </w:r>
      <w:r>
        <w:rPr>
          <w:rFonts w:hint="eastAsia" w:ascii="宋体" w:hAnsi="宋体" w:cs="Arial"/>
          <w:color w:val="auto"/>
          <w:sz w:val="24"/>
          <w:szCs w:val="24"/>
          <w:lang w:val="en-US" w:eastAsia="zh-CN"/>
        </w:rPr>
        <w:t>:3</w:t>
      </w:r>
      <w:r>
        <w:rPr>
          <w:rFonts w:hint="eastAsia" w:ascii="宋体" w:hAnsi="宋体" w:cs="Arial"/>
          <w:color w:val="auto"/>
          <w:sz w:val="24"/>
          <w:szCs w:val="24"/>
        </w:rPr>
        <w:t>：评审办法</w:t>
      </w:r>
    </w:p>
    <w:p>
      <w:pPr>
        <w:pStyle w:val="18"/>
        <w:spacing w:line="360" w:lineRule="auto"/>
        <w:ind w:firstLine="480"/>
        <w:jc w:val="center"/>
        <w:rPr>
          <w:rFonts w:ascii="宋体" w:hAnsi="宋体"/>
          <w:color w:val="auto"/>
          <w:sz w:val="24"/>
        </w:rPr>
      </w:pPr>
      <w:r>
        <w:rPr>
          <w:rFonts w:hint="eastAsia" w:ascii="宋体" w:hAnsi="宋体"/>
          <w:color w:val="auto"/>
          <w:sz w:val="24"/>
        </w:rPr>
        <w:t>采购人：广州城投综合能源投资经营管理有限公司</w:t>
      </w:r>
    </w:p>
    <w:p>
      <w:pPr>
        <w:pStyle w:val="18"/>
        <w:spacing w:line="360" w:lineRule="auto"/>
        <w:ind w:right="960" w:firstLine="4260" w:firstLineChars="1775"/>
        <w:rPr>
          <w:rFonts w:ascii="宋体" w:hAnsi="宋体"/>
          <w:color w:val="auto"/>
          <w:sz w:val="24"/>
        </w:rPr>
      </w:pP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 xml:space="preserve">17 </w:t>
      </w:r>
      <w:r>
        <w:rPr>
          <w:rFonts w:hint="eastAsia" w:ascii="宋体" w:hAnsi="宋体"/>
          <w:color w:val="auto"/>
          <w:sz w:val="24"/>
        </w:rPr>
        <w:t>日</w:t>
      </w:r>
    </w:p>
    <w:p>
      <w:pPr>
        <w:widowControl/>
        <w:jc w:val="left"/>
        <w:rPr>
          <w:rFonts w:ascii="宋体" w:hAnsi="宋体"/>
          <w:color w:val="auto"/>
          <w:sz w:val="32"/>
        </w:rPr>
      </w:pPr>
      <w:r>
        <w:rPr>
          <w:rFonts w:ascii="宋体" w:hAnsi="宋体"/>
          <w:color w:val="auto"/>
          <w:sz w:val="32"/>
        </w:rPr>
        <w:br w:type="page"/>
      </w:r>
      <w:r>
        <w:rPr>
          <w:rFonts w:hint="eastAsia" w:ascii="宋体" w:hAnsi="宋体"/>
          <w:color w:val="auto"/>
          <w:sz w:val="32"/>
        </w:rPr>
        <w:t>附件1：</w:t>
      </w:r>
    </w:p>
    <w:p>
      <w:pPr>
        <w:pStyle w:val="13"/>
        <w:spacing w:before="120" w:line="480" w:lineRule="auto"/>
        <w:rPr>
          <w:color w:val="auto"/>
        </w:rPr>
      </w:pPr>
      <w:r>
        <w:rPr>
          <w:rFonts w:hint="eastAsia" w:asciiTheme="minorEastAsia" w:hAnsiTheme="minorEastAsia" w:eastAsiaTheme="minorEastAsia" w:cstheme="minorEastAsia"/>
          <w:color w:val="auto"/>
          <w:lang w:eastAsia="zh-CN"/>
        </w:rPr>
        <w:t>智慧运维与节能降耗的冷站控制系统的数字化研究与开发项目</w:t>
      </w:r>
      <w:r>
        <w:rPr>
          <w:rFonts w:hint="eastAsia"/>
          <w:color w:val="auto"/>
        </w:rPr>
        <w:t>采购需求书</w:t>
      </w:r>
    </w:p>
    <w:p>
      <w:pPr>
        <w:rPr>
          <w:rFonts w:ascii="宋体" w:hAnsi="宋体"/>
          <w:b/>
          <w:sz w:val="28"/>
          <w:szCs w:val="28"/>
        </w:rPr>
      </w:pPr>
      <w:r>
        <w:rPr>
          <w:rFonts w:hint="eastAsia" w:ascii="宋体" w:hAnsi="宋体"/>
          <w:b/>
          <w:sz w:val="28"/>
          <w:szCs w:val="28"/>
        </w:rPr>
        <w:t>一、项目概况</w:t>
      </w:r>
    </w:p>
    <w:p>
      <w:pPr>
        <w:spacing w:line="360" w:lineRule="auto"/>
        <w:ind w:firstLine="420"/>
        <w:rPr>
          <w:rFonts w:ascii="宋体" w:hAnsi="宋体" w:cs="等线"/>
          <w:sz w:val="24"/>
        </w:rPr>
      </w:pPr>
      <w:r>
        <w:rPr>
          <w:rFonts w:hint="eastAsia" w:ascii="宋体" w:hAnsi="宋体" w:cs="等线"/>
          <w:sz w:val="24"/>
        </w:rPr>
        <w:t>我司现有冷站控制系统已持续运行超过20年，核心控制设备严重老化。目前，2#冷站的S7-400H冗余系统中的备用CPU（S7-414H）已发生故障，由于</w:t>
      </w:r>
      <w:bookmarkStart w:id="2" w:name="_GoBack"/>
      <w:bookmarkEnd w:id="2"/>
      <w:r>
        <w:rPr>
          <w:rFonts w:hint="eastAsia" w:ascii="宋体" w:hAnsi="宋体" w:cs="等线"/>
          <w:sz w:val="24"/>
        </w:rPr>
        <w:t>该型号早已停产，市面上的二手翻新件多次试用均无法兼容，导致冗余功能失效。2#冷站的控制系统处于单点运行的高风险状态，主CPU一旦发生故障，将导致整个冷站停运，引发重大生产事故。现存核心问题:</w:t>
      </w:r>
    </w:p>
    <w:p>
      <w:pPr>
        <w:spacing w:line="360" w:lineRule="auto"/>
        <w:ind w:firstLine="420"/>
        <w:rPr>
          <w:rFonts w:ascii="宋体" w:hAnsi="宋体" w:cs="等线"/>
          <w:sz w:val="24"/>
        </w:rPr>
      </w:pPr>
      <w:r>
        <w:rPr>
          <w:rFonts w:hint="eastAsia" w:ascii="宋体" w:hAnsi="宋体" w:cs="等线"/>
          <w:sz w:val="24"/>
        </w:rPr>
        <w:t>1、可靠性危机：核心控制器冗余失效，硬件老化，备件缺失且停产停服，系统面临极高的崩溃风险。</w:t>
      </w:r>
    </w:p>
    <w:p>
      <w:pPr>
        <w:spacing w:line="360" w:lineRule="auto"/>
        <w:ind w:firstLine="420"/>
        <w:rPr>
          <w:rFonts w:ascii="宋体" w:hAnsi="宋体" w:cs="等线"/>
          <w:sz w:val="24"/>
        </w:rPr>
      </w:pPr>
      <w:r>
        <w:rPr>
          <w:rFonts w:hint="eastAsia" w:ascii="宋体" w:hAnsi="宋体" w:cs="等线"/>
          <w:sz w:val="24"/>
        </w:rPr>
        <w:t>2、控制策略落后：冷水机组等重要设备严重依赖人工经验操作，无法实现基于负荷的自动优化运行，系统综合能效（COP）低下，运行成本高昂。</w:t>
      </w:r>
    </w:p>
    <w:p>
      <w:pPr>
        <w:spacing w:line="360" w:lineRule="auto"/>
        <w:ind w:firstLine="420"/>
        <w:rPr>
          <w:rFonts w:ascii="宋体" w:hAnsi="宋体" w:cs="等线"/>
          <w:sz w:val="24"/>
        </w:rPr>
      </w:pPr>
      <w:r>
        <w:rPr>
          <w:rFonts w:hint="eastAsia" w:ascii="宋体" w:hAnsi="宋体" w:cs="等线"/>
          <w:sz w:val="24"/>
        </w:rPr>
        <w:t>3、程序逻辑混乱：初期程序架构混乱，逻辑耦合严重，任何修改都可能引发不可预知的连锁问题，致使自动化水平提升工作停滞不前。</w:t>
      </w:r>
    </w:p>
    <w:p>
      <w:pPr>
        <w:spacing w:line="360" w:lineRule="auto"/>
        <w:ind w:firstLine="420"/>
        <w:rPr>
          <w:rFonts w:ascii="宋体" w:hAnsi="宋体" w:cs="等线"/>
          <w:b/>
          <w:bCs/>
          <w:sz w:val="24"/>
        </w:rPr>
      </w:pPr>
      <w:r>
        <w:rPr>
          <w:rFonts w:hint="eastAsia" w:ascii="宋体" w:hAnsi="宋体" w:cs="等线"/>
          <w:sz w:val="24"/>
        </w:rPr>
        <w:t>4、数据价值埋没：各子系统的数据孤立，缺乏有效的监控、分析与融合手段，无法支撑能效考核、故障预测和精细化管理。</w:t>
      </w:r>
    </w:p>
    <w:p>
      <w:pPr>
        <w:rPr>
          <w:rFonts w:ascii="宋体" w:hAnsi="宋体"/>
          <w:b/>
          <w:sz w:val="28"/>
          <w:szCs w:val="28"/>
        </w:rPr>
      </w:pPr>
      <w:r>
        <w:rPr>
          <w:rFonts w:hint="eastAsia" w:ascii="宋体" w:hAnsi="宋体"/>
          <w:b/>
          <w:sz w:val="28"/>
          <w:szCs w:val="28"/>
        </w:rPr>
        <w:t>二、项目目的</w:t>
      </w:r>
    </w:p>
    <w:p>
      <w:pPr>
        <w:spacing w:line="360" w:lineRule="auto"/>
        <w:ind w:firstLine="420"/>
        <w:rPr>
          <w:rFonts w:hint="eastAsia" w:ascii="宋体" w:hAnsi="宋体" w:cs="等线"/>
          <w:sz w:val="24"/>
        </w:rPr>
      </w:pPr>
      <w:r>
        <w:rPr>
          <w:rFonts w:hint="eastAsia" w:ascii="宋体" w:hAnsi="宋体" w:cs="等线"/>
          <w:sz w:val="24"/>
        </w:rPr>
        <w:t>针对以上问题，我部拟对2#站现有的CPU硬件、架构、生产控制系统进行重新优化，最终实现以下目标：</w:t>
      </w:r>
    </w:p>
    <w:p>
      <w:pPr>
        <w:spacing w:line="360" w:lineRule="auto"/>
        <w:ind w:firstLine="420"/>
        <w:rPr>
          <w:rFonts w:hint="eastAsia" w:ascii="宋体" w:hAnsi="宋体" w:cs="等线"/>
          <w:sz w:val="24"/>
        </w:rPr>
      </w:pPr>
      <w:r>
        <w:rPr>
          <w:rFonts w:hint="eastAsia" w:ascii="宋体" w:hAnsi="宋体" w:cs="等线"/>
          <w:sz w:val="24"/>
        </w:rPr>
        <w:t>1、完成硬件的架构升级更换；</w:t>
      </w:r>
    </w:p>
    <w:p>
      <w:pPr>
        <w:spacing w:line="360" w:lineRule="auto"/>
        <w:ind w:firstLine="420"/>
        <w:rPr>
          <w:rFonts w:hint="eastAsia" w:ascii="宋体" w:hAnsi="宋体" w:cs="等线"/>
          <w:sz w:val="24"/>
        </w:rPr>
      </w:pPr>
      <w:r>
        <w:rPr>
          <w:rFonts w:hint="eastAsia" w:ascii="宋体" w:hAnsi="宋体" w:cs="等线"/>
          <w:sz w:val="24"/>
        </w:rPr>
        <w:t>2、2#冷站生产高度自动化地安全、稳定运行，实现时控、工况切换，设备自主运行与智能调节；</w:t>
      </w:r>
    </w:p>
    <w:p>
      <w:pPr>
        <w:spacing w:line="360" w:lineRule="auto"/>
        <w:ind w:firstLine="420"/>
        <w:rPr>
          <w:rFonts w:hint="eastAsia" w:ascii="宋体" w:hAnsi="宋体" w:cs="等线"/>
          <w:sz w:val="24"/>
        </w:rPr>
      </w:pPr>
      <w:r>
        <w:rPr>
          <w:rFonts w:hint="eastAsia" w:ascii="宋体" w:hAnsi="宋体" w:cs="等线"/>
          <w:sz w:val="24"/>
        </w:rPr>
        <w:t>3、枢纽楼10楼中控室实现运行数据实时存储、分析及远程访问；</w:t>
      </w:r>
    </w:p>
    <w:p>
      <w:pPr>
        <w:spacing w:line="360" w:lineRule="auto"/>
        <w:ind w:firstLine="420"/>
        <w:rPr>
          <w:rFonts w:ascii="宋体" w:hAnsi="宋体" w:cs="等线"/>
          <w:sz w:val="24"/>
        </w:rPr>
      </w:pPr>
      <w:r>
        <w:rPr>
          <w:rFonts w:hint="eastAsia" w:ascii="宋体" w:hAnsi="宋体" w:cs="等线"/>
          <w:sz w:val="24"/>
        </w:rPr>
        <w:t>4、通过算法实现设备最佳负荷分配，主动寻优，优化生产运行策略，降低能耗；</w:t>
      </w:r>
    </w:p>
    <w:p>
      <w:pPr>
        <w:rPr>
          <w:rFonts w:hint="eastAsia" w:ascii="宋体" w:hAnsi="宋体"/>
          <w:b/>
          <w:sz w:val="28"/>
          <w:szCs w:val="28"/>
        </w:rPr>
      </w:pPr>
      <w:r>
        <w:rPr>
          <w:rFonts w:hint="eastAsia" w:ascii="宋体" w:hAnsi="宋体"/>
          <w:b/>
          <w:sz w:val="28"/>
          <w:szCs w:val="28"/>
        </w:rPr>
        <w:t>三</w:t>
      </w:r>
      <w:r>
        <w:rPr>
          <w:rFonts w:ascii="宋体" w:hAnsi="宋体"/>
          <w:b/>
          <w:sz w:val="28"/>
          <w:szCs w:val="28"/>
        </w:rPr>
        <w:t>、</w:t>
      </w:r>
      <w:r>
        <w:rPr>
          <w:rFonts w:hint="eastAsia" w:ascii="宋体" w:hAnsi="宋体"/>
          <w:b/>
          <w:sz w:val="28"/>
          <w:szCs w:val="28"/>
          <w:lang w:val="en-US" w:eastAsia="zh-CN"/>
        </w:rPr>
        <w:t>企业综合</w:t>
      </w:r>
      <w:r>
        <w:rPr>
          <w:rFonts w:hint="eastAsia" w:ascii="宋体" w:hAnsi="宋体"/>
          <w:b/>
          <w:sz w:val="28"/>
          <w:szCs w:val="28"/>
        </w:rPr>
        <w:t>要求</w:t>
      </w:r>
    </w:p>
    <w:p>
      <w:pPr>
        <w:spacing w:line="360" w:lineRule="auto"/>
        <w:rPr>
          <w:rFonts w:hint="eastAsia" w:ascii="宋体" w:hAnsi="宋体"/>
          <w:sz w:val="24"/>
        </w:rPr>
      </w:pPr>
      <w:r>
        <w:rPr>
          <w:rFonts w:hint="eastAsia" w:ascii="宋体" w:hAnsi="宋体"/>
          <w:sz w:val="24"/>
        </w:rPr>
        <w:t>1、技术团队：受托方拥有一支经验丰富的技术团队，包括算法工程师、系统集成专家和现场服务工程师</w:t>
      </w:r>
    </w:p>
    <w:p>
      <w:pPr>
        <w:spacing w:line="360" w:lineRule="auto"/>
        <w:rPr>
          <w:rFonts w:hint="eastAsia" w:ascii="宋体" w:hAnsi="宋体"/>
          <w:sz w:val="24"/>
        </w:rPr>
      </w:pPr>
      <w:r>
        <w:rPr>
          <w:rFonts w:hint="eastAsia" w:ascii="宋体" w:hAnsi="宋体"/>
          <w:sz w:val="24"/>
        </w:rPr>
        <w:t>2、研发能力：受托方能够进行定制化算法开发、硬件研发、系统集成，具备持续创新和快速响应技术挑战的能力，出具优化算法软著或是专利证明，拥有自己的自动化算法开发团队，能清晰阐述其MPC、负荷预测等算法的实现思路和过往业绩</w:t>
      </w:r>
    </w:p>
    <w:p>
      <w:pPr>
        <w:spacing w:line="360" w:lineRule="auto"/>
        <w:rPr>
          <w:rFonts w:ascii="宋体" w:hAnsi="宋体"/>
          <w:sz w:val="24"/>
        </w:rPr>
      </w:pPr>
      <w:r>
        <w:rPr>
          <w:rFonts w:hint="eastAsia" w:ascii="宋体" w:hAnsi="宋体"/>
          <w:sz w:val="24"/>
          <w:lang w:val="en-US" w:eastAsia="zh-CN"/>
        </w:rPr>
        <w:t>3</w:t>
      </w:r>
      <w:r>
        <w:rPr>
          <w:rFonts w:hint="eastAsia" w:ascii="宋体" w:hAnsi="宋体"/>
          <w:sz w:val="24"/>
        </w:rPr>
        <w:t>、技术负责人：</w:t>
      </w:r>
      <w:r>
        <w:rPr>
          <w:rFonts w:ascii="宋体" w:hAnsi="宋体"/>
          <w:sz w:val="24"/>
        </w:rPr>
        <w:t>需具备</w:t>
      </w:r>
      <w:r>
        <w:rPr>
          <w:rFonts w:hint="eastAsia" w:ascii="宋体" w:hAnsi="宋体"/>
          <w:sz w:val="24"/>
        </w:rPr>
        <w:t>8年</w:t>
      </w:r>
      <w:r>
        <w:rPr>
          <w:rFonts w:ascii="宋体" w:hAnsi="宋体"/>
          <w:sz w:val="24"/>
        </w:rPr>
        <w:t>以上工程施工技术管理经历</w:t>
      </w:r>
    </w:p>
    <w:p>
      <w:pPr>
        <w:spacing w:line="360" w:lineRule="auto"/>
        <w:rPr>
          <w:rFonts w:hint="eastAsia" w:ascii="宋体" w:hAnsi="宋体"/>
          <w:sz w:val="24"/>
        </w:rPr>
      </w:pPr>
      <w:r>
        <w:rPr>
          <w:rFonts w:hint="eastAsia" w:ascii="宋体" w:hAnsi="宋体"/>
          <w:sz w:val="24"/>
          <w:lang w:val="en-US" w:eastAsia="zh-CN"/>
        </w:rPr>
        <w:t>4</w:t>
      </w:r>
      <w:r>
        <w:rPr>
          <w:rFonts w:hint="eastAsia" w:ascii="宋体" w:hAnsi="宋体"/>
          <w:sz w:val="24"/>
        </w:rPr>
        <w:t>、施工人员、调试人员具有低压电工证，数量不少于2个</w:t>
      </w:r>
    </w:p>
    <w:p>
      <w:pPr>
        <w:spacing w:line="360" w:lineRule="auto"/>
        <w:rPr>
          <w:rFonts w:hint="eastAsia" w:ascii="宋体" w:hAnsi="宋体"/>
          <w:b/>
          <w:sz w:val="24"/>
        </w:rPr>
      </w:pPr>
      <w:r>
        <w:rPr>
          <w:rFonts w:hint="eastAsia" w:ascii="宋体" w:hAnsi="宋体"/>
          <w:b/>
          <w:sz w:val="24"/>
        </w:rPr>
        <w:t>四、项目内容</w:t>
      </w:r>
    </w:p>
    <w:p>
      <w:pPr>
        <w:spacing w:line="360" w:lineRule="auto"/>
        <w:ind w:left="420" w:firstLine="420"/>
        <w:rPr>
          <w:rFonts w:ascii="宋体" w:hAnsi="宋体" w:cs="等线"/>
          <w:sz w:val="24"/>
        </w:rPr>
      </w:pPr>
      <w:r>
        <w:rPr>
          <w:rFonts w:hint="eastAsia" w:ascii="宋体" w:hAnsi="宋体" w:cs="等线"/>
          <w:sz w:val="24"/>
        </w:rPr>
        <w:t>通过对冷站核心控制系统的局部硬件升级与全面的软件创新，构建一个高可靠、高能效、智能化的新一代冷站控制系统平台。主要工作内容分为以下三个层面：</w:t>
      </w:r>
    </w:p>
    <w:p>
      <w:pPr>
        <w:spacing w:line="360" w:lineRule="auto"/>
        <w:ind w:left="420" w:firstLine="420"/>
        <w:rPr>
          <w:rFonts w:ascii="宋体" w:hAnsi="宋体" w:cs="等线"/>
          <w:sz w:val="24"/>
        </w:rPr>
      </w:pPr>
      <w:r>
        <w:rPr>
          <w:rFonts w:hint="eastAsia" w:ascii="宋体" w:hAnsi="宋体" w:cs="等线"/>
          <w:sz w:val="24"/>
        </w:rPr>
        <w:t>1.硬件层：高可用冗余架构升级与利旧</w:t>
      </w:r>
    </w:p>
    <w:p>
      <w:pPr>
        <w:spacing w:line="360" w:lineRule="auto"/>
        <w:ind w:left="420" w:firstLine="420"/>
        <w:rPr>
          <w:rFonts w:ascii="宋体" w:hAnsi="宋体" w:cs="等线"/>
          <w:sz w:val="24"/>
        </w:rPr>
      </w:pPr>
      <w:r>
        <w:rPr>
          <w:rFonts w:hint="eastAsia" w:ascii="宋体" w:hAnsi="宋体" w:cs="等线"/>
          <w:sz w:val="24"/>
        </w:rPr>
        <w:t>a.核心控制器升级：选用西门子新一代S7-1500系列冗余PLC（如CPU 1515R型号）替换原有的S7-400H系列。新的CPU硬件具备毫秒级无扰切换能力，从根本上解决单点故障问题，可靠性大幅提升。</w:t>
      </w:r>
    </w:p>
    <w:p>
      <w:pPr>
        <w:spacing w:line="360" w:lineRule="auto"/>
        <w:ind w:left="420" w:firstLine="420"/>
        <w:rPr>
          <w:rFonts w:ascii="宋体" w:hAnsi="宋体" w:cs="等线"/>
          <w:sz w:val="24"/>
        </w:rPr>
      </w:pPr>
      <w:r>
        <w:rPr>
          <w:rFonts w:hint="eastAsia" w:ascii="宋体" w:hAnsi="宋体" w:cs="等线"/>
          <w:sz w:val="24"/>
        </w:rPr>
        <w:t>b.配套硬件更新：评估并利旧大部分现有的I/O模块、传感器和执行机构，仅更换与新品不兼容的接口模块和电源模块，增加具备冗余功能的交换机，最大限度节约投资，并与现有的I/O模块兼容。</w:t>
      </w:r>
    </w:p>
    <w:p>
      <w:pPr>
        <w:spacing w:line="360" w:lineRule="auto"/>
        <w:ind w:left="420" w:firstLine="420"/>
        <w:rPr>
          <w:rFonts w:ascii="宋体" w:hAnsi="宋体" w:cs="等线"/>
          <w:sz w:val="24"/>
        </w:rPr>
      </w:pPr>
      <w:r>
        <w:rPr>
          <w:rFonts w:hint="eastAsia" w:ascii="宋体" w:hAnsi="宋体" w:cs="等线"/>
          <w:sz w:val="24"/>
        </w:rPr>
        <w:t>2.软件层：控制逻辑重构与智能算法嵌入</w:t>
      </w:r>
    </w:p>
    <w:p>
      <w:pPr>
        <w:spacing w:line="360" w:lineRule="auto"/>
        <w:ind w:left="420" w:firstLine="420"/>
        <w:rPr>
          <w:rFonts w:ascii="宋体" w:hAnsi="宋体" w:cs="等线"/>
          <w:sz w:val="24"/>
        </w:rPr>
      </w:pPr>
      <w:r>
        <w:rPr>
          <w:rFonts w:hint="eastAsia" w:ascii="宋体" w:hAnsi="宋体" w:cs="等线"/>
          <w:sz w:val="24"/>
        </w:rPr>
        <w:t>a.基础编程与组态</w:t>
      </w:r>
    </w:p>
    <w:p>
      <w:pPr>
        <w:spacing w:line="360" w:lineRule="auto"/>
        <w:ind w:left="420" w:firstLine="420"/>
        <w:rPr>
          <w:rFonts w:ascii="宋体" w:hAnsi="宋体" w:cs="等线"/>
          <w:sz w:val="24"/>
        </w:rPr>
      </w:pPr>
      <w:r>
        <w:rPr>
          <w:rFonts w:hint="eastAsia" w:ascii="宋体" w:hAnsi="宋体" w:cs="等线"/>
          <w:sz w:val="24"/>
        </w:rPr>
        <w:t>基于新硬件平台，重构PLC控制程序，包括设备冷水机组群控启停与安全联锁、冷冻/冷却水泵台数控制与切换、冷却塔风机控制与群控、板换一次侧流量调节与二次侧温度控制、全自动模式/时间表运行等功能。在上位WINCC软件中重新进行可视化组态，设计现代化、人性化的人机交互界面。</w:t>
      </w:r>
    </w:p>
    <w:p>
      <w:pPr>
        <w:spacing w:line="360" w:lineRule="auto"/>
        <w:ind w:left="420" w:firstLine="420"/>
        <w:rPr>
          <w:rFonts w:ascii="宋体" w:hAnsi="宋体" w:cs="等线"/>
          <w:sz w:val="24"/>
        </w:rPr>
      </w:pPr>
      <w:r>
        <w:rPr>
          <w:rFonts w:hint="eastAsia" w:ascii="宋体" w:hAnsi="宋体" w:cs="等线"/>
          <w:sz w:val="24"/>
        </w:rPr>
        <w:t>b.系统能效寻优算法</w:t>
      </w:r>
    </w:p>
    <w:p>
      <w:pPr>
        <w:spacing w:line="360" w:lineRule="auto"/>
        <w:ind w:left="420" w:firstLine="420"/>
        <w:rPr>
          <w:rFonts w:ascii="宋体" w:hAnsi="宋体" w:cs="等线"/>
          <w:sz w:val="24"/>
        </w:rPr>
      </w:pPr>
      <w:r>
        <w:rPr>
          <w:rFonts w:hint="eastAsia" w:ascii="宋体" w:hAnsi="宋体" w:cs="等线"/>
          <w:sz w:val="24"/>
        </w:rPr>
        <w:t>研发基于模糊控制或模型预测控制（MPC）的冷站整体优化算法，包括冷水机组、冷却塔、水泵联动控制策略。该算法在满足站外负荷的情况下，以系统总耗电量最低为终极目标，动态优化决策冷水机组运行台数与负载分配、冷冻水及冷却水温度设定值、水泵与风机频率，追求系统整体能效最优，而非单点最优。</w:t>
      </w:r>
    </w:p>
    <w:p>
      <w:pPr>
        <w:spacing w:line="360" w:lineRule="auto"/>
        <w:ind w:left="420" w:firstLine="420"/>
        <w:rPr>
          <w:rFonts w:ascii="宋体" w:hAnsi="宋体" w:cs="等线"/>
          <w:sz w:val="24"/>
        </w:rPr>
      </w:pPr>
      <w:r>
        <w:rPr>
          <w:rFonts w:hint="eastAsia" w:ascii="宋体" w:hAnsi="宋体" w:cs="等线"/>
          <w:sz w:val="24"/>
        </w:rPr>
        <w:t>c.冷却水温度自适应调节</w:t>
      </w:r>
    </w:p>
    <w:p>
      <w:pPr>
        <w:spacing w:line="360" w:lineRule="auto"/>
        <w:ind w:left="420" w:firstLine="420"/>
        <w:rPr>
          <w:rFonts w:ascii="宋体" w:hAnsi="宋体" w:cs="等线"/>
          <w:sz w:val="24"/>
        </w:rPr>
      </w:pPr>
      <w:r>
        <w:rPr>
          <w:rFonts w:hint="eastAsia" w:ascii="宋体" w:hAnsi="宋体" w:cs="等线"/>
          <w:sz w:val="24"/>
        </w:rPr>
        <w:t>研究开发根据室外湿球温度和历史运行数据的冷却水温度优化设定算法，降低冷凝压力，提升主机效率。</w:t>
      </w:r>
    </w:p>
    <w:p>
      <w:pPr>
        <w:spacing w:line="360" w:lineRule="auto"/>
        <w:ind w:left="420" w:firstLine="420"/>
        <w:rPr>
          <w:rFonts w:ascii="宋体" w:hAnsi="宋体" w:cs="等线"/>
          <w:sz w:val="24"/>
        </w:rPr>
      </w:pPr>
      <w:r>
        <w:rPr>
          <w:rFonts w:hint="eastAsia" w:ascii="宋体" w:hAnsi="宋体" w:cs="等线"/>
          <w:sz w:val="24"/>
        </w:rPr>
        <w:t>d.负荷预测与预控制</w:t>
      </w:r>
    </w:p>
    <w:p>
      <w:pPr>
        <w:spacing w:line="360" w:lineRule="auto"/>
        <w:ind w:left="420" w:firstLine="420"/>
        <w:rPr>
          <w:rFonts w:ascii="宋体" w:hAnsi="宋体" w:cs="等线"/>
          <w:sz w:val="24"/>
        </w:rPr>
      </w:pPr>
      <w:r>
        <w:rPr>
          <w:rFonts w:hint="eastAsia" w:ascii="宋体" w:hAnsi="宋体" w:cs="等线"/>
          <w:sz w:val="24"/>
        </w:rPr>
        <w:t>尝试集成历史数据与天气预报信息，构建短期冷负荷预测模型，实现制冷系统的提前响应和“削峰填谷”，减少系统波动和能耗，进一步提升能效。</w:t>
      </w:r>
    </w:p>
    <w:p>
      <w:pPr>
        <w:spacing w:line="360" w:lineRule="auto"/>
        <w:ind w:left="420" w:firstLine="420"/>
        <w:rPr>
          <w:rFonts w:ascii="宋体" w:hAnsi="宋体" w:cs="等线"/>
          <w:sz w:val="24"/>
        </w:rPr>
      </w:pPr>
      <w:r>
        <w:rPr>
          <w:rFonts w:hint="eastAsia" w:ascii="宋体" w:hAnsi="宋体" w:cs="等线"/>
          <w:sz w:val="24"/>
        </w:rPr>
        <w:t>3.数据层：云边协同与数字化看板</w:t>
      </w:r>
    </w:p>
    <w:p>
      <w:pPr>
        <w:spacing w:line="360" w:lineRule="auto"/>
        <w:ind w:left="420" w:firstLine="420"/>
        <w:rPr>
          <w:rFonts w:ascii="宋体" w:hAnsi="宋体" w:cs="等线"/>
          <w:sz w:val="24"/>
        </w:rPr>
      </w:pPr>
      <w:r>
        <w:rPr>
          <w:rFonts w:hint="eastAsia" w:ascii="宋体" w:hAnsi="宋体" w:cs="等线"/>
          <w:sz w:val="24"/>
        </w:rPr>
        <w:t>a.边缘侧：利用S7-1500的强大算力，实时计算系统实时COP、分项电耗、节能率、碳排放等关键绩效指标。</w:t>
      </w:r>
    </w:p>
    <w:p>
      <w:pPr>
        <w:spacing w:line="360" w:lineRule="auto"/>
        <w:ind w:left="420" w:firstLine="420"/>
        <w:rPr>
          <w:rFonts w:ascii="宋体" w:hAnsi="宋体" w:cs="等线"/>
          <w:sz w:val="24"/>
        </w:rPr>
      </w:pPr>
      <w:r>
        <w:rPr>
          <w:rFonts w:hint="eastAsia" w:ascii="宋体" w:hAnsi="宋体" w:cs="等线"/>
          <w:sz w:val="24"/>
        </w:rPr>
        <w:t>b.平台侧：通过内置的OPC UA服务器，为后续数据对接预留标准接口，后续可将全量数据安全、高效地传输至公司级能源管理平台。</w:t>
      </w:r>
    </w:p>
    <w:p>
      <w:pPr>
        <w:spacing w:line="360" w:lineRule="auto"/>
        <w:ind w:left="420" w:firstLine="420"/>
        <w:rPr>
          <w:rFonts w:ascii="宋体" w:hAnsi="宋体" w:cs="等线"/>
          <w:sz w:val="24"/>
        </w:rPr>
      </w:pPr>
      <w:r>
        <w:rPr>
          <w:rFonts w:hint="eastAsia" w:ascii="宋体" w:hAnsi="宋体" w:cs="等线"/>
          <w:sz w:val="24"/>
        </w:rPr>
        <w:t>c.应用侧：开发冷站智能运维数字化看板（基于WINCC V7.5或更高版本），在冷站本地控制室、10楼中控室大屏实时展示系统能效、告警预警中心、历史数据对比与多维度分析报告等数据，为决策提供直观数据支持。</w:t>
      </w:r>
    </w:p>
    <w:p>
      <w:pPr>
        <w:rPr>
          <w:rFonts w:ascii="宋体" w:hAnsi="宋体"/>
          <w:b/>
          <w:sz w:val="28"/>
          <w:szCs w:val="28"/>
        </w:rPr>
      </w:pPr>
      <w:r>
        <w:rPr>
          <w:rFonts w:hint="eastAsia" w:ascii="宋体" w:hAnsi="宋体"/>
          <w:b/>
          <w:sz w:val="28"/>
          <w:szCs w:val="28"/>
        </w:rPr>
        <w:t>五、项目要求</w:t>
      </w:r>
    </w:p>
    <w:p>
      <w:pPr>
        <w:spacing w:line="360" w:lineRule="auto"/>
        <w:ind w:firstLine="420"/>
        <w:rPr>
          <w:rFonts w:ascii="宋体" w:hAnsi="宋体" w:cs="等线"/>
          <w:b/>
          <w:bCs/>
          <w:sz w:val="24"/>
        </w:rPr>
      </w:pPr>
      <w:r>
        <w:rPr>
          <w:rFonts w:hint="eastAsia" w:ascii="宋体" w:hAnsi="宋体" w:cs="等线"/>
          <w:b/>
          <w:bCs/>
          <w:sz w:val="24"/>
        </w:rPr>
        <w:t>1．技术要求</w:t>
      </w:r>
    </w:p>
    <w:p>
      <w:pPr>
        <w:spacing w:line="360" w:lineRule="auto"/>
        <w:ind w:firstLine="420"/>
        <w:rPr>
          <w:rFonts w:hint="eastAsia" w:ascii="宋体" w:hAnsi="宋体" w:cs="等线"/>
          <w:b/>
          <w:bCs/>
          <w:sz w:val="24"/>
        </w:rPr>
      </w:pPr>
      <w:r>
        <w:rPr>
          <w:rFonts w:hint="eastAsia" w:ascii="宋体" w:hAnsi="宋体" w:cs="等线"/>
          <w:b/>
          <w:bCs/>
          <w:sz w:val="24"/>
        </w:rPr>
        <w:t>因冷站现有输入输出模块为西门子产品，且本项目不对输入输出模块进行升级，为保证兼容性及可靠性，要求本项目P</w:t>
      </w:r>
      <w:r>
        <w:rPr>
          <w:rFonts w:ascii="宋体" w:hAnsi="宋体" w:cs="等线"/>
          <w:b/>
          <w:bCs/>
          <w:sz w:val="24"/>
        </w:rPr>
        <w:t>LC</w:t>
      </w:r>
      <w:r>
        <w:rPr>
          <w:rFonts w:hint="eastAsia" w:ascii="宋体" w:hAnsi="宋体" w:cs="等线"/>
          <w:b/>
          <w:bCs/>
          <w:sz w:val="24"/>
        </w:rPr>
        <w:t>为西门子S</w:t>
      </w:r>
      <w:r>
        <w:rPr>
          <w:rFonts w:ascii="宋体" w:hAnsi="宋体" w:cs="等线"/>
          <w:b/>
          <w:bCs/>
          <w:sz w:val="24"/>
        </w:rPr>
        <w:t>7-1500</w:t>
      </w:r>
      <w:r>
        <w:rPr>
          <w:rFonts w:hint="eastAsia" w:ascii="宋体" w:hAnsi="宋体" w:cs="等线"/>
          <w:b/>
          <w:bCs/>
          <w:sz w:val="24"/>
        </w:rPr>
        <w:t>系列及其配套设备。</w:t>
      </w:r>
    </w:p>
    <w:p>
      <w:pPr>
        <w:numPr>
          <w:ilvl w:val="0"/>
          <w:numId w:val="14"/>
        </w:numPr>
        <w:spacing w:line="360" w:lineRule="auto"/>
        <w:rPr>
          <w:rFonts w:ascii="宋体" w:hAnsi="宋体" w:cs="等线"/>
          <w:sz w:val="24"/>
        </w:rPr>
      </w:pPr>
      <w:r>
        <w:rPr>
          <w:rFonts w:hint="eastAsia" w:ascii="宋体" w:hAnsi="宋体" w:cs="等线"/>
          <w:sz w:val="24"/>
        </w:rPr>
        <w:t>CPU：1套S7-1500R冗余CPU（两台），固件版本：≥V3.0，程序内存不小于1MB，数据内存不小于4.5MB，同步方式：通过PROFINET接口进行冗余同步，系统切换时间：300ms，支持MRP冗余环网，可连接I/O设备的最大数量：64；装载存储器最大：32G，支持，ET 200SP，ET 200MP 高性能接口模块 V4.2 以上，未停产产品。</w:t>
      </w:r>
    </w:p>
    <w:p>
      <w:pPr>
        <w:numPr>
          <w:ilvl w:val="0"/>
          <w:numId w:val="14"/>
        </w:numPr>
        <w:spacing w:line="360" w:lineRule="auto"/>
        <w:rPr>
          <w:rFonts w:ascii="宋体" w:hAnsi="宋体" w:cs="等线"/>
          <w:sz w:val="24"/>
        </w:rPr>
      </w:pPr>
      <w:r>
        <w:rPr>
          <w:rFonts w:hint="eastAsia" w:ascii="宋体" w:hAnsi="宋体" w:cs="等线"/>
          <w:sz w:val="24"/>
        </w:rPr>
        <w:t>系统交换机：</w:t>
      </w:r>
      <w:r>
        <w:rPr>
          <w:rFonts w:ascii="宋体" w:hAnsi="宋体" w:cs="Segoe UI"/>
          <w:color w:val="0F1115"/>
          <w:sz w:val="24"/>
          <w:shd w:val="clear" w:color="auto" w:fill="FFFFFF"/>
        </w:rPr>
        <w:t>支持MRP和H-Sync转发</w:t>
      </w:r>
      <w:r>
        <w:rPr>
          <w:rFonts w:hint="eastAsia" w:ascii="宋体" w:hAnsi="宋体" w:cs="Segoe UI"/>
          <w:color w:val="0F1115"/>
          <w:sz w:val="24"/>
          <w:shd w:val="clear" w:color="auto" w:fill="FFFFFF"/>
        </w:rPr>
        <w:t>，</w:t>
      </w:r>
      <w:r>
        <w:rPr>
          <w:rFonts w:ascii="宋体" w:hAnsi="宋体" w:cs="Segoe UI"/>
          <w:color w:val="0F1115"/>
          <w:sz w:val="24"/>
          <w:shd w:val="clear" w:color="auto" w:fill="FFFFFF"/>
        </w:rPr>
        <w:t>固件版本≥V4.0</w:t>
      </w:r>
    </w:p>
    <w:p>
      <w:pPr>
        <w:numPr>
          <w:ilvl w:val="0"/>
          <w:numId w:val="14"/>
        </w:numPr>
        <w:spacing w:line="360" w:lineRule="auto"/>
        <w:rPr>
          <w:rFonts w:ascii="宋体" w:hAnsi="宋体" w:cs="等线"/>
          <w:sz w:val="24"/>
        </w:rPr>
      </w:pPr>
      <w:r>
        <w:rPr>
          <w:rFonts w:hint="eastAsia" w:ascii="宋体" w:hAnsi="宋体" w:cs="等线"/>
          <w:sz w:val="24"/>
        </w:rPr>
        <w:t>接口模块：IM153接口模块，与现有的I/O模块兼容。</w:t>
      </w:r>
    </w:p>
    <w:p>
      <w:pPr>
        <w:numPr>
          <w:ilvl w:val="0"/>
          <w:numId w:val="14"/>
        </w:numPr>
        <w:spacing w:line="360" w:lineRule="auto"/>
        <w:rPr>
          <w:rFonts w:ascii="宋体" w:hAnsi="宋体" w:cs="等线"/>
          <w:sz w:val="24"/>
        </w:rPr>
      </w:pPr>
      <w:r>
        <w:rPr>
          <w:rFonts w:hint="eastAsia" w:ascii="宋体" w:hAnsi="宋体" w:cs="等线"/>
          <w:sz w:val="24"/>
        </w:rPr>
        <w:t>存储卡：存储容量：24MB</w:t>
      </w:r>
      <w:r>
        <w:rPr>
          <w:rFonts w:hint="eastAsia" w:ascii="宋体" w:hAnsi="宋体" w:cs="等线"/>
          <w:sz w:val="24"/>
          <w:lang w:eastAsia="zh-CN"/>
        </w:rPr>
        <w:t>，</w:t>
      </w:r>
      <w:r>
        <w:rPr>
          <w:rFonts w:hint="eastAsia" w:ascii="宋体" w:hAnsi="宋体" w:cs="等线"/>
          <w:sz w:val="24"/>
          <w:lang w:val="en-US" w:eastAsia="zh-CN"/>
        </w:rPr>
        <w:t>适配更新后的CPU。</w:t>
      </w:r>
    </w:p>
    <w:p>
      <w:pPr>
        <w:numPr>
          <w:ilvl w:val="0"/>
          <w:numId w:val="14"/>
        </w:numPr>
        <w:spacing w:line="360" w:lineRule="auto"/>
        <w:rPr>
          <w:rFonts w:ascii="宋体" w:hAnsi="宋体" w:cs="等线"/>
          <w:sz w:val="24"/>
        </w:rPr>
      </w:pPr>
      <w:r>
        <w:rPr>
          <w:rFonts w:hint="eastAsia" w:ascii="宋体" w:hAnsi="宋体" w:cs="等线"/>
          <w:sz w:val="24"/>
        </w:rPr>
        <w:t>控制层：重构S7-1500程序、冷却塔PLC程序，集成板换间汇总PLC程序,补充寻优算法，实现冷站半自动/自动运行，能处理典型工况、过渡季节工况等情况，实现一键启停、自动加减载、自动切换供冷模式、异常情况报警、数据整理等功能。</w:t>
      </w:r>
    </w:p>
    <w:p>
      <w:pPr>
        <w:numPr>
          <w:ilvl w:val="0"/>
          <w:numId w:val="14"/>
        </w:numPr>
        <w:spacing w:line="360" w:lineRule="auto"/>
        <w:rPr>
          <w:rFonts w:ascii="宋体" w:hAnsi="宋体" w:cs="等线"/>
          <w:sz w:val="24"/>
        </w:rPr>
      </w:pPr>
      <w:r>
        <w:rPr>
          <w:rFonts w:hint="eastAsia" w:ascii="宋体" w:hAnsi="宋体" w:cs="等线"/>
          <w:sz w:val="24"/>
        </w:rPr>
        <w:t>数据存储：所有设备运行、状态等的系统数据应按要求归档、保留。事件型数据（报警、安全、操作记录）：完整保留所有记录且永久保存。</w:t>
      </w:r>
    </w:p>
    <w:p>
      <w:pPr>
        <w:numPr>
          <w:ilvl w:val="0"/>
          <w:numId w:val="14"/>
        </w:numPr>
        <w:spacing w:line="360" w:lineRule="auto"/>
        <w:rPr>
          <w:rFonts w:ascii="宋体" w:hAnsi="宋体" w:cs="等线"/>
          <w:sz w:val="24"/>
        </w:rPr>
      </w:pPr>
      <w:r>
        <w:rPr>
          <w:rFonts w:hint="eastAsia" w:ascii="宋体" w:hAnsi="宋体" w:cs="等线"/>
          <w:sz w:val="24"/>
        </w:rPr>
        <w:t>性能测试：在算法部署前，需进行充分的性能测试与安全性测试，确保算法的稳定性和有效性。</w:t>
      </w:r>
    </w:p>
    <w:p>
      <w:pPr>
        <w:numPr>
          <w:ilvl w:val="0"/>
          <w:numId w:val="14"/>
        </w:numPr>
        <w:spacing w:line="360" w:lineRule="auto"/>
        <w:rPr>
          <w:rFonts w:ascii="宋体" w:hAnsi="宋体" w:cs="等线"/>
          <w:sz w:val="24"/>
        </w:rPr>
      </w:pPr>
      <w:r>
        <w:rPr>
          <w:rFonts w:hint="eastAsia" w:ascii="宋体" w:hAnsi="宋体" w:cs="等线"/>
          <w:sz w:val="24"/>
        </w:rPr>
        <w:t>上位系统：采用wincc系统，需集成自动寻优、自主学习功能；提供直观用户界面，展示设备运行情况，算法模块应用情况，使操作人员能够轻松监控系统状态，并在必要时进行手动干预，启停设备，调整加载的算法。用户界面应实现权限分级，不同级别的用户界面显示不同的操作选项和数据视图</w:t>
      </w:r>
      <w:r>
        <w:rPr>
          <w:rFonts w:hint="eastAsia" w:ascii="宋体" w:hAnsi="宋体" w:cs="等线"/>
          <w:sz w:val="24"/>
          <w:lang w:eastAsia="zh-CN"/>
        </w:rPr>
        <w:t>，</w:t>
      </w:r>
      <w:r>
        <w:rPr>
          <w:rFonts w:hint="eastAsia" w:ascii="宋体" w:hAnsi="宋体" w:cs="等线"/>
          <w:sz w:val="24"/>
          <w:lang w:val="en-US" w:eastAsia="zh-CN"/>
        </w:rPr>
        <w:t>完成2#冷站控制室及10楼中控室的2#冷站控制系统上位界面</w:t>
      </w:r>
      <w:r>
        <w:rPr>
          <w:rFonts w:hint="eastAsia" w:ascii="宋体" w:hAnsi="宋体" w:cs="等线"/>
          <w:sz w:val="24"/>
        </w:rPr>
        <w:t>。</w:t>
      </w:r>
    </w:p>
    <w:p>
      <w:pPr>
        <w:numPr>
          <w:ilvl w:val="0"/>
          <w:numId w:val="14"/>
        </w:numPr>
        <w:spacing w:line="360" w:lineRule="auto"/>
        <w:rPr>
          <w:rFonts w:ascii="宋体" w:hAnsi="宋体" w:cs="等线"/>
          <w:sz w:val="24"/>
        </w:rPr>
      </w:pPr>
      <w:r>
        <w:rPr>
          <w:rFonts w:hint="eastAsia" w:ascii="宋体" w:hAnsi="宋体" w:cs="等线"/>
          <w:sz w:val="24"/>
        </w:rPr>
        <w:t>程序代码：要求对每一段落代码均做注释，不得对程序块、内部文件等进行加密。</w:t>
      </w:r>
    </w:p>
    <w:p>
      <w:pPr>
        <w:numPr>
          <w:ilvl w:val="0"/>
          <w:numId w:val="14"/>
        </w:numPr>
        <w:spacing w:line="360" w:lineRule="auto"/>
        <w:rPr>
          <w:rFonts w:ascii="宋体" w:hAnsi="宋体" w:cs="等线"/>
          <w:sz w:val="24"/>
        </w:rPr>
      </w:pPr>
      <w:r>
        <w:rPr>
          <w:rFonts w:hint="eastAsia" w:ascii="宋体" w:hAnsi="宋体" w:cs="等线"/>
          <w:sz w:val="24"/>
        </w:rPr>
        <w:t>安全性：</w:t>
      </w:r>
    </w:p>
    <w:p>
      <w:pPr>
        <w:tabs>
          <w:tab w:val="left" w:pos="1856"/>
        </w:tabs>
        <w:spacing w:line="360" w:lineRule="auto"/>
        <w:ind w:firstLine="720" w:firstLineChars="300"/>
        <w:rPr>
          <w:rFonts w:ascii="宋体" w:hAnsi="宋体"/>
          <w:sz w:val="24"/>
          <w:szCs w:val="28"/>
        </w:rPr>
      </w:pPr>
      <w:r>
        <w:rPr>
          <w:rFonts w:hint="eastAsia" w:ascii="宋体" w:hAnsi="宋体"/>
          <w:sz w:val="24"/>
          <w:szCs w:val="28"/>
        </w:rPr>
        <w:t>系统需通过网络安全评估，支持权限分级与操作审计。权限分级：</w:t>
      </w:r>
    </w:p>
    <w:p>
      <w:pPr>
        <w:numPr>
          <w:ilvl w:val="0"/>
          <w:numId w:val="15"/>
        </w:numPr>
        <w:spacing w:line="360" w:lineRule="auto"/>
        <w:rPr>
          <w:rFonts w:ascii="宋体" w:hAnsi="宋体" w:cs="等线"/>
          <w:sz w:val="24"/>
        </w:rPr>
      </w:pPr>
      <w:r>
        <w:rPr>
          <w:rFonts w:hint="eastAsia" w:ascii="宋体" w:hAnsi="宋体" w:cs="等线"/>
          <w:sz w:val="24"/>
        </w:rPr>
        <w:t>系统管理员：拥有系统的最高权限，能够访问所有功能，包括用户管理、系统</w:t>
      </w:r>
    </w:p>
    <w:p>
      <w:pPr>
        <w:spacing w:line="360" w:lineRule="auto"/>
        <w:ind w:left="840" w:firstLine="151" w:firstLineChars="63"/>
        <w:rPr>
          <w:rFonts w:ascii="宋体" w:hAnsi="宋体" w:cs="等线"/>
          <w:sz w:val="24"/>
        </w:rPr>
      </w:pPr>
      <w:r>
        <w:rPr>
          <w:rFonts w:hint="eastAsia" w:ascii="宋体" w:hAnsi="宋体" w:cs="等线"/>
          <w:sz w:val="24"/>
        </w:rPr>
        <w:t>配置、数据备份等。</w:t>
      </w:r>
    </w:p>
    <w:p>
      <w:pPr>
        <w:numPr>
          <w:ilvl w:val="0"/>
          <w:numId w:val="15"/>
        </w:numPr>
        <w:spacing w:line="360" w:lineRule="auto"/>
        <w:ind w:left="993" w:hanging="153"/>
        <w:rPr>
          <w:rFonts w:ascii="宋体" w:hAnsi="宋体" w:cs="等线"/>
          <w:sz w:val="24"/>
        </w:rPr>
      </w:pPr>
      <w:r>
        <w:rPr>
          <w:rFonts w:hint="eastAsia" w:ascii="宋体" w:hAnsi="宋体" w:cs="等线"/>
          <w:sz w:val="24"/>
        </w:rPr>
        <w:t>工程师：能访问系统监控、参数设置等功能，但不能修改用户权限和系统核心配置。</w:t>
      </w:r>
    </w:p>
    <w:p>
      <w:pPr>
        <w:numPr>
          <w:ilvl w:val="0"/>
          <w:numId w:val="15"/>
        </w:numPr>
        <w:spacing w:line="360" w:lineRule="auto"/>
        <w:rPr>
          <w:rFonts w:ascii="宋体" w:hAnsi="宋体" w:cs="等线"/>
          <w:sz w:val="24"/>
        </w:rPr>
      </w:pPr>
      <w:r>
        <w:rPr>
          <w:rFonts w:hint="eastAsia" w:ascii="宋体" w:hAnsi="宋体" w:cs="等线"/>
          <w:sz w:val="24"/>
        </w:rPr>
        <w:t>操作员：能够进行日常操作、监控设备状态等，但不能修改系统参数。</w:t>
      </w:r>
    </w:p>
    <w:p>
      <w:pPr>
        <w:numPr>
          <w:ilvl w:val="0"/>
          <w:numId w:val="15"/>
        </w:numPr>
        <w:spacing w:line="360" w:lineRule="auto"/>
        <w:rPr>
          <w:rFonts w:ascii="宋体" w:hAnsi="宋体" w:cs="等线"/>
          <w:sz w:val="24"/>
        </w:rPr>
      </w:pPr>
      <w:r>
        <w:rPr>
          <w:rFonts w:hint="eastAsia" w:ascii="宋体" w:hAnsi="宋体" w:cs="等线"/>
          <w:sz w:val="24"/>
        </w:rPr>
        <w:t>权限变更：任何权限的变更都应经过严格的审批流程，并记录在审计日志中。</w:t>
      </w:r>
    </w:p>
    <w:p>
      <w:pPr>
        <w:spacing w:line="360" w:lineRule="auto"/>
        <w:rPr>
          <w:rFonts w:hint="eastAsia" w:ascii="宋体" w:hAnsi="宋体" w:cs="等线"/>
          <w:b/>
          <w:bCs/>
          <w:sz w:val="24"/>
        </w:rPr>
      </w:pPr>
      <w:r>
        <w:rPr>
          <w:rFonts w:hint="eastAsia" w:ascii="宋体" w:hAnsi="宋体" w:cs="等线"/>
          <w:b/>
          <w:bCs/>
          <w:sz w:val="24"/>
        </w:rPr>
        <w:t>2、程序总体要求</w:t>
      </w:r>
    </w:p>
    <w:p>
      <w:pPr>
        <w:numPr>
          <w:ilvl w:val="0"/>
          <w:numId w:val="16"/>
        </w:numPr>
        <w:spacing w:line="360" w:lineRule="auto"/>
        <w:rPr>
          <w:rFonts w:ascii="宋体" w:hAnsi="宋体"/>
          <w:sz w:val="24"/>
        </w:rPr>
      </w:pPr>
      <w:r>
        <w:rPr>
          <w:rFonts w:hint="eastAsia" w:ascii="宋体" w:hAnsi="宋体"/>
          <w:sz w:val="24"/>
          <w:lang w:eastAsia="zh-CN"/>
        </w:rPr>
        <w:t>中标人</w:t>
      </w:r>
      <w:r>
        <w:rPr>
          <w:rFonts w:hint="eastAsia" w:ascii="宋体" w:hAnsi="宋体"/>
          <w:sz w:val="24"/>
        </w:rPr>
        <w:t>负责编写控制策略，报甲方审批后实施。为实现高度自动化的项目要求，</w:t>
      </w:r>
      <w:r>
        <w:rPr>
          <w:rFonts w:hint="eastAsia" w:ascii="宋体" w:hAnsi="宋体"/>
          <w:sz w:val="24"/>
          <w:lang w:eastAsia="zh-CN"/>
        </w:rPr>
        <w:t>中标人</w:t>
      </w:r>
      <w:r>
        <w:rPr>
          <w:rFonts w:hint="eastAsia" w:ascii="宋体" w:hAnsi="宋体"/>
          <w:sz w:val="24"/>
        </w:rPr>
        <w:t>的控制策略应尽可能详尽、考虑各种工况。</w:t>
      </w:r>
      <w:r>
        <w:rPr>
          <w:rFonts w:hint="eastAsia" w:ascii="宋体" w:hAnsi="宋体"/>
          <w:sz w:val="24"/>
          <w:lang w:eastAsia="zh-CN"/>
        </w:rPr>
        <w:t>中标人</w:t>
      </w:r>
      <w:r>
        <w:rPr>
          <w:rFonts w:hint="eastAsia" w:ascii="宋体" w:hAnsi="宋体"/>
          <w:sz w:val="24"/>
        </w:rPr>
        <w:t>不得拒绝甲方提出的为实现高度自动化所提出的修改要求。</w:t>
      </w:r>
    </w:p>
    <w:p>
      <w:pPr>
        <w:numPr>
          <w:ilvl w:val="0"/>
          <w:numId w:val="16"/>
        </w:numPr>
        <w:spacing w:line="360" w:lineRule="auto"/>
        <w:rPr>
          <w:rFonts w:ascii="宋体" w:hAnsi="宋体"/>
          <w:sz w:val="24"/>
        </w:rPr>
      </w:pPr>
      <w:r>
        <w:rPr>
          <w:rFonts w:hint="eastAsia" w:ascii="宋体" w:hAnsi="宋体"/>
          <w:sz w:val="24"/>
          <w:lang w:eastAsia="zh-CN"/>
        </w:rPr>
        <w:t>中标人</w:t>
      </w:r>
      <w:r>
        <w:rPr>
          <w:rFonts w:hint="eastAsia" w:ascii="宋体" w:hAnsi="宋体"/>
          <w:sz w:val="24"/>
        </w:rPr>
        <w:t>应在控制策略有效实施的前提下，确保设备安全。控制策略涉及的程序均需编写相应的仿真测试程序进行验证。</w:t>
      </w:r>
    </w:p>
    <w:p>
      <w:pPr>
        <w:numPr>
          <w:ilvl w:val="0"/>
          <w:numId w:val="16"/>
        </w:numPr>
        <w:spacing w:line="360" w:lineRule="auto"/>
        <w:rPr>
          <w:rFonts w:ascii="宋体" w:hAnsi="宋体"/>
          <w:sz w:val="24"/>
        </w:rPr>
      </w:pPr>
      <w:r>
        <w:rPr>
          <w:rFonts w:hint="eastAsia" w:ascii="宋体" w:hAnsi="宋体"/>
          <w:sz w:val="24"/>
          <w:lang w:eastAsia="zh-CN"/>
        </w:rPr>
        <w:t>中标人</w:t>
      </w:r>
      <w:r>
        <w:rPr>
          <w:rFonts w:hint="eastAsia" w:ascii="宋体" w:hAnsi="宋体"/>
          <w:sz w:val="24"/>
        </w:rPr>
        <w:t>应按第六章所述的功能要求和结构编写程序，负责实现设备的安全、稳定运行。对业主提出的功能要求，</w:t>
      </w:r>
      <w:r>
        <w:rPr>
          <w:rFonts w:hint="eastAsia" w:ascii="宋体" w:hAnsi="宋体"/>
          <w:sz w:val="24"/>
          <w:lang w:eastAsia="zh-CN"/>
        </w:rPr>
        <w:t>中标人</w:t>
      </w:r>
      <w:r>
        <w:rPr>
          <w:rFonts w:hint="eastAsia" w:ascii="宋体" w:hAnsi="宋体"/>
          <w:sz w:val="24"/>
        </w:rPr>
        <w:t>应确保以安全、稳定的方式实现。</w:t>
      </w:r>
    </w:p>
    <w:p>
      <w:pPr>
        <w:numPr>
          <w:ilvl w:val="0"/>
          <w:numId w:val="16"/>
        </w:numPr>
        <w:tabs>
          <w:tab w:val="left" w:pos="567"/>
        </w:tabs>
        <w:spacing w:line="360" w:lineRule="auto"/>
        <w:rPr>
          <w:rFonts w:ascii="宋体" w:hAnsi="宋体"/>
          <w:sz w:val="24"/>
        </w:rPr>
      </w:pPr>
      <w:r>
        <w:rPr>
          <w:rFonts w:hint="eastAsia" w:ascii="宋体" w:hAnsi="宋体"/>
          <w:sz w:val="24"/>
        </w:rPr>
        <w:t>所有变频器、控制阀实现手自动转换时的无扰切换，在转换时保持输出不变，可手动输出启动信号、手动设置输出频率、开度，在控制信号异常时自动跳手动，保持输出不变。</w:t>
      </w:r>
    </w:p>
    <w:p>
      <w:pPr>
        <w:numPr>
          <w:ilvl w:val="0"/>
          <w:numId w:val="16"/>
        </w:numPr>
        <w:tabs>
          <w:tab w:val="left" w:pos="567"/>
        </w:tabs>
        <w:spacing w:line="360" w:lineRule="auto"/>
        <w:rPr>
          <w:rFonts w:ascii="宋体" w:hAnsi="宋体"/>
          <w:sz w:val="24"/>
        </w:rPr>
      </w:pPr>
      <w:r>
        <w:rPr>
          <w:rFonts w:hint="eastAsia" w:ascii="宋体" w:hAnsi="宋体"/>
          <w:sz w:val="24"/>
        </w:rPr>
        <w:t>所有设备程序中设软隔离按钮，在上位机由操作员操作，该按钮功能是在检修时使用，禁止PLC启动该设备。</w:t>
      </w:r>
    </w:p>
    <w:p>
      <w:pPr>
        <w:numPr>
          <w:ilvl w:val="0"/>
          <w:numId w:val="16"/>
        </w:numPr>
        <w:tabs>
          <w:tab w:val="left" w:pos="567"/>
        </w:tabs>
        <w:spacing w:line="360" w:lineRule="auto"/>
        <w:rPr>
          <w:rFonts w:ascii="宋体" w:hAnsi="宋体"/>
          <w:sz w:val="24"/>
        </w:rPr>
      </w:pPr>
      <w:r>
        <w:rPr>
          <w:rFonts w:hint="eastAsia" w:ascii="宋体" w:hAnsi="宋体"/>
          <w:sz w:val="24"/>
        </w:rPr>
        <w:t>各泵组、主机均设置上游电气总开关失电时的保护，切除启动指令，防止复电时同时启动电流过大，在复电后有序恢复运行。</w:t>
      </w:r>
    </w:p>
    <w:p>
      <w:pPr>
        <w:numPr>
          <w:ilvl w:val="0"/>
          <w:numId w:val="16"/>
        </w:numPr>
        <w:tabs>
          <w:tab w:val="left" w:pos="567"/>
        </w:tabs>
        <w:spacing w:line="360" w:lineRule="auto"/>
        <w:rPr>
          <w:rFonts w:ascii="宋体" w:hAnsi="宋体"/>
          <w:sz w:val="24"/>
        </w:rPr>
      </w:pPr>
      <w:r>
        <w:rPr>
          <w:rFonts w:hint="eastAsia" w:ascii="宋体" w:hAnsi="宋体"/>
          <w:sz w:val="24"/>
        </w:rPr>
        <w:t>程序需要考虑供电局限负荷、强制切负荷时的情况，制定安全、经济的控制策略。</w:t>
      </w:r>
    </w:p>
    <w:p>
      <w:pPr>
        <w:numPr>
          <w:ilvl w:val="0"/>
          <w:numId w:val="16"/>
        </w:numPr>
        <w:tabs>
          <w:tab w:val="left" w:pos="567"/>
        </w:tabs>
        <w:spacing w:line="360" w:lineRule="auto"/>
        <w:rPr>
          <w:rFonts w:ascii="宋体" w:hAnsi="宋体"/>
          <w:sz w:val="24"/>
        </w:rPr>
      </w:pPr>
      <w:r>
        <w:rPr>
          <w:rFonts w:hint="eastAsia" w:ascii="宋体" w:hAnsi="宋体"/>
          <w:sz w:val="24"/>
        </w:rPr>
        <w:t>程序编写按照城投能源《PLC程序编程规范》。</w:t>
      </w:r>
    </w:p>
    <w:p>
      <w:pPr>
        <w:spacing w:line="360" w:lineRule="auto"/>
        <w:rPr>
          <w:rFonts w:hint="eastAsia" w:ascii="宋体" w:hAnsi="宋体" w:cs="等线"/>
          <w:b/>
          <w:bCs/>
          <w:sz w:val="24"/>
        </w:rPr>
      </w:pPr>
      <w:r>
        <w:rPr>
          <w:rFonts w:hint="eastAsia" w:ascii="宋体" w:hAnsi="宋体" w:cs="等线"/>
          <w:b/>
          <w:bCs/>
          <w:sz w:val="24"/>
          <w:lang w:val="en-US" w:eastAsia="zh-CN"/>
        </w:rPr>
        <w:t>3</w:t>
      </w:r>
      <w:r>
        <w:rPr>
          <w:rFonts w:hint="eastAsia" w:ascii="宋体" w:hAnsi="宋体" w:cs="等线"/>
          <w:b/>
          <w:bCs/>
          <w:sz w:val="24"/>
        </w:rPr>
        <w:t>、</w:t>
      </w:r>
      <w:r>
        <w:rPr>
          <w:rFonts w:hint="eastAsia" w:ascii="宋体" w:hAnsi="宋体" w:cs="等线"/>
          <w:b/>
          <w:bCs/>
          <w:sz w:val="24"/>
          <w:lang w:val="en-US" w:eastAsia="zh-CN"/>
        </w:rPr>
        <w:t>其他</w:t>
      </w:r>
      <w:r>
        <w:rPr>
          <w:rFonts w:hint="eastAsia" w:ascii="宋体" w:hAnsi="宋体" w:cs="等线"/>
          <w:b/>
          <w:bCs/>
          <w:sz w:val="24"/>
        </w:rPr>
        <w:t>要求</w:t>
      </w:r>
    </w:p>
    <w:p>
      <w:pPr>
        <w:numPr>
          <w:ilvl w:val="0"/>
          <w:numId w:val="17"/>
        </w:numPr>
        <w:tabs>
          <w:tab w:val="left" w:pos="567"/>
        </w:tabs>
        <w:spacing w:line="360" w:lineRule="auto"/>
        <w:rPr>
          <w:rFonts w:ascii="宋体" w:hAnsi="宋体"/>
          <w:sz w:val="24"/>
        </w:rPr>
      </w:pPr>
      <w:r>
        <w:rPr>
          <w:rFonts w:hint="eastAsia" w:ascii="宋体" w:hAnsi="宋体"/>
          <w:sz w:val="24"/>
        </w:rPr>
        <w:t>持续改进：受托方需承诺对项目实施过程中的持续改进和优化能力</w:t>
      </w:r>
      <w:r>
        <w:rPr>
          <w:rFonts w:hint="eastAsia" w:ascii="宋体" w:hAnsi="宋体"/>
          <w:b/>
          <w:bCs/>
          <w:sz w:val="24"/>
          <w:highlight w:val="none"/>
        </w:rPr>
        <w:t>，验收后1年内的免费技术支持</w:t>
      </w:r>
      <w:r>
        <w:rPr>
          <w:rFonts w:hint="eastAsia" w:ascii="宋体" w:hAnsi="宋体"/>
          <w:sz w:val="24"/>
        </w:rPr>
        <w:t>，能在本地提供快速、专业的技术支持服务。</w:t>
      </w:r>
    </w:p>
    <w:p>
      <w:pPr>
        <w:spacing w:line="360" w:lineRule="auto"/>
        <w:rPr>
          <w:rFonts w:ascii="宋体" w:hAnsi="宋体"/>
          <w:b/>
          <w:sz w:val="28"/>
          <w:szCs w:val="28"/>
        </w:rPr>
      </w:pPr>
      <w:r>
        <w:rPr>
          <w:rFonts w:hint="eastAsia" w:ascii="宋体" w:hAnsi="宋体"/>
          <w:b/>
          <w:sz w:val="28"/>
          <w:szCs w:val="28"/>
        </w:rPr>
        <w:t>六、程序结构与功能</w:t>
      </w:r>
    </w:p>
    <w:p>
      <w:pPr>
        <w:spacing w:line="360" w:lineRule="auto"/>
        <w:rPr>
          <w:rFonts w:hint="eastAsia" w:ascii="宋体" w:hAnsi="宋体"/>
          <w:b/>
          <w:sz w:val="24"/>
        </w:rPr>
      </w:pPr>
      <w:r>
        <w:rPr>
          <w:rFonts w:hint="eastAsia" w:ascii="宋体" w:hAnsi="宋体"/>
          <w:b/>
          <w:sz w:val="24"/>
        </w:rPr>
        <w:t>6.1</w:t>
      </w:r>
      <w:r>
        <w:rPr>
          <w:rFonts w:ascii="宋体" w:hAnsi="宋体"/>
          <w:b/>
          <w:sz w:val="24"/>
        </w:rPr>
        <w:t xml:space="preserve"> PLC</w:t>
      </w:r>
      <w:r>
        <w:rPr>
          <w:rFonts w:hint="eastAsia" w:ascii="宋体" w:hAnsi="宋体"/>
          <w:b/>
          <w:sz w:val="24"/>
        </w:rPr>
        <w:t>程序</w:t>
      </w:r>
    </w:p>
    <w:p>
      <w:pPr>
        <w:spacing w:line="360" w:lineRule="auto"/>
        <w:ind w:firstLine="240" w:firstLineChars="100"/>
        <w:rPr>
          <w:rFonts w:hint="eastAsia" w:ascii="宋体" w:hAnsi="宋体"/>
          <w:sz w:val="24"/>
        </w:rPr>
      </w:pPr>
      <w:r>
        <w:rPr>
          <w:rFonts w:hint="eastAsia" w:ascii="宋体" w:hAnsi="宋体"/>
          <w:sz w:val="24"/>
          <w:lang w:eastAsia="zh-CN"/>
        </w:rPr>
        <w:t>中标人</w:t>
      </w:r>
      <w:r>
        <w:rPr>
          <w:rFonts w:hint="eastAsia" w:ascii="宋体" w:hAnsi="宋体"/>
          <w:sz w:val="24"/>
        </w:rPr>
        <w:t>的程序应在以下结构上扩展，其中控制器指P</w:t>
      </w:r>
      <w:r>
        <w:rPr>
          <w:rFonts w:ascii="宋体" w:hAnsi="宋体"/>
          <w:sz w:val="24"/>
        </w:rPr>
        <w:t>LC</w:t>
      </w:r>
      <w:r>
        <w:rPr>
          <w:rFonts w:hint="eastAsia" w:ascii="宋体" w:hAnsi="宋体"/>
          <w:sz w:val="24"/>
        </w:rPr>
        <w:t>的功能模块，：</w:t>
      </w:r>
    </w:p>
    <w:p>
      <w:pPr>
        <w:spacing w:line="360" w:lineRule="auto"/>
        <w:rPr>
          <w:rFonts w:ascii="宋体" w:hAnsi="宋体"/>
          <w:b/>
          <w:sz w:val="24"/>
        </w:rPr>
      </w:pPr>
      <w:r>
        <w:rPr>
          <w:rFonts w:hint="eastAsia" w:ascii="宋体" w:hAnsi="宋体"/>
          <w:b/>
          <w:sz w:val="24"/>
        </w:rPr>
        <w:t>1、UTC用户数据类型。</w:t>
      </w:r>
    </w:p>
    <w:p>
      <w:pPr>
        <w:spacing w:line="360" w:lineRule="auto"/>
        <w:rPr>
          <w:rFonts w:ascii="宋体" w:hAnsi="宋体"/>
          <w:sz w:val="24"/>
        </w:rPr>
      </w:pPr>
      <w:r>
        <w:rPr>
          <w:rFonts w:hint="eastAsia" w:ascii="宋体" w:hAnsi="宋体"/>
          <w:sz w:val="24"/>
        </w:rPr>
        <w:t xml:space="preserve">   建立风机、泵、变频器、开关阀、调节阀等设备统一的用户数据类型。</w:t>
      </w:r>
    </w:p>
    <w:p>
      <w:pPr>
        <w:spacing w:line="360" w:lineRule="auto"/>
        <w:rPr>
          <w:rFonts w:ascii="宋体" w:hAnsi="宋体"/>
          <w:b/>
          <w:sz w:val="24"/>
        </w:rPr>
      </w:pPr>
      <w:r>
        <w:rPr>
          <w:rFonts w:hint="eastAsia" w:ascii="宋体" w:hAnsi="宋体"/>
          <w:b/>
          <w:sz w:val="24"/>
        </w:rPr>
        <w:t>2、输入输出程序模块</w:t>
      </w:r>
    </w:p>
    <w:p>
      <w:pPr>
        <w:numPr>
          <w:ilvl w:val="1"/>
          <w:numId w:val="18"/>
        </w:numPr>
        <w:spacing w:line="360" w:lineRule="auto"/>
        <w:rPr>
          <w:rFonts w:ascii="宋体" w:hAnsi="宋体"/>
          <w:sz w:val="24"/>
        </w:rPr>
      </w:pPr>
      <w:r>
        <w:rPr>
          <w:rFonts w:hint="eastAsia" w:ascii="宋体" w:hAnsi="宋体"/>
          <w:sz w:val="24"/>
        </w:rPr>
        <w:t>模拟量输入：含模块输入量、量程转换、不少于7个点的非线性修正、启用仿真内部点、过程变量、质检允许信号、信号质量正常信号等。质检包含超量程、断线、短路等。</w:t>
      </w:r>
    </w:p>
    <w:p>
      <w:pPr>
        <w:numPr>
          <w:ilvl w:val="1"/>
          <w:numId w:val="18"/>
        </w:numPr>
        <w:spacing w:line="360" w:lineRule="auto"/>
        <w:rPr>
          <w:rFonts w:hint="eastAsia" w:ascii="宋体" w:hAnsi="宋体"/>
          <w:sz w:val="24"/>
        </w:rPr>
      </w:pPr>
      <w:r>
        <w:rPr>
          <w:rFonts w:hint="eastAsia" w:ascii="宋体" w:hAnsi="宋体"/>
          <w:sz w:val="24"/>
        </w:rPr>
        <w:t>模拟量输出：含PID输出指令、不少于5个点的非线性修正（控制阀）、输出量、质检允许信号等。质检包含超量程、断线、短路等。</w:t>
      </w:r>
    </w:p>
    <w:p>
      <w:pPr>
        <w:numPr>
          <w:ilvl w:val="1"/>
          <w:numId w:val="18"/>
        </w:numPr>
        <w:tabs>
          <w:tab w:val="left" w:pos="567"/>
        </w:tabs>
        <w:spacing w:line="360" w:lineRule="auto"/>
        <w:rPr>
          <w:rFonts w:ascii="宋体" w:hAnsi="宋体"/>
          <w:sz w:val="24"/>
        </w:rPr>
      </w:pPr>
      <w:r>
        <w:rPr>
          <w:rFonts w:hint="eastAsia" w:ascii="宋体" w:hAnsi="宋体"/>
          <w:sz w:val="24"/>
        </w:rPr>
        <w:t>数字量输入：模块输入量、启用仿真内部点、过程变量。</w:t>
      </w:r>
    </w:p>
    <w:p>
      <w:pPr>
        <w:numPr>
          <w:ilvl w:val="1"/>
          <w:numId w:val="18"/>
        </w:numPr>
        <w:tabs>
          <w:tab w:val="left" w:pos="567"/>
        </w:tabs>
        <w:spacing w:line="360" w:lineRule="auto"/>
        <w:rPr>
          <w:rFonts w:ascii="宋体" w:hAnsi="宋体"/>
          <w:sz w:val="24"/>
        </w:rPr>
      </w:pPr>
      <w:r>
        <w:rPr>
          <w:rFonts w:hint="eastAsia" w:ascii="宋体" w:hAnsi="宋体"/>
          <w:sz w:val="24"/>
        </w:rPr>
        <w:t>数字量输出：投入仿真时，以数字量输出替代反馈输入。</w:t>
      </w:r>
    </w:p>
    <w:p>
      <w:pPr>
        <w:numPr>
          <w:ilvl w:val="1"/>
          <w:numId w:val="18"/>
        </w:numPr>
        <w:tabs>
          <w:tab w:val="left" w:pos="567"/>
        </w:tabs>
        <w:spacing w:line="360" w:lineRule="auto"/>
        <w:rPr>
          <w:rFonts w:ascii="宋体" w:hAnsi="宋体"/>
          <w:sz w:val="24"/>
        </w:rPr>
      </w:pPr>
      <w:r>
        <w:rPr>
          <w:rFonts w:hint="eastAsia" w:ascii="宋体" w:hAnsi="宋体"/>
          <w:sz w:val="24"/>
        </w:rPr>
        <w:t>控制对象特性模块：以一次或二次方程表示控制对象特性。在投入仿真时，按照预设的函数反馈给控制系统。</w:t>
      </w:r>
    </w:p>
    <w:p>
      <w:pPr>
        <w:tabs>
          <w:tab w:val="left" w:pos="1856"/>
        </w:tabs>
        <w:spacing w:line="360" w:lineRule="auto"/>
        <w:ind w:firstLine="240" w:firstLineChars="100"/>
        <w:rPr>
          <w:rFonts w:ascii="宋体" w:hAnsi="宋体"/>
          <w:sz w:val="24"/>
        </w:rPr>
      </w:pPr>
      <w:r>
        <w:rPr>
          <w:rFonts w:hint="eastAsia" w:ascii="宋体" w:hAnsi="宋体"/>
          <w:sz w:val="24"/>
        </w:rPr>
        <w:t>其他：现场没有冷量表、只有流量计的测点，使用已有的流量、温度，采用焓值法和温差法两种方式计算相关冷量，用于冷站组团出口、主机总管等供冷量的计算。流量、冷量具备故障或检修时强制为某一数值的功能，以避免负荷计算出现异常。对于超声波流量计，当Q值降低到设定值以下、融冰/制冰状态下数据超出正常范围时，发出报警。当阀门全关状态下，流量测得流量较大，超过设定值时，发出异常报警。</w:t>
      </w:r>
    </w:p>
    <w:p>
      <w:pPr>
        <w:tabs>
          <w:tab w:val="left" w:pos="567"/>
        </w:tabs>
        <w:spacing w:line="360" w:lineRule="auto"/>
        <w:ind w:left="840"/>
        <w:rPr>
          <w:rFonts w:ascii="宋体" w:hAnsi="宋体"/>
          <w:sz w:val="24"/>
        </w:rPr>
      </w:pPr>
    </w:p>
    <w:p>
      <w:pPr>
        <w:tabs>
          <w:tab w:val="left" w:pos="567"/>
        </w:tabs>
        <w:spacing w:line="360" w:lineRule="auto"/>
        <w:rPr>
          <w:rFonts w:hint="eastAsia" w:ascii="宋体" w:hAnsi="宋体"/>
          <w:b/>
          <w:sz w:val="24"/>
        </w:rPr>
      </w:pPr>
      <w:r>
        <w:rPr>
          <w:rFonts w:hint="eastAsia" w:ascii="宋体" w:hAnsi="宋体"/>
          <w:b/>
          <w:sz w:val="24"/>
        </w:rPr>
        <w:t>3、MV控制站</w:t>
      </w:r>
    </w:p>
    <w:p>
      <w:pPr>
        <w:tabs>
          <w:tab w:val="left" w:pos="567"/>
        </w:tabs>
        <w:spacing w:line="360" w:lineRule="auto"/>
        <w:rPr>
          <w:rFonts w:ascii="宋体" w:hAnsi="宋体"/>
          <w:sz w:val="24"/>
        </w:rPr>
      </w:pPr>
      <w:r>
        <w:rPr>
          <w:rFonts w:hint="eastAsia" w:ascii="宋体" w:hAnsi="宋体"/>
          <w:sz w:val="24"/>
        </w:rPr>
        <w:t xml:space="preserve">   </w:t>
      </w:r>
      <w:r>
        <w:rPr>
          <w:rFonts w:ascii="宋体" w:hAnsi="宋体"/>
          <w:sz w:val="24"/>
        </w:rPr>
        <w:t>Manual Variable Station</w:t>
      </w:r>
      <w:r>
        <w:rPr>
          <w:rFonts w:hint="eastAsia" w:ascii="宋体" w:hAnsi="宋体"/>
          <w:sz w:val="24"/>
        </w:rPr>
        <w:t>手动操作站，同一类设备建立相同程序块，用于人机界面的手动操作、程序的自动控制信号的切换，包括并不限于以下内容：</w:t>
      </w:r>
    </w:p>
    <w:p>
      <w:pPr>
        <w:numPr>
          <w:ilvl w:val="0"/>
          <w:numId w:val="19"/>
        </w:numPr>
        <w:tabs>
          <w:tab w:val="left" w:pos="567"/>
        </w:tabs>
        <w:spacing w:line="360" w:lineRule="auto"/>
        <w:rPr>
          <w:rFonts w:ascii="宋体" w:hAnsi="宋体"/>
          <w:sz w:val="24"/>
        </w:rPr>
      </w:pPr>
      <w:r>
        <w:rPr>
          <w:rFonts w:hint="eastAsia" w:ascii="宋体" w:hAnsi="宋体"/>
          <w:sz w:val="24"/>
        </w:rPr>
        <w:t>输入人机界面的开关指令（开关阀等）、开度指令（调节阀、变频器等）</w:t>
      </w:r>
    </w:p>
    <w:p>
      <w:pPr>
        <w:numPr>
          <w:ilvl w:val="0"/>
          <w:numId w:val="19"/>
        </w:numPr>
        <w:tabs>
          <w:tab w:val="left" w:pos="567"/>
        </w:tabs>
        <w:spacing w:line="360" w:lineRule="auto"/>
        <w:rPr>
          <w:rFonts w:ascii="宋体" w:hAnsi="宋体"/>
          <w:sz w:val="24"/>
        </w:rPr>
      </w:pPr>
      <w:r>
        <w:rPr>
          <w:rFonts w:hint="eastAsia" w:ascii="宋体" w:hAnsi="宋体"/>
          <w:sz w:val="24"/>
        </w:rPr>
        <w:t>输入自动控制程序的指令；</w:t>
      </w:r>
    </w:p>
    <w:p>
      <w:pPr>
        <w:numPr>
          <w:ilvl w:val="0"/>
          <w:numId w:val="19"/>
        </w:numPr>
        <w:tabs>
          <w:tab w:val="left" w:pos="567"/>
        </w:tabs>
        <w:spacing w:line="360" w:lineRule="auto"/>
        <w:rPr>
          <w:rFonts w:hint="eastAsia" w:ascii="宋体" w:hAnsi="宋体"/>
          <w:sz w:val="24"/>
        </w:rPr>
      </w:pPr>
      <w:r>
        <w:rPr>
          <w:rFonts w:hint="eastAsia" w:ascii="宋体" w:hAnsi="宋体"/>
          <w:sz w:val="24"/>
        </w:rPr>
        <w:t>输入联锁指令。在多设备联锁动作时，输入特定的指令信号。</w:t>
      </w:r>
    </w:p>
    <w:p>
      <w:pPr>
        <w:numPr>
          <w:ilvl w:val="0"/>
          <w:numId w:val="19"/>
        </w:numPr>
        <w:tabs>
          <w:tab w:val="left" w:pos="567"/>
        </w:tabs>
        <w:spacing w:line="360" w:lineRule="auto"/>
        <w:rPr>
          <w:rFonts w:ascii="宋体" w:hAnsi="宋体"/>
          <w:sz w:val="24"/>
        </w:rPr>
      </w:pPr>
      <w:r>
        <w:rPr>
          <w:rFonts w:hint="eastAsia" w:ascii="宋体" w:hAnsi="宋体"/>
          <w:sz w:val="24"/>
        </w:rPr>
        <w:t>实现自动/手动程序的无扰切换；</w:t>
      </w:r>
    </w:p>
    <w:p>
      <w:pPr>
        <w:numPr>
          <w:ilvl w:val="0"/>
          <w:numId w:val="19"/>
        </w:numPr>
        <w:tabs>
          <w:tab w:val="left" w:pos="567"/>
        </w:tabs>
        <w:spacing w:line="360" w:lineRule="auto"/>
        <w:rPr>
          <w:rFonts w:ascii="宋体" w:hAnsi="宋体"/>
          <w:sz w:val="24"/>
        </w:rPr>
      </w:pPr>
      <w:r>
        <w:rPr>
          <w:rFonts w:hint="eastAsia" w:ascii="宋体" w:hAnsi="宋体"/>
          <w:sz w:val="24"/>
        </w:rPr>
        <w:t>各类报警，包含故障、开超时、关超时等；</w:t>
      </w:r>
    </w:p>
    <w:p>
      <w:pPr>
        <w:numPr>
          <w:ilvl w:val="0"/>
          <w:numId w:val="19"/>
        </w:numPr>
        <w:tabs>
          <w:tab w:val="left" w:pos="567"/>
        </w:tabs>
        <w:spacing w:line="360" w:lineRule="auto"/>
        <w:rPr>
          <w:rFonts w:ascii="宋体" w:hAnsi="宋体"/>
          <w:sz w:val="24"/>
        </w:rPr>
      </w:pPr>
      <w:r>
        <w:rPr>
          <w:rFonts w:hint="eastAsia" w:ascii="宋体" w:hAnsi="宋体"/>
          <w:sz w:val="24"/>
        </w:rPr>
        <w:t>设备隔离时，禁止发出任何指令；</w:t>
      </w:r>
    </w:p>
    <w:p>
      <w:pPr>
        <w:numPr>
          <w:ilvl w:val="0"/>
          <w:numId w:val="19"/>
        </w:numPr>
        <w:tabs>
          <w:tab w:val="left" w:pos="567"/>
        </w:tabs>
        <w:spacing w:line="360" w:lineRule="auto"/>
        <w:rPr>
          <w:rFonts w:ascii="宋体" w:hAnsi="宋体"/>
          <w:sz w:val="24"/>
        </w:rPr>
      </w:pPr>
      <w:r>
        <w:rPr>
          <w:rFonts w:hint="eastAsia" w:ascii="宋体" w:hAnsi="宋体"/>
          <w:sz w:val="24"/>
        </w:rPr>
        <w:t>记录设备一定时间内的启动/动作次数，当达到设定值时，发出报警至人机界面、自动控制程序。该次数限制根据设备说明书或业主要求来设置。</w:t>
      </w:r>
    </w:p>
    <w:p>
      <w:pPr>
        <w:numPr>
          <w:ilvl w:val="0"/>
          <w:numId w:val="19"/>
        </w:numPr>
        <w:tabs>
          <w:tab w:val="left" w:pos="567"/>
        </w:tabs>
        <w:spacing w:line="360" w:lineRule="auto"/>
        <w:rPr>
          <w:rFonts w:hint="eastAsia" w:ascii="宋体" w:hAnsi="宋体"/>
          <w:sz w:val="24"/>
        </w:rPr>
      </w:pPr>
      <w:r>
        <w:rPr>
          <w:rFonts w:hint="eastAsia" w:ascii="宋体" w:hAnsi="宋体"/>
          <w:sz w:val="24"/>
        </w:rPr>
        <w:t>指令间隔限制：两次指令的时间小于最小时间间隔，则发出报警至人机界面及自动控制程序。</w:t>
      </w:r>
    </w:p>
    <w:p>
      <w:pPr>
        <w:tabs>
          <w:tab w:val="left" w:pos="1856"/>
        </w:tabs>
        <w:spacing w:line="360" w:lineRule="auto"/>
        <w:rPr>
          <w:rFonts w:ascii="宋体" w:hAnsi="宋体"/>
          <w:b/>
          <w:sz w:val="24"/>
        </w:rPr>
      </w:pPr>
      <w:r>
        <w:rPr>
          <w:rFonts w:hint="eastAsia" w:ascii="宋体" w:hAnsi="宋体"/>
          <w:b/>
          <w:sz w:val="24"/>
        </w:rPr>
        <w:t>4、PID模块</w:t>
      </w:r>
    </w:p>
    <w:p>
      <w:pPr>
        <w:tabs>
          <w:tab w:val="left" w:pos="1856"/>
        </w:tabs>
        <w:spacing w:line="360" w:lineRule="auto"/>
        <w:ind w:firstLine="480" w:firstLineChars="200"/>
        <w:rPr>
          <w:rFonts w:hint="eastAsia" w:ascii="宋体" w:hAnsi="宋体"/>
          <w:sz w:val="24"/>
        </w:rPr>
      </w:pPr>
      <w:r>
        <w:rPr>
          <w:rFonts w:hint="eastAsia" w:ascii="宋体" w:hAnsi="宋体"/>
          <w:sz w:val="24"/>
        </w:rPr>
        <w:t>对于模拟量控制，要求建立多模态PID模块， P、I、D参数为多分量加权，</w:t>
      </w:r>
    </w:p>
    <w:p>
      <w:pPr>
        <w:tabs>
          <w:tab w:val="left" w:pos="1856"/>
        </w:tabs>
        <w:spacing w:line="360" w:lineRule="auto"/>
        <w:ind w:firstLine="480" w:firstLineChars="200"/>
        <w:rPr>
          <w:rFonts w:hint="eastAsia" w:ascii="宋体" w:hAnsi="宋体"/>
          <w:sz w:val="24"/>
        </w:rPr>
      </w:pPr>
      <w:r>
        <w:rPr>
          <w:rFonts w:hint="eastAsia" w:ascii="宋体" w:hAnsi="宋体"/>
          <w:sz w:val="24"/>
        </w:rPr>
        <w:t>输出=</w:t>
      </w:r>
      <w:r>
        <w:rPr>
          <w:rFonts w:ascii="宋体" w:hAnsi="宋体"/>
          <w:sz w:val="24"/>
        </w:rPr>
        <w:t>Kp * E + Ki * ∫Edt + Kd * dE/dt</w:t>
      </w:r>
      <w:r>
        <w:rPr>
          <w:rFonts w:hint="eastAsia" w:ascii="宋体" w:hAnsi="宋体"/>
          <w:sz w:val="24"/>
        </w:rPr>
        <w:t>，</w:t>
      </w:r>
    </w:p>
    <w:p>
      <w:pPr>
        <w:tabs>
          <w:tab w:val="left" w:pos="1856"/>
        </w:tabs>
        <w:spacing w:line="360" w:lineRule="auto"/>
        <w:ind w:firstLine="480" w:firstLineChars="200"/>
        <w:rPr>
          <w:rFonts w:hint="eastAsia" w:ascii="宋体" w:hAnsi="宋体"/>
          <w:sz w:val="24"/>
        </w:rPr>
      </w:pPr>
      <w:r>
        <w:rPr>
          <w:rFonts w:hint="eastAsia" w:ascii="宋体" w:hAnsi="宋体"/>
          <w:sz w:val="24"/>
        </w:rPr>
        <w:t>其中</w:t>
      </w:r>
      <w:r>
        <w:rPr>
          <w:rFonts w:hint="eastAsia" w:ascii="宋体" w:hAnsi="宋体"/>
          <w:sz w:val="24"/>
          <w:lang w:val="en-US" w:eastAsia="zh-CN"/>
        </w:rPr>
        <w:t>：</w:t>
      </w:r>
      <w:r>
        <w:rPr>
          <w:rFonts w:hint="eastAsia" w:ascii="宋体" w:hAnsi="宋体"/>
          <w:sz w:val="24"/>
        </w:rPr>
        <w:t>Kp=</w:t>
      </w:r>
      <w:r>
        <w:rPr>
          <w:rFonts w:ascii="宋体" w:hAnsi="宋体"/>
          <w:sz w:val="24"/>
        </w:rPr>
        <w:t>P1*K1 + P2*K2</w:t>
      </w:r>
      <w:r>
        <w:rPr>
          <w:rFonts w:hint="eastAsia" w:ascii="宋体" w:hAnsi="宋体"/>
          <w:sz w:val="24"/>
        </w:rPr>
        <w:t>+</w:t>
      </w:r>
      <w:r>
        <w:rPr>
          <w:rFonts w:ascii="宋体" w:hAnsi="宋体"/>
          <w:sz w:val="24"/>
        </w:rPr>
        <w:t>…</w:t>
      </w:r>
      <w:r>
        <w:rPr>
          <w:rFonts w:hint="eastAsia" w:ascii="宋体" w:hAnsi="宋体"/>
          <w:sz w:val="24"/>
        </w:rPr>
        <w:t>,</w:t>
      </w:r>
    </w:p>
    <w:p>
      <w:pPr>
        <w:tabs>
          <w:tab w:val="left" w:pos="1856"/>
        </w:tabs>
        <w:spacing w:line="360" w:lineRule="auto"/>
        <w:ind w:firstLine="1200" w:firstLineChars="500"/>
        <w:rPr>
          <w:rFonts w:hint="eastAsia" w:ascii="宋体" w:hAnsi="宋体"/>
          <w:sz w:val="24"/>
        </w:rPr>
      </w:pPr>
      <w:r>
        <w:rPr>
          <w:rFonts w:hint="eastAsia" w:ascii="宋体" w:hAnsi="宋体"/>
          <w:sz w:val="24"/>
        </w:rPr>
        <w:t>Ki=I</w:t>
      </w:r>
      <w:r>
        <w:rPr>
          <w:rFonts w:ascii="宋体" w:hAnsi="宋体"/>
          <w:sz w:val="24"/>
        </w:rPr>
        <w:t xml:space="preserve">1*K1 + </w:t>
      </w:r>
      <w:r>
        <w:rPr>
          <w:rFonts w:hint="eastAsia" w:ascii="宋体" w:hAnsi="宋体"/>
          <w:sz w:val="24"/>
        </w:rPr>
        <w:t>I</w:t>
      </w:r>
      <w:r>
        <w:rPr>
          <w:rFonts w:ascii="宋体" w:hAnsi="宋体"/>
          <w:sz w:val="24"/>
        </w:rPr>
        <w:t>2*K2</w:t>
      </w:r>
      <w:r>
        <w:rPr>
          <w:rFonts w:hint="eastAsia" w:ascii="宋体" w:hAnsi="宋体"/>
          <w:sz w:val="24"/>
        </w:rPr>
        <w:t>+</w:t>
      </w:r>
      <w:r>
        <w:rPr>
          <w:rFonts w:ascii="宋体" w:hAnsi="宋体"/>
          <w:sz w:val="24"/>
        </w:rPr>
        <w:t>…</w:t>
      </w:r>
      <w:r>
        <w:rPr>
          <w:rFonts w:hint="eastAsia" w:ascii="宋体" w:hAnsi="宋体"/>
          <w:sz w:val="24"/>
        </w:rPr>
        <w:t xml:space="preserve">, </w:t>
      </w:r>
    </w:p>
    <w:p>
      <w:pPr>
        <w:tabs>
          <w:tab w:val="left" w:pos="1856"/>
        </w:tabs>
        <w:spacing w:line="360" w:lineRule="auto"/>
        <w:ind w:firstLine="1200" w:firstLineChars="500"/>
        <w:rPr>
          <w:rFonts w:ascii="宋体" w:hAnsi="宋体"/>
          <w:sz w:val="24"/>
        </w:rPr>
      </w:pPr>
      <w:r>
        <w:rPr>
          <w:rFonts w:hint="eastAsia" w:ascii="宋体" w:hAnsi="宋体"/>
          <w:sz w:val="24"/>
        </w:rPr>
        <w:t>Kd=D</w:t>
      </w:r>
      <w:r>
        <w:rPr>
          <w:rFonts w:ascii="宋体" w:hAnsi="宋体"/>
          <w:sz w:val="24"/>
        </w:rPr>
        <w:t xml:space="preserve">1*K1 + </w:t>
      </w:r>
      <w:r>
        <w:rPr>
          <w:rFonts w:hint="eastAsia" w:ascii="宋体" w:hAnsi="宋体"/>
          <w:sz w:val="24"/>
        </w:rPr>
        <w:t>D</w:t>
      </w:r>
      <w:r>
        <w:rPr>
          <w:rFonts w:ascii="宋体" w:hAnsi="宋体"/>
          <w:sz w:val="24"/>
        </w:rPr>
        <w:t>2*K2</w:t>
      </w:r>
      <w:r>
        <w:rPr>
          <w:rFonts w:hint="eastAsia" w:ascii="宋体" w:hAnsi="宋体"/>
          <w:sz w:val="24"/>
        </w:rPr>
        <w:t>+</w:t>
      </w:r>
      <w:r>
        <w:rPr>
          <w:rFonts w:ascii="宋体" w:hAnsi="宋体"/>
          <w:sz w:val="24"/>
        </w:rPr>
        <w:t>…</w:t>
      </w:r>
      <w:r>
        <w:rPr>
          <w:rFonts w:hint="eastAsia" w:ascii="宋体" w:hAnsi="宋体"/>
          <w:sz w:val="24"/>
        </w:rPr>
        <w:t>。</w:t>
      </w:r>
    </w:p>
    <w:p>
      <w:pPr>
        <w:tabs>
          <w:tab w:val="left" w:pos="1856"/>
        </w:tabs>
        <w:spacing w:line="360" w:lineRule="auto"/>
        <w:rPr>
          <w:rFonts w:ascii="宋体" w:hAnsi="宋体"/>
          <w:b/>
          <w:sz w:val="24"/>
        </w:rPr>
      </w:pPr>
      <w:r>
        <w:rPr>
          <w:rFonts w:hint="eastAsia" w:ascii="宋体" w:hAnsi="宋体"/>
          <w:b/>
          <w:sz w:val="24"/>
        </w:rPr>
        <w:t>5、双工况主机控制器</w:t>
      </w:r>
    </w:p>
    <w:p>
      <w:pPr>
        <w:tabs>
          <w:tab w:val="left" w:pos="1856"/>
        </w:tabs>
        <w:spacing w:line="360" w:lineRule="auto"/>
        <w:rPr>
          <w:rFonts w:ascii="宋体" w:hAnsi="宋体"/>
          <w:sz w:val="24"/>
        </w:rPr>
      </w:pPr>
      <w:r>
        <w:rPr>
          <w:rFonts w:hint="eastAsia" w:ascii="宋体" w:hAnsi="宋体"/>
          <w:sz w:val="24"/>
        </w:rPr>
        <w:t xml:space="preserve">   协调模式下，接收协调主控发来的双工况主机运行时间表，控制主机、冷冻水泵、冷却水泵、电动阀的开关、启停、温度设定。</w:t>
      </w:r>
    </w:p>
    <w:p>
      <w:pPr>
        <w:tabs>
          <w:tab w:val="left" w:pos="1856"/>
        </w:tabs>
        <w:spacing w:line="360" w:lineRule="auto"/>
        <w:ind w:firstLine="240" w:firstLineChars="100"/>
        <w:rPr>
          <w:rFonts w:ascii="宋体" w:hAnsi="宋体"/>
          <w:sz w:val="24"/>
        </w:rPr>
      </w:pPr>
      <w:r>
        <w:rPr>
          <w:rFonts w:hint="eastAsia" w:ascii="宋体" w:hAnsi="宋体"/>
          <w:sz w:val="24"/>
        </w:rPr>
        <w:t>定时运行时间表，双工况主机满足启动条件和满足时间表条件时，发出单组主机启动信号。</w:t>
      </w:r>
    </w:p>
    <w:p>
      <w:pPr>
        <w:tabs>
          <w:tab w:val="left" w:pos="1856"/>
        </w:tabs>
        <w:spacing w:line="360" w:lineRule="auto"/>
        <w:rPr>
          <w:rFonts w:ascii="宋体" w:hAnsi="宋体"/>
          <w:sz w:val="24"/>
        </w:rPr>
      </w:pPr>
      <w:r>
        <w:rPr>
          <w:rFonts w:hint="eastAsia" w:ascii="宋体" w:hAnsi="宋体"/>
          <w:sz w:val="24"/>
        </w:rPr>
        <w:t>1）启动条件：</w:t>
      </w:r>
    </w:p>
    <w:p>
      <w:pPr>
        <w:numPr>
          <w:ilvl w:val="0"/>
          <w:numId w:val="20"/>
        </w:numPr>
        <w:tabs>
          <w:tab w:val="left" w:pos="1856"/>
        </w:tabs>
        <w:spacing w:line="360" w:lineRule="auto"/>
        <w:ind w:left="851" w:hanging="1000"/>
        <w:rPr>
          <w:rFonts w:ascii="宋体" w:hAnsi="宋体"/>
          <w:sz w:val="24"/>
        </w:rPr>
      </w:pPr>
      <w:r>
        <w:rPr>
          <w:rFonts w:hint="eastAsia" w:ascii="宋体" w:hAnsi="宋体"/>
          <w:sz w:val="24"/>
        </w:rPr>
        <w:t>主机温度控制指令质检允许、质检正常；</w:t>
      </w:r>
    </w:p>
    <w:p>
      <w:pPr>
        <w:numPr>
          <w:ilvl w:val="0"/>
          <w:numId w:val="20"/>
        </w:numPr>
        <w:tabs>
          <w:tab w:val="left" w:pos="1856"/>
        </w:tabs>
        <w:spacing w:line="360" w:lineRule="auto"/>
        <w:ind w:left="851" w:hanging="1000"/>
        <w:rPr>
          <w:rFonts w:ascii="宋体" w:hAnsi="宋体"/>
          <w:sz w:val="24"/>
        </w:rPr>
      </w:pPr>
      <w:r>
        <w:rPr>
          <w:rFonts w:hint="eastAsia" w:ascii="宋体" w:hAnsi="宋体"/>
          <w:sz w:val="24"/>
        </w:rPr>
        <w:t>变频水泵控制指令及反馈质检允许、质检正常；</w:t>
      </w:r>
    </w:p>
    <w:p>
      <w:pPr>
        <w:numPr>
          <w:ilvl w:val="0"/>
          <w:numId w:val="20"/>
        </w:numPr>
        <w:tabs>
          <w:tab w:val="left" w:pos="1856"/>
        </w:tabs>
        <w:spacing w:line="360" w:lineRule="auto"/>
        <w:ind w:left="851" w:hanging="1000"/>
        <w:rPr>
          <w:rFonts w:ascii="宋体" w:hAnsi="宋体"/>
          <w:sz w:val="24"/>
        </w:rPr>
      </w:pPr>
      <w:r>
        <w:rPr>
          <w:rFonts w:hint="eastAsia" w:ascii="宋体" w:hAnsi="宋体"/>
          <w:sz w:val="24"/>
        </w:rPr>
        <w:t>冷冻水泵、冷却水泵、电动阀处于远程、非隔离状态；</w:t>
      </w:r>
    </w:p>
    <w:p>
      <w:pPr>
        <w:numPr>
          <w:ilvl w:val="0"/>
          <w:numId w:val="20"/>
        </w:numPr>
        <w:tabs>
          <w:tab w:val="left" w:pos="1856"/>
        </w:tabs>
        <w:spacing w:line="360" w:lineRule="auto"/>
        <w:ind w:left="851" w:hanging="1000"/>
        <w:rPr>
          <w:rFonts w:ascii="宋体" w:hAnsi="宋体"/>
          <w:sz w:val="24"/>
        </w:rPr>
      </w:pPr>
      <w:r>
        <w:rPr>
          <w:rFonts w:hint="eastAsia" w:ascii="宋体" w:hAnsi="宋体"/>
          <w:sz w:val="24"/>
        </w:rPr>
        <w:t>双工况主机、冷冻水泵、冷却水泵处于非启动中、非停止中、非启动次数限制、已达到</w:t>
      </w:r>
    </w:p>
    <w:p>
      <w:pPr>
        <w:tabs>
          <w:tab w:val="left" w:pos="1856"/>
        </w:tabs>
        <w:spacing w:line="360" w:lineRule="auto"/>
        <w:rPr>
          <w:rFonts w:ascii="宋体" w:hAnsi="宋体"/>
          <w:sz w:val="24"/>
        </w:rPr>
      </w:pPr>
      <w:r>
        <w:rPr>
          <w:rFonts w:hint="eastAsia" w:ascii="宋体" w:hAnsi="宋体"/>
          <w:sz w:val="24"/>
        </w:rPr>
        <w:t>两次启动时间间隔；</w:t>
      </w:r>
    </w:p>
    <w:p>
      <w:pPr>
        <w:numPr>
          <w:ilvl w:val="0"/>
          <w:numId w:val="20"/>
        </w:numPr>
        <w:tabs>
          <w:tab w:val="left" w:pos="1856"/>
        </w:tabs>
        <w:spacing w:line="360" w:lineRule="auto"/>
        <w:ind w:left="851" w:hanging="1000"/>
        <w:rPr>
          <w:rFonts w:hint="eastAsia" w:ascii="宋体" w:hAnsi="宋体"/>
          <w:sz w:val="24"/>
        </w:rPr>
      </w:pPr>
      <w:r>
        <w:rPr>
          <w:rFonts w:hint="eastAsia" w:ascii="宋体" w:hAnsi="宋体"/>
          <w:sz w:val="24"/>
        </w:rPr>
        <w:t>非启动失败</w:t>
      </w:r>
    </w:p>
    <w:p>
      <w:pPr>
        <w:tabs>
          <w:tab w:val="left" w:pos="1856"/>
        </w:tabs>
        <w:spacing w:line="360" w:lineRule="auto"/>
        <w:ind w:left="-284" w:firstLine="240" w:firstLineChars="100"/>
        <w:rPr>
          <w:rFonts w:hint="eastAsia" w:ascii="宋体" w:hAnsi="宋体"/>
          <w:sz w:val="24"/>
        </w:rPr>
      </w:pPr>
      <w:r>
        <w:rPr>
          <w:rFonts w:hint="eastAsia" w:ascii="宋体" w:hAnsi="宋体"/>
          <w:sz w:val="24"/>
        </w:rPr>
        <w:t>单组主机及对应的水泵满足以上启动条件，则发出*号主机组启动允许信号。</w:t>
      </w:r>
    </w:p>
    <w:p>
      <w:pPr>
        <w:tabs>
          <w:tab w:val="left" w:pos="1856"/>
        </w:tabs>
        <w:spacing w:line="360" w:lineRule="auto"/>
        <w:ind w:hanging="284"/>
        <w:rPr>
          <w:rFonts w:ascii="宋体" w:hAnsi="宋体"/>
          <w:sz w:val="24"/>
        </w:rPr>
      </w:pPr>
      <w:r>
        <w:rPr>
          <w:rFonts w:hint="eastAsia" w:ascii="宋体" w:hAnsi="宋体"/>
          <w:sz w:val="24"/>
        </w:rPr>
        <w:t>2）停止条件：</w:t>
      </w:r>
    </w:p>
    <w:p>
      <w:pPr>
        <w:numPr>
          <w:ilvl w:val="0"/>
          <w:numId w:val="20"/>
        </w:numPr>
        <w:tabs>
          <w:tab w:val="left" w:pos="1856"/>
        </w:tabs>
        <w:spacing w:line="360" w:lineRule="auto"/>
        <w:ind w:hanging="1000"/>
        <w:rPr>
          <w:rFonts w:ascii="宋体" w:hAnsi="宋体"/>
          <w:sz w:val="24"/>
        </w:rPr>
      </w:pPr>
      <w:r>
        <w:rPr>
          <w:rFonts w:hint="eastAsia" w:ascii="宋体" w:hAnsi="宋体"/>
          <w:sz w:val="24"/>
        </w:rPr>
        <w:t>冷冻水泵、冷却水泵、电动阀处于远程状态；</w:t>
      </w:r>
    </w:p>
    <w:p>
      <w:pPr>
        <w:numPr>
          <w:ilvl w:val="0"/>
          <w:numId w:val="20"/>
        </w:numPr>
        <w:tabs>
          <w:tab w:val="left" w:pos="1856"/>
        </w:tabs>
        <w:spacing w:line="360" w:lineRule="auto"/>
        <w:ind w:hanging="1000"/>
        <w:rPr>
          <w:rFonts w:hint="eastAsia" w:ascii="宋体" w:hAnsi="宋体"/>
          <w:sz w:val="24"/>
        </w:rPr>
      </w:pPr>
      <w:r>
        <w:rPr>
          <w:rFonts w:hint="eastAsia" w:ascii="宋体" w:hAnsi="宋体"/>
          <w:sz w:val="24"/>
        </w:rPr>
        <w:t>双工况主机、冷冻水泵、冷却水泵处于非启动中、非停止中；</w:t>
      </w:r>
    </w:p>
    <w:p>
      <w:pPr>
        <w:tabs>
          <w:tab w:val="left" w:pos="1856"/>
        </w:tabs>
        <w:spacing w:line="360" w:lineRule="auto"/>
        <w:ind w:left="-283" w:leftChars="-135"/>
        <w:rPr>
          <w:rFonts w:ascii="宋体" w:hAnsi="宋体"/>
          <w:sz w:val="24"/>
        </w:rPr>
      </w:pPr>
      <w:r>
        <w:rPr>
          <w:rFonts w:hint="eastAsia" w:ascii="宋体" w:hAnsi="宋体"/>
          <w:sz w:val="24"/>
        </w:rPr>
        <w:t>3）单组主机启动顺控：</w:t>
      </w:r>
    </w:p>
    <w:p>
      <w:pPr>
        <w:tabs>
          <w:tab w:val="left" w:pos="1856"/>
        </w:tabs>
        <w:spacing w:line="360" w:lineRule="auto"/>
        <w:ind w:left="-283" w:leftChars="-135"/>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协调控制器发出单组主机启动之前，已经向冷却塔控制器发送了冷却塔启动指令和冷却塔启动需求数。单组主机启动顺控的条件之一是已运行了相应数量的冷却塔。单组主机启动顺序如下：</w:t>
      </w:r>
    </w:p>
    <w:p>
      <w:pPr>
        <w:numPr>
          <w:ilvl w:val="0"/>
          <w:numId w:val="20"/>
        </w:numPr>
        <w:tabs>
          <w:tab w:val="left" w:pos="1856"/>
        </w:tabs>
        <w:spacing w:line="360" w:lineRule="auto"/>
        <w:ind w:hanging="1000"/>
        <w:rPr>
          <w:rFonts w:ascii="宋体" w:hAnsi="宋体"/>
          <w:sz w:val="24"/>
        </w:rPr>
      </w:pPr>
      <w:r>
        <w:rPr>
          <w:rFonts w:hint="eastAsia" w:ascii="宋体" w:hAnsi="宋体"/>
          <w:sz w:val="24"/>
        </w:rPr>
        <w:t>打开冷冻、冷却侧电动阀。若信号反馈正常，则顺序继续进行；若未收到阀门开到位信号，则发出报警，顺控暂停，经操作员确认现场阀门已打开后，在上位机发仿真“已全开”，程序继续；</w:t>
      </w:r>
    </w:p>
    <w:p>
      <w:pPr>
        <w:numPr>
          <w:ilvl w:val="0"/>
          <w:numId w:val="20"/>
        </w:numPr>
        <w:tabs>
          <w:tab w:val="left" w:pos="1856"/>
        </w:tabs>
        <w:spacing w:line="360" w:lineRule="auto"/>
        <w:ind w:hanging="1000"/>
        <w:rPr>
          <w:rFonts w:ascii="宋体" w:hAnsi="宋体"/>
          <w:sz w:val="24"/>
        </w:rPr>
      </w:pPr>
      <w:r>
        <w:rPr>
          <w:rFonts w:hint="eastAsia" w:ascii="宋体" w:hAnsi="宋体"/>
          <w:sz w:val="24"/>
        </w:rPr>
        <w:t>启动冷却水泵，若为变频水泵，则加载至目标频率（操纵员预设）后保持；</w:t>
      </w:r>
    </w:p>
    <w:p>
      <w:pPr>
        <w:numPr>
          <w:ilvl w:val="0"/>
          <w:numId w:val="20"/>
        </w:numPr>
        <w:tabs>
          <w:tab w:val="left" w:pos="1856"/>
        </w:tabs>
        <w:spacing w:line="360" w:lineRule="auto"/>
        <w:ind w:hanging="1000"/>
        <w:rPr>
          <w:rFonts w:ascii="宋体" w:hAnsi="宋体"/>
          <w:sz w:val="24"/>
        </w:rPr>
      </w:pPr>
      <w:r>
        <w:rPr>
          <w:rFonts w:hint="eastAsia" w:ascii="宋体" w:hAnsi="宋体"/>
          <w:sz w:val="24"/>
        </w:rPr>
        <w:t>启动冷冻水泵，若为变频水泵，则变频水泵加载至目标频率（操纵员预设）后保持；</w:t>
      </w:r>
    </w:p>
    <w:p>
      <w:pPr>
        <w:numPr>
          <w:ilvl w:val="0"/>
          <w:numId w:val="20"/>
        </w:numPr>
        <w:tabs>
          <w:tab w:val="left" w:pos="1856"/>
        </w:tabs>
        <w:spacing w:line="360" w:lineRule="auto"/>
        <w:ind w:left="284" w:hanging="284"/>
        <w:rPr>
          <w:rFonts w:ascii="宋体" w:hAnsi="宋体"/>
          <w:sz w:val="24"/>
        </w:rPr>
      </w:pPr>
      <w:r>
        <w:rPr>
          <w:rFonts w:hint="eastAsia" w:ascii="宋体" w:hAnsi="宋体"/>
          <w:sz w:val="24"/>
        </w:rPr>
        <w:t>收到冷却水泵、冷冻水泵运行信号，经延时后，发出双工况主机温度设定命令（模拟量），及主机启动命令；</w:t>
      </w:r>
    </w:p>
    <w:p>
      <w:pPr>
        <w:numPr>
          <w:ilvl w:val="0"/>
          <w:numId w:val="20"/>
        </w:numPr>
        <w:tabs>
          <w:tab w:val="left" w:pos="1856"/>
        </w:tabs>
        <w:spacing w:line="360" w:lineRule="auto"/>
        <w:ind w:hanging="1000"/>
        <w:rPr>
          <w:rFonts w:hint="eastAsia" w:ascii="宋体" w:hAnsi="宋体"/>
          <w:sz w:val="24"/>
        </w:rPr>
      </w:pPr>
      <w:r>
        <w:rPr>
          <w:rFonts w:hint="eastAsia" w:ascii="宋体" w:hAnsi="宋体"/>
          <w:sz w:val="24"/>
        </w:rPr>
        <w:t>收到主机运行信号，经延时后，投入冷却水泵、冷冻水泵PID调节（变频泵）；</w:t>
      </w:r>
    </w:p>
    <w:p>
      <w:pPr>
        <w:tabs>
          <w:tab w:val="left" w:pos="1856"/>
        </w:tabs>
        <w:spacing w:line="360" w:lineRule="auto"/>
        <w:rPr>
          <w:rFonts w:hint="eastAsia" w:ascii="宋体" w:hAnsi="宋体"/>
          <w:sz w:val="24"/>
        </w:rPr>
      </w:pPr>
      <w:r>
        <w:rPr>
          <w:rFonts w:hint="eastAsia" w:ascii="宋体" w:hAnsi="宋体"/>
          <w:sz w:val="24"/>
        </w:rPr>
        <w:t>4）单组主机启动失败：</w:t>
      </w:r>
    </w:p>
    <w:p>
      <w:pPr>
        <w:tabs>
          <w:tab w:val="left" w:pos="1856"/>
        </w:tabs>
        <w:spacing w:line="360" w:lineRule="auto"/>
        <w:ind w:firstLine="560"/>
        <w:rPr>
          <w:rFonts w:ascii="宋体" w:hAnsi="宋体"/>
          <w:sz w:val="24"/>
        </w:rPr>
      </w:pPr>
      <w:r>
        <w:rPr>
          <w:rFonts w:hint="eastAsia" w:ascii="宋体" w:hAnsi="宋体"/>
          <w:sz w:val="24"/>
        </w:rPr>
        <w:t>当电动阀、水泵、主机在启动过程中发出故障信号，或经延时后未收到运行反馈时，发出单组主机启动失败信号，并发出报警，停止本组后续设备启动。</w:t>
      </w:r>
    </w:p>
    <w:p>
      <w:pPr>
        <w:tabs>
          <w:tab w:val="left" w:pos="1856"/>
        </w:tabs>
        <w:spacing w:line="360" w:lineRule="auto"/>
        <w:ind w:firstLine="560"/>
        <w:rPr>
          <w:rFonts w:ascii="宋体" w:hAnsi="宋体"/>
          <w:sz w:val="24"/>
        </w:rPr>
      </w:pPr>
      <w:r>
        <w:rPr>
          <w:rFonts w:hint="eastAsia" w:ascii="宋体" w:hAnsi="宋体"/>
          <w:sz w:val="24"/>
        </w:rPr>
        <w:t>若水泵启动失败，则进入单组停止顺控，自动退出该组运行，并将水泵、主机强制为手动状态；若主机启动失败，则主机控制模式强制为手动状态，由操作员根据主机实际运行情况处理。</w:t>
      </w:r>
    </w:p>
    <w:p>
      <w:pPr>
        <w:tabs>
          <w:tab w:val="left" w:pos="1856"/>
        </w:tabs>
        <w:spacing w:line="360" w:lineRule="auto"/>
        <w:rPr>
          <w:rFonts w:hint="eastAsia" w:ascii="宋体" w:hAnsi="宋体"/>
          <w:sz w:val="24"/>
        </w:rPr>
      </w:pPr>
      <w:r>
        <w:rPr>
          <w:rFonts w:hint="eastAsia" w:ascii="宋体" w:hAnsi="宋体"/>
          <w:sz w:val="24"/>
        </w:rPr>
        <w:t>5）单组主机停止顺控：</w:t>
      </w:r>
    </w:p>
    <w:p>
      <w:pPr>
        <w:numPr>
          <w:ilvl w:val="0"/>
          <w:numId w:val="20"/>
        </w:numPr>
        <w:tabs>
          <w:tab w:val="left" w:pos="1856"/>
        </w:tabs>
        <w:spacing w:line="360" w:lineRule="auto"/>
        <w:ind w:left="993" w:hanging="1000"/>
        <w:rPr>
          <w:rFonts w:ascii="宋体" w:hAnsi="宋体"/>
          <w:sz w:val="24"/>
        </w:rPr>
      </w:pPr>
      <w:r>
        <w:rPr>
          <w:rFonts w:hint="eastAsia" w:ascii="宋体" w:hAnsi="宋体"/>
          <w:sz w:val="24"/>
        </w:rPr>
        <w:t xml:space="preserve">  发出主机停止指令，收到主机停止信号后，认为主机停止成功；</w:t>
      </w:r>
    </w:p>
    <w:p>
      <w:pPr>
        <w:numPr>
          <w:ilvl w:val="0"/>
          <w:numId w:val="20"/>
        </w:numPr>
        <w:tabs>
          <w:tab w:val="left" w:pos="1856"/>
        </w:tabs>
        <w:spacing w:line="360" w:lineRule="auto"/>
        <w:ind w:left="993" w:hanging="993"/>
        <w:rPr>
          <w:rFonts w:ascii="宋体" w:hAnsi="宋体"/>
          <w:sz w:val="24"/>
        </w:rPr>
      </w:pPr>
      <w:r>
        <w:rPr>
          <w:rFonts w:hint="eastAsia" w:ascii="宋体" w:hAnsi="宋体"/>
          <w:sz w:val="24"/>
        </w:rPr>
        <w:t xml:space="preserve">  发出主机停止指令后，若水泵为变频，则进入指令跟踪状态，保持频率输出不变，直</w:t>
      </w:r>
    </w:p>
    <w:p>
      <w:pPr>
        <w:tabs>
          <w:tab w:val="left" w:pos="1856"/>
        </w:tabs>
        <w:spacing w:line="360" w:lineRule="auto"/>
        <w:ind w:left="426"/>
        <w:rPr>
          <w:rFonts w:ascii="宋体" w:hAnsi="宋体"/>
          <w:sz w:val="24"/>
        </w:rPr>
      </w:pPr>
      <w:r>
        <w:rPr>
          <w:rFonts w:hint="eastAsia" w:ascii="宋体" w:hAnsi="宋体"/>
          <w:sz w:val="24"/>
        </w:rPr>
        <w:t>至收到主机停止成功信号。频率降至最低频率，经延时后发出水泵停止信号。禁止未经降频而直接切除水泵运行信号。</w:t>
      </w:r>
    </w:p>
    <w:p>
      <w:pPr>
        <w:numPr>
          <w:ilvl w:val="0"/>
          <w:numId w:val="20"/>
        </w:numPr>
        <w:tabs>
          <w:tab w:val="left" w:pos="567"/>
          <w:tab w:val="left" w:pos="1856"/>
        </w:tabs>
        <w:spacing w:line="360" w:lineRule="auto"/>
        <w:ind w:left="993" w:hanging="993"/>
        <w:rPr>
          <w:rFonts w:ascii="宋体" w:hAnsi="宋体"/>
          <w:sz w:val="24"/>
        </w:rPr>
      </w:pPr>
      <w:r>
        <w:rPr>
          <w:rFonts w:hint="eastAsia" w:ascii="宋体" w:hAnsi="宋体"/>
          <w:sz w:val="24"/>
        </w:rPr>
        <w:t xml:space="preserve">  对于制冰模式下停止的主机，程序需要进入冲冰模式，水泵继续运行，以带走主机</w:t>
      </w:r>
    </w:p>
    <w:p>
      <w:pPr>
        <w:tabs>
          <w:tab w:val="left" w:pos="567"/>
          <w:tab w:val="left" w:pos="1856"/>
        </w:tabs>
        <w:spacing w:line="360" w:lineRule="auto"/>
        <w:ind w:firstLine="480" w:firstLineChars="200"/>
        <w:rPr>
          <w:rFonts w:hint="eastAsia" w:ascii="宋体" w:hAnsi="宋体"/>
          <w:sz w:val="24"/>
        </w:rPr>
      </w:pPr>
      <w:r>
        <w:rPr>
          <w:rFonts w:hint="eastAsia" w:ascii="宋体" w:hAnsi="宋体"/>
          <w:sz w:val="24"/>
        </w:rPr>
        <w:t>的内部冷量，直至温度上升到设定值。</w:t>
      </w:r>
    </w:p>
    <w:p>
      <w:pPr>
        <w:numPr>
          <w:ilvl w:val="0"/>
          <w:numId w:val="20"/>
        </w:numPr>
        <w:tabs>
          <w:tab w:val="left" w:pos="1856"/>
        </w:tabs>
        <w:spacing w:line="360" w:lineRule="auto"/>
        <w:ind w:left="993" w:hanging="1000"/>
        <w:rPr>
          <w:rFonts w:hint="eastAsia" w:ascii="宋体" w:hAnsi="宋体"/>
          <w:sz w:val="24"/>
        </w:rPr>
      </w:pPr>
      <w:r>
        <w:rPr>
          <w:rFonts w:hint="eastAsia" w:ascii="宋体" w:hAnsi="宋体"/>
          <w:sz w:val="24"/>
        </w:rPr>
        <w:t xml:space="preserve">  先停冷冻水泵，后停冷却水泵。</w:t>
      </w:r>
    </w:p>
    <w:p>
      <w:pPr>
        <w:tabs>
          <w:tab w:val="left" w:pos="1856"/>
        </w:tabs>
        <w:spacing w:line="360" w:lineRule="auto"/>
        <w:rPr>
          <w:rFonts w:ascii="宋体" w:hAnsi="宋体"/>
          <w:sz w:val="24"/>
        </w:rPr>
      </w:pPr>
      <w:r>
        <w:rPr>
          <w:rFonts w:hint="eastAsia" w:ascii="宋体" w:hAnsi="宋体"/>
          <w:sz w:val="24"/>
        </w:rPr>
        <w:t>6）单组主机停止失败：</w:t>
      </w:r>
    </w:p>
    <w:p>
      <w:pPr>
        <w:tabs>
          <w:tab w:val="left" w:pos="1856"/>
        </w:tabs>
        <w:spacing w:line="360" w:lineRule="auto"/>
        <w:ind w:firstLine="560"/>
        <w:rPr>
          <w:rFonts w:ascii="宋体" w:hAnsi="宋体"/>
          <w:sz w:val="24"/>
        </w:rPr>
      </w:pPr>
      <w:r>
        <w:rPr>
          <w:rFonts w:hint="eastAsia" w:ascii="宋体" w:hAnsi="宋体"/>
          <w:sz w:val="24"/>
        </w:rPr>
        <w:t>当水泵、主机在停止过程中发出故障信号，或经延时后未收到停止反馈时，发出单组主机停止失败信号，并发出报警，停止本组后续设备的停止顺控。</w:t>
      </w:r>
    </w:p>
    <w:p>
      <w:pPr>
        <w:tabs>
          <w:tab w:val="left" w:pos="1856"/>
        </w:tabs>
        <w:spacing w:line="360" w:lineRule="auto"/>
        <w:ind w:firstLine="560"/>
        <w:rPr>
          <w:rFonts w:ascii="宋体" w:hAnsi="宋体"/>
          <w:sz w:val="24"/>
        </w:rPr>
      </w:pPr>
      <w:r>
        <w:rPr>
          <w:rFonts w:hint="eastAsia" w:ascii="宋体" w:hAnsi="宋体"/>
          <w:sz w:val="24"/>
        </w:rPr>
        <w:t>若主机、水泵停止失败，则主机控制模式强制为手动状态，由操作员根据主机实际运行情况处理。</w:t>
      </w:r>
    </w:p>
    <w:p>
      <w:pPr>
        <w:tabs>
          <w:tab w:val="left" w:pos="1856"/>
        </w:tabs>
        <w:spacing w:line="360" w:lineRule="auto"/>
        <w:rPr>
          <w:rFonts w:ascii="宋体" w:hAnsi="宋体"/>
          <w:sz w:val="24"/>
        </w:rPr>
      </w:pPr>
      <w:r>
        <w:rPr>
          <w:rFonts w:hint="eastAsia" w:ascii="宋体" w:hAnsi="宋体"/>
          <w:sz w:val="24"/>
        </w:rPr>
        <w:t>7）错峰启动、停止：</w:t>
      </w:r>
    </w:p>
    <w:p>
      <w:pPr>
        <w:tabs>
          <w:tab w:val="left" w:pos="1856"/>
        </w:tabs>
        <w:spacing w:line="360" w:lineRule="auto"/>
        <w:rPr>
          <w:rFonts w:ascii="宋体" w:hAnsi="宋体"/>
          <w:sz w:val="24"/>
        </w:rPr>
      </w:pPr>
      <w:r>
        <w:rPr>
          <w:rFonts w:hint="eastAsia" w:ascii="宋体" w:hAnsi="宋体"/>
          <w:sz w:val="24"/>
        </w:rPr>
        <w:t xml:space="preserve">   因双工况主机台数较多，若一组启动完成后再启动下一组，会造成整体启动时间过长，不能充分利用谷期电价。然而对多个主机组同时发出启动指令，多个设备同时启动，会造成上游开关跳闸。</w:t>
      </w:r>
    </w:p>
    <w:p>
      <w:pPr>
        <w:tabs>
          <w:tab w:val="left" w:pos="1856"/>
        </w:tabs>
        <w:spacing w:line="360" w:lineRule="auto"/>
        <w:ind w:firstLine="240" w:firstLineChars="100"/>
        <w:rPr>
          <w:rFonts w:hint="eastAsia" w:ascii="宋体" w:hAnsi="宋体"/>
          <w:sz w:val="24"/>
        </w:rPr>
      </w:pPr>
      <w:r>
        <w:rPr>
          <w:rFonts w:hint="eastAsia" w:ascii="宋体" w:hAnsi="宋体"/>
          <w:sz w:val="24"/>
        </w:rPr>
        <w:t>故系统系统需具备错峰启动、停止功能，精细安排各设备启动间隔，在上游开关允许的负载内，尽快实现主机组的启停。</w:t>
      </w:r>
    </w:p>
    <w:p>
      <w:pPr>
        <w:tabs>
          <w:tab w:val="left" w:pos="1856"/>
        </w:tabs>
        <w:spacing w:line="360" w:lineRule="auto"/>
        <w:rPr>
          <w:rFonts w:ascii="宋体" w:hAnsi="宋体"/>
          <w:sz w:val="24"/>
        </w:rPr>
      </w:pPr>
      <w:r>
        <w:rPr>
          <w:rFonts w:hint="eastAsia" w:ascii="宋体" w:hAnsi="宋体"/>
          <w:sz w:val="24"/>
        </w:rPr>
        <w:t>8）主机最优工况运行：</w:t>
      </w:r>
    </w:p>
    <w:p>
      <w:pPr>
        <w:tabs>
          <w:tab w:val="left" w:pos="1856"/>
        </w:tabs>
        <w:spacing w:line="360" w:lineRule="auto"/>
        <w:rPr>
          <w:rFonts w:ascii="宋体" w:hAnsi="宋体"/>
          <w:sz w:val="24"/>
        </w:rPr>
      </w:pPr>
      <w:r>
        <w:rPr>
          <w:rFonts w:hint="eastAsia" w:ascii="宋体" w:hAnsi="宋体"/>
          <w:sz w:val="24"/>
        </w:rPr>
        <w:t xml:space="preserve">   对于变频主机，调节流量等参数，使其运行于高效区间。</w:t>
      </w:r>
    </w:p>
    <w:p>
      <w:pPr>
        <w:tabs>
          <w:tab w:val="left" w:pos="1856"/>
        </w:tabs>
        <w:spacing w:line="360" w:lineRule="auto"/>
        <w:rPr>
          <w:rFonts w:ascii="宋体" w:hAnsi="宋体"/>
          <w:sz w:val="24"/>
        </w:rPr>
      </w:pPr>
      <w:r>
        <w:rPr>
          <w:rFonts w:hint="eastAsia" w:ascii="宋体" w:hAnsi="宋体"/>
          <w:sz w:val="24"/>
        </w:rPr>
        <w:t>9）电气保护：</w:t>
      </w:r>
    </w:p>
    <w:p>
      <w:pPr>
        <w:tabs>
          <w:tab w:val="left" w:pos="1856"/>
        </w:tabs>
        <w:spacing w:line="360" w:lineRule="auto"/>
        <w:rPr>
          <w:rFonts w:ascii="宋体" w:hAnsi="宋体"/>
          <w:sz w:val="24"/>
        </w:rPr>
      </w:pPr>
      <w:r>
        <w:rPr>
          <w:rFonts w:hint="eastAsia" w:ascii="宋体" w:hAnsi="宋体"/>
          <w:sz w:val="24"/>
        </w:rPr>
        <w:t xml:space="preserve">   当主机运行中10KV进线失电时，切除启动信号，防止母联投入时自动启动。结合冷却冷冻水泵的电源情况，保护主机。</w:t>
      </w:r>
    </w:p>
    <w:p>
      <w:pPr>
        <w:tabs>
          <w:tab w:val="left" w:pos="1856"/>
        </w:tabs>
        <w:spacing w:line="360" w:lineRule="auto"/>
        <w:rPr>
          <w:rFonts w:ascii="宋体" w:hAnsi="宋体"/>
          <w:sz w:val="24"/>
        </w:rPr>
      </w:pPr>
      <w:r>
        <w:rPr>
          <w:rFonts w:hint="eastAsia" w:ascii="宋体" w:hAnsi="宋体"/>
          <w:sz w:val="24"/>
        </w:rPr>
        <w:t>10）故障切换：</w:t>
      </w:r>
    </w:p>
    <w:p>
      <w:pPr>
        <w:tabs>
          <w:tab w:val="left" w:pos="1856"/>
        </w:tabs>
        <w:spacing w:line="360" w:lineRule="auto"/>
        <w:rPr>
          <w:rFonts w:hint="eastAsia" w:ascii="宋体" w:hAnsi="宋体"/>
          <w:sz w:val="24"/>
        </w:rPr>
      </w:pPr>
      <w:r>
        <w:rPr>
          <w:rFonts w:hint="eastAsia" w:ascii="宋体" w:hAnsi="宋体"/>
          <w:sz w:val="24"/>
        </w:rPr>
        <w:t xml:space="preserve">   当运行的主机跳机、启动失败或水泵异常，造成该主机组无法投入时，自动启动其他备用机组。</w:t>
      </w:r>
    </w:p>
    <w:p>
      <w:pPr>
        <w:tabs>
          <w:tab w:val="left" w:pos="1856"/>
        </w:tabs>
        <w:spacing w:line="360" w:lineRule="auto"/>
        <w:rPr>
          <w:rFonts w:ascii="宋体" w:hAnsi="宋体"/>
          <w:sz w:val="24"/>
        </w:rPr>
      </w:pPr>
      <w:r>
        <w:rPr>
          <w:rFonts w:ascii="宋体" w:hAnsi="宋体"/>
          <w:sz w:val="24"/>
        </w:rPr>
        <w:t>1</w:t>
      </w:r>
      <w:r>
        <w:rPr>
          <w:rFonts w:hint="eastAsia" w:ascii="宋体" w:hAnsi="宋体"/>
          <w:sz w:val="24"/>
        </w:rPr>
        <w:t>1）主机冲冰：</w:t>
      </w:r>
    </w:p>
    <w:p>
      <w:pPr>
        <w:tabs>
          <w:tab w:val="left" w:pos="1856"/>
        </w:tabs>
        <w:spacing w:line="360" w:lineRule="auto"/>
        <w:rPr>
          <w:rFonts w:ascii="宋体" w:hAnsi="宋体"/>
          <w:sz w:val="24"/>
        </w:rPr>
      </w:pPr>
      <w:r>
        <w:rPr>
          <w:rFonts w:hint="eastAsia" w:ascii="宋体" w:hAnsi="宋体"/>
          <w:sz w:val="24"/>
        </w:rPr>
        <w:t xml:space="preserve">   制冰工况结束后，进入防结冰模式，此时需要水泵继续运行一段时间，带走主机冷量，防止主机铜管结冰。同时，板换器也需要升至正常温度。</w:t>
      </w:r>
    </w:p>
    <w:p>
      <w:pPr>
        <w:tabs>
          <w:tab w:val="left" w:pos="1856"/>
        </w:tabs>
        <w:spacing w:line="360" w:lineRule="auto"/>
        <w:rPr>
          <w:rFonts w:ascii="宋体" w:hAnsi="宋体"/>
          <w:sz w:val="24"/>
        </w:rPr>
      </w:pPr>
      <w:r>
        <w:rPr>
          <w:rFonts w:hint="eastAsia" w:ascii="宋体" w:hAnsi="宋体"/>
          <w:sz w:val="24"/>
        </w:rPr>
        <w:t xml:space="preserve">      早上8点左右，制冰结束后，协调主控向双工况主机控制器、板换器控制器、冰槽控制器发出冲冰指令，关闭冰槽乙二醇侧电动阀V2阀组，板换控制器按照预设的需求数量投入板换器，打开V16电动阀，双工况依次进入冲冰顺控。</w:t>
      </w:r>
    </w:p>
    <w:p>
      <w:pPr>
        <w:tabs>
          <w:tab w:val="left" w:pos="1856"/>
        </w:tabs>
        <w:spacing w:line="360" w:lineRule="auto"/>
        <w:ind w:firstLine="480" w:firstLineChars="200"/>
        <w:rPr>
          <w:rFonts w:hint="eastAsia" w:ascii="宋体" w:hAnsi="宋体"/>
          <w:sz w:val="24"/>
        </w:rPr>
      </w:pPr>
      <w:r>
        <w:rPr>
          <w:rFonts w:hint="eastAsia" w:ascii="宋体" w:hAnsi="宋体"/>
          <w:sz w:val="24"/>
        </w:rPr>
        <w:t>当全部主机蒸发器温度达到设定之后，向协调主控发出“主机已到正常温度”信号。协调主控向各控制器发出“冲冰结束”信号。</w:t>
      </w:r>
    </w:p>
    <w:p>
      <w:pPr>
        <w:tabs>
          <w:tab w:val="left" w:pos="1856"/>
        </w:tabs>
        <w:spacing w:line="360" w:lineRule="auto"/>
        <w:rPr>
          <w:rFonts w:ascii="宋体" w:hAnsi="宋体"/>
          <w:sz w:val="24"/>
        </w:rPr>
      </w:pPr>
      <w:r>
        <w:rPr>
          <w:rFonts w:hint="eastAsia" w:ascii="宋体" w:hAnsi="宋体"/>
          <w:sz w:val="24"/>
        </w:rPr>
        <w:t>12）防结冰：</w:t>
      </w:r>
    </w:p>
    <w:p>
      <w:pPr>
        <w:tabs>
          <w:tab w:val="left" w:pos="1856"/>
        </w:tabs>
        <w:spacing w:line="360" w:lineRule="auto"/>
        <w:rPr>
          <w:rFonts w:ascii="宋体" w:hAnsi="宋体"/>
          <w:sz w:val="24"/>
        </w:rPr>
      </w:pPr>
      <w:r>
        <w:rPr>
          <w:rFonts w:hint="eastAsia" w:ascii="宋体" w:hAnsi="宋体"/>
          <w:sz w:val="24"/>
        </w:rPr>
        <w:t xml:space="preserve">   在主机正常制冰、冷却水泵跳闸的时，主机同样存在冷量带不走的问题，会导致主机铜管破裂，此时需要关闭冷却水电动阀，自动打开冷却水排水阀，停止乙二醇泵，利用重力流动的冷却水，带走主机冷量，直至主机温度恢复正常。</w:t>
      </w:r>
    </w:p>
    <w:p>
      <w:pPr>
        <w:tabs>
          <w:tab w:val="left" w:pos="1856"/>
        </w:tabs>
        <w:spacing w:line="360" w:lineRule="auto"/>
        <w:rPr>
          <w:rFonts w:ascii="宋体" w:hAnsi="宋体"/>
          <w:sz w:val="24"/>
        </w:rPr>
      </w:pPr>
      <w:r>
        <w:rPr>
          <w:rFonts w:hint="eastAsia" w:ascii="宋体" w:hAnsi="宋体"/>
          <w:sz w:val="24"/>
        </w:rPr>
        <w:t>6、基载主机控制器</w:t>
      </w:r>
    </w:p>
    <w:p>
      <w:pPr>
        <w:tabs>
          <w:tab w:val="left" w:pos="1856"/>
        </w:tabs>
        <w:spacing w:line="360" w:lineRule="auto"/>
        <w:rPr>
          <w:rFonts w:ascii="宋体" w:hAnsi="宋体"/>
          <w:sz w:val="24"/>
        </w:rPr>
      </w:pPr>
      <w:r>
        <w:rPr>
          <w:rFonts w:hint="eastAsia" w:ascii="宋体" w:hAnsi="宋体"/>
          <w:sz w:val="24"/>
        </w:rPr>
        <w:t xml:space="preserve">   协调模式下，接收协调主控发来的机载主机运行时间表，控制主机、冷冻水泵、冷却水泵、电动阀的开关、启停、温度设定，使其运行在高效区间。</w:t>
      </w:r>
    </w:p>
    <w:p>
      <w:pPr>
        <w:tabs>
          <w:tab w:val="left" w:pos="1856"/>
        </w:tabs>
        <w:spacing w:line="360" w:lineRule="auto"/>
        <w:rPr>
          <w:rFonts w:hint="eastAsia" w:ascii="宋体" w:hAnsi="宋体"/>
          <w:sz w:val="24"/>
        </w:rPr>
      </w:pPr>
      <w:r>
        <w:rPr>
          <w:rFonts w:hint="eastAsia" w:ascii="宋体" w:hAnsi="宋体"/>
          <w:sz w:val="24"/>
        </w:rPr>
        <w:t xml:space="preserve">   除冲冰外，相关功能与双工况主机控制器1-10相同。</w:t>
      </w:r>
    </w:p>
    <w:p>
      <w:pPr>
        <w:tabs>
          <w:tab w:val="left" w:pos="1856"/>
        </w:tabs>
        <w:spacing w:line="360" w:lineRule="auto"/>
        <w:rPr>
          <w:rFonts w:ascii="宋体" w:hAnsi="宋体"/>
          <w:sz w:val="24"/>
        </w:rPr>
      </w:pPr>
      <w:r>
        <w:rPr>
          <w:rFonts w:ascii="宋体" w:hAnsi="宋体"/>
          <w:sz w:val="24"/>
        </w:rPr>
        <w:t>7</w:t>
      </w:r>
      <w:r>
        <w:rPr>
          <w:rFonts w:hint="eastAsia" w:ascii="宋体" w:hAnsi="宋体"/>
          <w:sz w:val="24"/>
        </w:rPr>
        <w:t>、板换控制器</w:t>
      </w:r>
    </w:p>
    <w:p>
      <w:pPr>
        <w:tabs>
          <w:tab w:val="left" w:pos="1856"/>
        </w:tabs>
        <w:spacing w:line="360" w:lineRule="auto"/>
        <w:rPr>
          <w:rFonts w:ascii="宋体" w:hAnsi="宋体"/>
          <w:sz w:val="24"/>
        </w:rPr>
      </w:pPr>
      <w:r>
        <w:rPr>
          <w:rFonts w:hint="eastAsia" w:ascii="宋体" w:hAnsi="宋体"/>
          <w:sz w:val="24"/>
        </w:rPr>
        <w:t xml:space="preserve">   板换控制器通过控制一级泵、电动阀来控制板换器的换热。板换控制器处于自动、协调控制时，接收协调主控发来的板换需求数，按照板换运行时间的排序，启动对应数量的板换器。</w:t>
      </w:r>
    </w:p>
    <w:p>
      <w:pPr>
        <w:tabs>
          <w:tab w:val="left" w:pos="1856"/>
        </w:tabs>
        <w:spacing w:line="360" w:lineRule="auto"/>
        <w:rPr>
          <w:rFonts w:ascii="宋体" w:hAnsi="宋体"/>
          <w:sz w:val="24"/>
        </w:rPr>
      </w:pPr>
      <w:r>
        <w:rPr>
          <w:rFonts w:hint="eastAsia" w:ascii="宋体" w:hAnsi="宋体"/>
          <w:sz w:val="24"/>
        </w:rPr>
        <w:t>1）板换器可用的条件：</w:t>
      </w:r>
    </w:p>
    <w:p>
      <w:pPr>
        <w:numPr>
          <w:ilvl w:val="0"/>
          <w:numId w:val="21"/>
        </w:numPr>
        <w:tabs>
          <w:tab w:val="left" w:pos="851"/>
          <w:tab w:val="left" w:pos="1856"/>
        </w:tabs>
        <w:spacing w:line="360" w:lineRule="auto"/>
        <w:ind w:hanging="1000"/>
        <w:rPr>
          <w:rFonts w:ascii="宋体" w:hAnsi="宋体"/>
          <w:sz w:val="24"/>
        </w:rPr>
      </w:pPr>
      <w:r>
        <w:rPr>
          <w:rFonts w:hint="eastAsia" w:ascii="宋体" w:hAnsi="宋体"/>
          <w:sz w:val="24"/>
        </w:rPr>
        <w:t>该板换器的电动阀、一级泵处于远程、无故障状态；</w:t>
      </w:r>
    </w:p>
    <w:p>
      <w:pPr>
        <w:numPr>
          <w:ilvl w:val="0"/>
          <w:numId w:val="21"/>
        </w:numPr>
        <w:tabs>
          <w:tab w:val="left" w:pos="851"/>
          <w:tab w:val="left" w:pos="1856"/>
        </w:tabs>
        <w:spacing w:line="360" w:lineRule="auto"/>
        <w:ind w:hanging="1000"/>
        <w:rPr>
          <w:rFonts w:ascii="宋体" w:hAnsi="宋体"/>
          <w:sz w:val="24"/>
        </w:rPr>
      </w:pPr>
      <w:r>
        <w:rPr>
          <w:rFonts w:hint="eastAsia" w:ascii="宋体" w:hAnsi="宋体"/>
          <w:sz w:val="24"/>
        </w:rPr>
        <w:t>温度传感器质检允许、质检正常；</w:t>
      </w:r>
    </w:p>
    <w:p>
      <w:pPr>
        <w:numPr>
          <w:ilvl w:val="0"/>
          <w:numId w:val="21"/>
        </w:numPr>
        <w:tabs>
          <w:tab w:val="left" w:pos="851"/>
          <w:tab w:val="left" w:pos="1856"/>
        </w:tabs>
        <w:spacing w:line="360" w:lineRule="auto"/>
        <w:ind w:hanging="1000"/>
        <w:rPr>
          <w:rFonts w:hint="eastAsia" w:ascii="宋体" w:hAnsi="宋体"/>
          <w:sz w:val="24"/>
        </w:rPr>
      </w:pPr>
      <w:r>
        <w:rPr>
          <w:rFonts w:hint="eastAsia" w:ascii="宋体" w:hAnsi="宋体"/>
          <w:sz w:val="24"/>
        </w:rPr>
        <w:t>无电动阀、一级泵、板换器隔离信号；</w:t>
      </w:r>
    </w:p>
    <w:p>
      <w:pPr>
        <w:tabs>
          <w:tab w:val="left" w:pos="1856"/>
        </w:tabs>
        <w:spacing w:line="360" w:lineRule="auto"/>
        <w:rPr>
          <w:rFonts w:ascii="宋体" w:hAnsi="宋体"/>
          <w:sz w:val="24"/>
        </w:rPr>
      </w:pPr>
      <w:r>
        <w:rPr>
          <w:rFonts w:hint="eastAsia" w:ascii="宋体" w:hAnsi="宋体"/>
          <w:sz w:val="24"/>
        </w:rPr>
        <w:t>2）板换器的启动：</w:t>
      </w:r>
    </w:p>
    <w:p>
      <w:pPr>
        <w:numPr>
          <w:ilvl w:val="0"/>
          <w:numId w:val="22"/>
        </w:numPr>
        <w:tabs>
          <w:tab w:val="left" w:pos="1856"/>
        </w:tabs>
        <w:spacing w:line="360" w:lineRule="auto"/>
        <w:ind w:left="426" w:hanging="426"/>
        <w:rPr>
          <w:rFonts w:ascii="宋体" w:hAnsi="宋体"/>
          <w:sz w:val="24"/>
        </w:rPr>
      </w:pPr>
      <w:r>
        <w:rPr>
          <w:rFonts w:hint="eastAsia" w:ascii="宋体" w:hAnsi="宋体"/>
          <w:sz w:val="24"/>
        </w:rPr>
        <w:t>启动一级泵。启动过程中一级泵报故障，或启动超时时，发出一级泵启动失败报警，顺控停止。若启动正常，则顺控程序继续运行。</w:t>
      </w:r>
    </w:p>
    <w:p>
      <w:pPr>
        <w:numPr>
          <w:ilvl w:val="0"/>
          <w:numId w:val="22"/>
        </w:numPr>
        <w:tabs>
          <w:tab w:val="left" w:pos="1856"/>
        </w:tabs>
        <w:spacing w:line="360" w:lineRule="auto"/>
        <w:ind w:left="426" w:hanging="426"/>
        <w:rPr>
          <w:rFonts w:ascii="宋体" w:hAnsi="宋体"/>
          <w:sz w:val="24"/>
        </w:rPr>
      </w:pPr>
      <w:r>
        <w:rPr>
          <w:rFonts w:hint="eastAsia" w:ascii="宋体" w:hAnsi="宋体"/>
          <w:sz w:val="24"/>
        </w:rPr>
        <w:t>打</w:t>
      </w:r>
      <w:r>
        <w:rPr>
          <w:rFonts w:ascii="宋体" w:hAnsi="宋体"/>
          <w:sz w:val="24"/>
        </w:rPr>
        <w:t>V</w:t>
      </w:r>
      <w:r>
        <w:rPr>
          <w:rFonts w:hint="eastAsia" w:ascii="宋体" w:hAnsi="宋体"/>
          <w:sz w:val="24"/>
        </w:rPr>
        <w:t>16</w:t>
      </w:r>
      <w:r>
        <w:rPr>
          <w:rFonts w:ascii="宋体" w:hAnsi="宋体"/>
          <w:sz w:val="24"/>
        </w:rPr>
        <w:t>x</w:t>
      </w:r>
      <w:r>
        <w:rPr>
          <w:rFonts w:hint="eastAsia" w:ascii="宋体" w:hAnsi="宋体"/>
          <w:sz w:val="24"/>
        </w:rPr>
        <w:t>电动阀。当电动阀打开失败，或超时时，发出电动阀打开失败、板换器启动失败报警，进入板换器停止顺控，退出该板换器运行，同时该板换器跳手动，防止重复启动。若运行人员手动测试电动阀打开时的阀位满足运行要求，只是反馈不到位，则可仿真全开信号，顺控可继续运行。</w:t>
      </w:r>
    </w:p>
    <w:p>
      <w:pPr>
        <w:numPr>
          <w:ilvl w:val="0"/>
          <w:numId w:val="22"/>
        </w:numPr>
        <w:tabs>
          <w:tab w:val="left" w:pos="1856"/>
        </w:tabs>
        <w:spacing w:line="360" w:lineRule="auto"/>
        <w:ind w:left="426" w:hanging="426"/>
        <w:rPr>
          <w:rFonts w:hint="eastAsia" w:ascii="宋体" w:hAnsi="宋体"/>
          <w:sz w:val="24"/>
        </w:rPr>
      </w:pPr>
      <w:r>
        <w:rPr>
          <w:rFonts w:hint="eastAsia" w:ascii="宋体" w:hAnsi="宋体"/>
          <w:sz w:val="24"/>
        </w:rPr>
        <w:t>在电动阀全开后，板换启动完成。</w:t>
      </w:r>
    </w:p>
    <w:p>
      <w:pPr>
        <w:tabs>
          <w:tab w:val="left" w:pos="1856"/>
        </w:tabs>
        <w:spacing w:line="360" w:lineRule="auto"/>
        <w:rPr>
          <w:rFonts w:ascii="宋体" w:hAnsi="宋体"/>
          <w:sz w:val="24"/>
        </w:rPr>
      </w:pPr>
      <w:r>
        <w:rPr>
          <w:rFonts w:hint="eastAsia" w:ascii="宋体" w:hAnsi="宋体"/>
          <w:sz w:val="24"/>
        </w:rPr>
        <w:t>3）板换器的停止：</w:t>
      </w:r>
    </w:p>
    <w:p>
      <w:pPr>
        <w:numPr>
          <w:ilvl w:val="0"/>
          <w:numId w:val="23"/>
        </w:numPr>
        <w:tabs>
          <w:tab w:val="left" w:pos="1856"/>
        </w:tabs>
        <w:spacing w:line="360" w:lineRule="auto"/>
        <w:ind w:firstLine="560"/>
        <w:rPr>
          <w:rFonts w:ascii="宋体" w:hAnsi="宋体"/>
          <w:sz w:val="24"/>
        </w:rPr>
      </w:pPr>
      <w:r>
        <w:rPr>
          <w:rFonts w:hint="eastAsia" w:ascii="宋体" w:hAnsi="宋体"/>
          <w:sz w:val="24"/>
        </w:rPr>
        <w:t>关闭电动阀。收到电动阀全关信号时，顺控继续。若电动阀关闭失败或超时，发出电动阀关闭失败报警。运行人员经现场确认后，可仿真全关信号，程序继续运行。</w:t>
      </w:r>
    </w:p>
    <w:p>
      <w:pPr>
        <w:numPr>
          <w:ilvl w:val="0"/>
          <w:numId w:val="23"/>
        </w:numPr>
        <w:tabs>
          <w:tab w:val="left" w:pos="1856"/>
        </w:tabs>
        <w:spacing w:line="360" w:lineRule="auto"/>
        <w:ind w:firstLine="560"/>
        <w:rPr>
          <w:rFonts w:hint="eastAsia" w:ascii="宋体" w:hAnsi="宋体"/>
          <w:sz w:val="24"/>
        </w:rPr>
      </w:pPr>
      <w:r>
        <w:rPr>
          <w:rFonts w:hint="eastAsia" w:ascii="宋体" w:hAnsi="宋体"/>
          <w:sz w:val="24"/>
        </w:rPr>
        <w:t>停止一级泵。</w:t>
      </w:r>
    </w:p>
    <w:p>
      <w:pPr>
        <w:tabs>
          <w:tab w:val="left" w:pos="1856"/>
        </w:tabs>
        <w:spacing w:line="360" w:lineRule="auto"/>
        <w:rPr>
          <w:rFonts w:ascii="宋体" w:hAnsi="宋体"/>
          <w:sz w:val="24"/>
        </w:rPr>
      </w:pPr>
      <w:r>
        <w:rPr>
          <w:rFonts w:hint="eastAsia" w:ascii="宋体" w:hAnsi="宋体"/>
          <w:sz w:val="24"/>
        </w:rPr>
        <w:t>4）板换器的故障切换：</w:t>
      </w:r>
    </w:p>
    <w:p>
      <w:pPr>
        <w:tabs>
          <w:tab w:val="left" w:pos="1856"/>
        </w:tabs>
        <w:spacing w:line="360" w:lineRule="auto"/>
        <w:rPr>
          <w:rFonts w:hint="eastAsia" w:ascii="宋体" w:hAnsi="宋体"/>
          <w:sz w:val="24"/>
        </w:rPr>
      </w:pPr>
      <w:r>
        <w:rPr>
          <w:rFonts w:hint="eastAsia" w:ascii="宋体" w:hAnsi="宋体"/>
          <w:sz w:val="24"/>
        </w:rPr>
        <w:t>当水泵、电动阀故障使运行中的板换器退出时，自动加载备用板换器。</w:t>
      </w:r>
    </w:p>
    <w:p>
      <w:pPr>
        <w:tabs>
          <w:tab w:val="left" w:pos="1856"/>
        </w:tabs>
        <w:spacing w:line="360" w:lineRule="auto"/>
        <w:rPr>
          <w:rFonts w:hint="eastAsia" w:ascii="宋体" w:hAnsi="宋体"/>
          <w:sz w:val="24"/>
        </w:rPr>
      </w:pPr>
      <w:r>
        <w:rPr>
          <w:rFonts w:ascii="宋体" w:hAnsi="宋体"/>
          <w:sz w:val="24"/>
        </w:rPr>
        <w:t>8</w:t>
      </w:r>
      <w:r>
        <w:rPr>
          <w:rFonts w:hint="eastAsia" w:ascii="宋体" w:hAnsi="宋体"/>
          <w:sz w:val="24"/>
        </w:rPr>
        <w:t>、冰槽控制器</w:t>
      </w:r>
    </w:p>
    <w:p>
      <w:pPr>
        <w:tabs>
          <w:tab w:val="left" w:pos="1856"/>
        </w:tabs>
        <w:spacing w:line="360" w:lineRule="auto"/>
        <w:ind w:firstLine="560"/>
        <w:rPr>
          <w:rFonts w:ascii="宋体" w:hAnsi="宋体"/>
          <w:sz w:val="24"/>
        </w:rPr>
      </w:pPr>
      <w:r>
        <w:rPr>
          <w:rFonts w:hint="eastAsia" w:ascii="宋体" w:hAnsi="宋体"/>
          <w:sz w:val="24"/>
        </w:rPr>
        <w:t>该控制器通过阀门控制进入、释放冰槽的冷量。在协调控制模式下，根据协调控制器的要求，投入一半或全部冰槽。手动模式下，操作员手动操作阀门开关。</w:t>
      </w:r>
    </w:p>
    <w:p>
      <w:pPr>
        <w:tabs>
          <w:tab w:val="left" w:pos="1856"/>
        </w:tabs>
        <w:spacing w:line="360" w:lineRule="auto"/>
        <w:rPr>
          <w:rFonts w:ascii="宋体" w:hAnsi="宋体"/>
          <w:sz w:val="24"/>
        </w:rPr>
      </w:pPr>
      <w:r>
        <w:rPr>
          <w:rFonts w:hint="eastAsia" w:ascii="宋体" w:hAnsi="宋体"/>
          <w:sz w:val="24"/>
        </w:rPr>
        <w:t>1）冰槽控制器投入协调控制模式的条件：</w:t>
      </w:r>
    </w:p>
    <w:p>
      <w:pPr>
        <w:numPr>
          <w:ilvl w:val="0"/>
          <w:numId w:val="24"/>
        </w:numPr>
        <w:tabs>
          <w:tab w:val="left" w:pos="1856"/>
        </w:tabs>
        <w:spacing w:line="360" w:lineRule="auto"/>
        <w:ind w:hanging="1000"/>
        <w:rPr>
          <w:rFonts w:ascii="宋体" w:hAnsi="宋体"/>
          <w:sz w:val="24"/>
        </w:rPr>
      </w:pPr>
      <w:r>
        <w:rPr>
          <w:rFonts w:hint="eastAsia" w:ascii="宋体" w:hAnsi="宋体"/>
          <w:sz w:val="24"/>
        </w:rPr>
        <w:t>冰槽入口至少一组电动阀处于远程/自动状态下，且无故障报警；</w:t>
      </w:r>
    </w:p>
    <w:p>
      <w:pPr>
        <w:numPr>
          <w:ilvl w:val="0"/>
          <w:numId w:val="24"/>
        </w:numPr>
        <w:tabs>
          <w:tab w:val="left" w:pos="1856"/>
        </w:tabs>
        <w:spacing w:line="360" w:lineRule="auto"/>
        <w:ind w:hanging="1000"/>
        <w:rPr>
          <w:rFonts w:hint="eastAsia" w:ascii="宋体" w:hAnsi="宋体"/>
          <w:sz w:val="24"/>
        </w:rPr>
      </w:pPr>
      <w:r>
        <w:rPr>
          <w:rFonts w:hint="eastAsia" w:ascii="宋体" w:hAnsi="宋体"/>
          <w:sz w:val="24"/>
        </w:rPr>
        <w:t>冰槽出口至少一组电动阀处于远程/自动状态下，且无故障报警；</w:t>
      </w:r>
    </w:p>
    <w:p>
      <w:pPr>
        <w:tabs>
          <w:tab w:val="left" w:pos="1856"/>
        </w:tabs>
        <w:spacing w:line="360" w:lineRule="auto"/>
        <w:rPr>
          <w:rFonts w:ascii="宋体" w:hAnsi="宋体"/>
          <w:sz w:val="24"/>
        </w:rPr>
      </w:pPr>
      <w:r>
        <w:rPr>
          <w:rFonts w:hint="eastAsia" w:ascii="宋体" w:hAnsi="宋体"/>
          <w:sz w:val="24"/>
        </w:rPr>
        <w:t>2）鼓气泵控制：</w:t>
      </w:r>
    </w:p>
    <w:p>
      <w:pPr>
        <w:tabs>
          <w:tab w:val="left" w:pos="1856"/>
        </w:tabs>
        <w:spacing w:line="360" w:lineRule="auto"/>
        <w:rPr>
          <w:rFonts w:ascii="宋体" w:hAnsi="宋体"/>
          <w:sz w:val="24"/>
        </w:rPr>
      </w:pPr>
      <w:r>
        <w:rPr>
          <w:rFonts w:hint="eastAsia" w:ascii="宋体" w:hAnsi="宋体"/>
          <w:sz w:val="24"/>
        </w:rPr>
        <w:t>在高负荷或冰槽出口温度或剩余冰量达到设定值时，投入鼓气泵；</w:t>
      </w:r>
    </w:p>
    <w:p>
      <w:pPr>
        <w:tabs>
          <w:tab w:val="left" w:pos="1856"/>
        </w:tabs>
        <w:spacing w:line="360" w:lineRule="auto"/>
        <w:rPr>
          <w:rFonts w:ascii="宋体" w:hAnsi="宋体"/>
          <w:sz w:val="24"/>
        </w:rPr>
      </w:pPr>
      <w:r>
        <w:rPr>
          <w:rFonts w:hint="eastAsia" w:ascii="宋体" w:hAnsi="宋体"/>
          <w:sz w:val="24"/>
        </w:rPr>
        <w:t>在冰槽达到设定温度或释放完冷量时，停止鼓气泵；</w:t>
      </w:r>
    </w:p>
    <w:p>
      <w:pPr>
        <w:tabs>
          <w:tab w:val="left" w:pos="1856"/>
        </w:tabs>
        <w:spacing w:line="360" w:lineRule="auto"/>
        <w:rPr>
          <w:rFonts w:hint="eastAsia" w:ascii="宋体" w:hAnsi="宋体"/>
          <w:sz w:val="24"/>
        </w:rPr>
      </w:pPr>
      <w:r>
        <w:rPr>
          <w:rFonts w:hint="eastAsia" w:ascii="宋体" w:hAnsi="宋体"/>
          <w:sz w:val="24"/>
        </w:rPr>
        <w:t>11、冷却塔控制器</w:t>
      </w:r>
    </w:p>
    <w:p>
      <w:pPr>
        <w:tabs>
          <w:tab w:val="left" w:pos="1856"/>
        </w:tabs>
        <w:spacing w:line="360" w:lineRule="auto"/>
        <w:ind w:firstLine="560"/>
        <w:rPr>
          <w:rFonts w:hint="eastAsia" w:ascii="宋体" w:hAnsi="宋体"/>
          <w:sz w:val="24"/>
        </w:rPr>
      </w:pPr>
      <w:r>
        <w:rPr>
          <w:rFonts w:hint="eastAsia" w:ascii="宋体" w:hAnsi="宋体"/>
          <w:sz w:val="24"/>
        </w:rPr>
        <w:t>冷却塔控制器控制冷却塔的运行。在协调控制模式下，控制运行台数，自动加减塔，下塔目标温度为湿球温度+逼近温度。2#站冷却塔3个小塔为一组。</w:t>
      </w:r>
    </w:p>
    <w:p>
      <w:pPr>
        <w:tabs>
          <w:tab w:val="left" w:pos="1856"/>
        </w:tabs>
        <w:spacing w:line="360" w:lineRule="auto"/>
        <w:rPr>
          <w:rFonts w:ascii="宋体" w:hAnsi="宋体"/>
          <w:sz w:val="24"/>
        </w:rPr>
      </w:pPr>
      <w:r>
        <w:rPr>
          <w:rFonts w:hint="eastAsia" w:ascii="宋体" w:hAnsi="宋体"/>
          <w:sz w:val="24"/>
        </w:rPr>
        <w:t>1）单组塔启动条件：</w:t>
      </w:r>
    </w:p>
    <w:p>
      <w:pPr>
        <w:tabs>
          <w:tab w:val="left" w:pos="1856"/>
        </w:tabs>
        <w:spacing w:line="360" w:lineRule="auto"/>
        <w:ind w:left="283" w:leftChars="135"/>
        <w:rPr>
          <w:rFonts w:ascii="宋体" w:hAnsi="宋体"/>
          <w:sz w:val="24"/>
        </w:rPr>
      </w:pPr>
      <w:r>
        <w:rPr>
          <w:rFonts w:hint="eastAsia" w:ascii="宋体" w:hAnsi="宋体"/>
          <w:sz w:val="24"/>
        </w:rPr>
        <w:t>至少一个小塔的风机与电动阀处于远程、自动模式、非隔离状态下，无报警；</w:t>
      </w:r>
    </w:p>
    <w:p>
      <w:pPr>
        <w:tabs>
          <w:tab w:val="left" w:pos="1856"/>
        </w:tabs>
        <w:spacing w:line="360" w:lineRule="auto"/>
        <w:rPr>
          <w:rFonts w:ascii="宋体" w:hAnsi="宋体"/>
          <w:sz w:val="24"/>
        </w:rPr>
      </w:pPr>
      <w:r>
        <w:rPr>
          <w:rFonts w:hint="eastAsia" w:ascii="宋体" w:hAnsi="宋体"/>
          <w:sz w:val="24"/>
        </w:rPr>
        <w:t>2）单组塔启动顺控：</w:t>
      </w:r>
    </w:p>
    <w:p>
      <w:pPr>
        <w:tabs>
          <w:tab w:val="left" w:pos="1856"/>
        </w:tabs>
        <w:spacing w:line="360" w:lineRule="auto"/>
        <w:rPr>
          <w:rFonts w:hint="eastAsia" w:ascii="宋体" w:hAnsi="宋体"/>
          <w:sz w:val="24"/>
        </w:rPr>
      </w:pPr>
      <w:r>
        <w:rPr>
          <w:rFonts w:hint="eastAsia" w:ascii="宋体" w:hAnsi="宋体"/>
          <w:sz w:val="24"/>
        </w:rPr>
        <w:t>对于无故障的小塔：</w:t>
      </w:r>
    </w:p>
    <w:p>
      <w:pPr>
        <w:numPr>
          <w:ilvl w:val="-1"/>
          <w:numId w:val="0"/>
        </w:numPr>
        <w:tabs>
          <w:tab w:val="left" w:pos="1856"/>
        </w:tabs>
        <w:spacing w:line="360" w:lineRule="auto"/>
        <w:ind w:left="0" w:leftChars="0" w:firstLine="0" w:firstLineChars="0"/>
        <w:rPr>
          <w:rFonts w:hint="eastAsia" w:ascii="宋体" w:hAnsi="宋体"/>
          <w:sz w:val="24"/>
        </w:rPr>
      </w:pPr>
      <w:r>
        <w:rPr>
          <w:rFonts w:hint="eastAsia" w:ascii="宋体" w:hAnsi="宋体"/>
          <w:sz w:val="24"/>
        </w:rPr>
        <w:t>当风机全开后，发打开电动阀命令。当收到电动阀运行反馈时，发出单台塔完成启动信号。当电动阀启动故障或超时时，发出电动阀启动失败、单台塔启动失败报警。</w:t>
      </w:r>
    </w:p>
    <w:p>
      <w:pPr>
        <w:tabs>
          <w:tab w:val="left" w:pos="1856"/>
        </w:tabs>
        <w:spacing w:line="360" w:lineRule="auto"/>
        <w:rPr>
          <w:rFonts w:hint="eastAsia" w:ascii="宋体" w:hAnsi="宋体"/>
          <w:sz w:val="24"/>
        </w:rPr>
      </w:pPr>
      <w:r>
        <w:rPr>
          <w:rFonts w:hint="eastAsia" w:ascii="宋体" w:hAnsi="宋体"/>
          <w:sz w:val="24"/>
        </w:rPr>
        <w:t>对于电动阀处于隔离（维修）状态、但现场处于全开状态的小塔，在上位机设置强制界面，由操作员勾选后，发出电动阀已全开信号，顺控程序只控制风机运行。</w:t>
      </w:r>
    </w:p>
    <w:p>
      <w:pPr>
        <w:tabs>
          <w:tab w:val="left" w:pos="1856"/>
        </w:tabs>
        <w:spacing w:line="360" w:lineRule="auto"/>
        <w:rPr>
          <w:rFonts w:ascii="宋体" w:hAnsi="宋体"/>
          <w:sz w:val="24"/>
        </w:rPr>
      </w:pPr>
      <w:r>
        <w:rPr>
          <w:rFonts w:hint="eastAsia" w:ascii="宋体" w:hAnsi="宋体"/>
          <w:sz w:val="24"/>
        </w:rPr>
        <w:t>3）单组塔停止顺控</w:t>
      </w:r>
    </w:p>
    <w:p>
      <w:pPr>
        <w:tabs>
          <w:tab w:val="left" w:pos="1856"/>
        </w:tabs>
        <w:spacing w:line="360" w:lineRule="auto"/>
        <w:ind w:firstLine="560"/>
        <w:rPr>
          <w:rFonts w:hint="eastAsia" w:ascii="宋体" w:hAnsi="宋体"/>
          <w:sz w:val="24"/>
        </w:rPr>
      </w:pPr>
      <w:r>
        <w:rPr>
          <w:rFonts w:hint="eastAsia" w:ascii="宋体" w:hAnsi="宋体"/>
          <w:sz w:val="24"/>
        </w:rPr>
        <w:t>单台塔处于远程、自动、运行状态时，先关阀，再停风机。超时或故障时发出报警。</w:t>
      </w:r>
    </w:p>
    <w:p>
      <w:pPr>
        <w:tabs>
          <w:tab w:val="left" w:pos="1856"/>
        </w:tabs>
        <w:spacing w:line="360" w:lineRule="auto"/>
        <w:rPr>
          <w:rFonts w:ascii="宋体" w:hAnsi="宋体"/>
          <w:sz w:val="24"/>
        </w:rPr>
      </w:pPr>
      <w:r>
        <w:rPr>
          <w:rFonts w:hint="eastAsia" w:ascii="宋体" w:hAnsi="宋体"/>
          <w:sz w:val="24"/>
        </w:rPr>
        <w:t>4）塔组加减</w:t>
      </w:r>
    </w:p>
    <w:p>
      <w:pPr>
        <w:tabs>
          <w:tab w:val="left" w:pos="1856"/>
        </w:tabs>
        <w:spacing w:line="360" w:lineRule="auto"/>
        <w:ind w:firstLine="560"/>
        <w:rPr>
          <w:rFonts w:ascii="宋体" w:hAnsi="宋体"/>
          <w:sz w:val="24"/>
        </w:rPr>
      </w:pPr>
      <w:r>
        <w:rPr>
          <w:rFonts w:hint="eastAsia" w:ascii="宋体" w:hAnsi="宋体"/>
          <w:sz w:val="24"/>
        </w:rPr>
        <w:t>根据下塔温度进行塔组加减，同时考虑左右两侧平衡加减、水量均匀等因素。</w:t>
      </w:r>
    </w:p>
    <w:p>
      <w:pPr>
        <w:tabs>
          <w:tab w:val="left" w:pos="1856"/>
        </w:tabs>
        <w:spacing w:line="360" w:lineRule="auto"/>
        <w:ind w:firstLine="560"/>
        <w:rPr>
          <w:rFonts w:hint="eastAsia" w:ascii="宋体" w:hAnsi="宋体"/>
          <w:sz w:val="24"/>
        </w:rPr>
      </w:pPr>
      <w:r>
        <w:rPr>
          <w:rFonts w:hint="eastAsia" w:ascii="宋体" w:hAnsi="宋体"/>
          <w:sz w:val="24"/>
        </w:rPr>
        <w:t>在冷却塔发生故障时，自动切换到备用塔。</w:t>
      </w:r>
    </w:p>
    <w:p>
      <w:pPr>
        <w:tabs>
          <w:tab w:val="left" w:pos="1856"/>
        </w:tabs>
        <w:spacing w:line="360" w:lineRule="auto"/>
        <w:rPr>
          <w:rFonts w:hint="eastAsia" w:ascii="宋体" w:hAnsi="宋体"/>
          <w:sz w:val="24"/>
        </w:rPr>
      </w:pPr>
      <w:r>
        <w:rPr>
          <w:rFonts w:hint="eastAsia" w:ascii="宋体" w:hAnsi="宋体"/>
          <w:sz w:val="24"/>
        </w:rPr>
        <w:t>13、二级泵控制器</w:t>
      </w:r>
    </w:p>
    <w:p>
      <w:pPr>
        <w:tabs>
          <w:tab w:val="left" w:pos="1856"/>
        </w:tabs>
        <w:spacing w:line="360" w:lineRule="auto"/>
        <w:ind w:firstLine="480" w:firstLineChars="200"/>
        <w:rPr>
          <w:rFonts w:hint="eastAsia" w:ascii="宋体" w:hAnsi="宋体"/>
          <w:sz w:val="24"/>
        </w:rPr>
      </w:pPr>
      <w:r>
        <w:rPr>
          <w:rFonts w:hint="eastAsia" w:ascii="宋体" w:hAnsi="宋体"/>
          <w:sz w:val="24"/>
        </w:rPr>
        <w:t>采用多模态PID模块，控制二级泵频率，满足板换间负荷需求。</w:t>
      </w:r>
    </w:p>
    <w:p>
      <w:pPr>
        <w:tabs>
          <w:tab w:val="left" w:pos="1856"/>
        </w:tabs>
        <w:spacing w:line="360" w:lineRule="auto"/>
        <w:rPr>
          <w:rFonts w:ascii="宋体" w:hAnsi="宋体"/>
          <w:sz w:val="24"/>
        </w:rPr>
      </w:pPr>
      <w:r>
        <w:rPr>
          <w:rFonts w:hint="eastAsia" w:ascii="宋体" w:hAnsi="宋体"/>
          <w:sz w:val="24"/>
        </w:rPr>
        <w:t>1）变压差设定</w:t>
      </w:r>
    </w:p>
    <w:p>
      <w:pPr>
        <w:tabs>
          <w:tab w:val="left" w:pos="1856"/>
        </w:tabs>
        <w:spacing w:line="360" w:lineRule="auto"/>
        <w:ind w:firstLine="240" w:firstLineChars="100"/>
        <w:rPr>
          <w:rFonts w:ascii="宋体" w:hAnsi="宋体"/>
          <w:sz w:val="24"/>
        </w:rPr>
      </w:pPr>
      <w:r>
        <w:rPr>
          <w:rFonts w:hint="eastAsia" w:ascii="宋体" w:hAnsi="宋体"/>
          <w:sz w:val="24"/>
        </w:rPr>
        <w:t>由上位机AI预测当日的负荷突变的时段，或操作员根据学校通知手动设置时间表，程序自动改变组团出口压差设定值，增加大管网蓄冷，避免学校集中用冷时冷量不足。针对操作员预设的最不利板换间，或板换间控制器/上位机AI系统自动计算出冷量不足的板换间，自动增减压差设定值。</w:t>
      </w:r>
    </w:p>
    <w:p>
      <w:pPr>
        <w:tabs>
          <w:tab w:val="left" w:pos="1856"/>
        </w:tabs>
        <w:spacing w:line="360" w:lineRule="auto"/>
        <w:ind w:firstLine="480" w:firstLineChars="200"/>
        <w:rPr>
          <w:rFonts w:hint="eastAsia" w:ascii="宋体" w:hAnsi="宋体"/>
          <w:sz w:val="24"/>
        </w:rPr>
      </w:pPr>
      <w:r>
        <w:rPr>
          <w:rFonts w:hint="eastAsia" w:ascii="宋体" w:hAnsi="宋体"/>
          <w:sz w:val="24"/>
        </w:rPr>
        <w:t>对于时间表未反应出的、因天气或学校因素引起的负荷变化，由上位机AI程序根据板换间总负荷计算出压差设定值，下发给PLC。</w:t>
      </w:r>
    </w:p>
    <w:p>
      <w:pPr>
        <w:tabs>
          <w:tab w:val="left" w:pos="1856"/>
        </w:tabs>
        <w:spacing w:line="360" w:lineRule="auto"/>
        <w:ind w:firstLine="480" w:firstLineChars="200"/>
        <w:rPr>
          <w:rFonts w:hint="eastAsia" w:ascii="宋体" w:hAnsi="宋体"/>
          <w:sz w:val="24"/>
        </w:rPr>
      </w:pPr>
      <w:r>
        <w:rPr>
          <w:rFonts w:hint="eastAsia" w:ascii="宋体" w:hAnsi="宋体"/>
          <w:sz w:val="24"/>
        </w:rPr>
        <w:t>压差设定值改变时在PLC内经限速后写入PID模块，避免压差突变造成扰动。压差设定值的上下限在不同负荷段自动加载不同的数值。</w:t>
      </w:r>
    </w:p>
    <w:p>
      <w:pPr>
        <w:tabs>
          <w:tab w:val="left" w:pos="1856"/>
        </w:tabs>
        <w:spacing w:line="360" w:lineRule="auto"/>
        <w:rPr>
          <w:rFonts w:ascii="宋体" w:hAnsi="宋体"/>
          <w:sz w:val="24"/>
        </w:rPr>
      </w:pPr>
      <w:r>
        <w:rPr>
          <w:rFonts w:hint="eastAsia" w:ascii="宋体" w:hAnsi="宋体"/>
          <w:sz w:val="24"/>
        </w:rPr>
        <w:t>2）组团出口压差压力信号</w:t>
      </w:r>
    </w:p>
    <w:p>
      <w:pPr>
        <w:tabs>
          <w:tab w:val="left" w:pos="1856"/>
        </w:tabs>
        <w:spacing w:line="360" w:lineRule="auto"/>
        <w:ind w:firstLine="240" w:firstLineChars="100"/>
        <w:rPr>
          <w:rFonts w:ascii="宋体" w:hAnsi="宋体"/>
          <w:sz w:val="24"/>
        </w:rPr>
      </w:pPr>
      <w:r>
        <w:rPr>
          <w:rFonts w:hint="eastAsia" w:ascii="宋体" w:hAnsi="宋体"/>
          <w:sz w:val="24"/>
        </w:rPr>
        <w:t>作为控制用的压差信号对系统极为关键。在输入输出程序模块对压差信号进行质检，信号异常时，PID跳手动，泵频率保持不变，并发出报警。设置压差信号切换逻辑，由操作员手动选择信号来源，当压差传感器信号异常时，采用供回水压力传感器计算压差。</w:t>
      </w:r>
    </w:p>
    <w:p>
      <w:pPr>
        <w:tabs>
          <w:tab w:val="left" w:pos="1856"/>
        </w:tabs>
        <w:spacing w:line="360" w:lineRule="auto"/>
        <w:rPr>
          <w:rFonts w:ascii="宋体" w:hAnsi="宋体"/>
          <w:sz w:val="24"/>
        </w:rPr>
      </w:pPr>
      <w:r>
        <w:rPr>
          <w:rFonts w:hint="eastAsia" w:ascii="宋体" w:hAnsi="宋体"/>
          <w:sz w:val="24"/>
        </w:rPr>
        <w:t>3）变频器频率指令与反馈信号</w:t>
      </w:r>
    </w:p>
    <w:p>
      <w:pPr>
        <w:tabs>
          <w:tab w:val="left" w:pos="1856"/>
        </w:tabs>
        <w:spacing w:line="360" w:lineRule="auto"/>
        <w:ind w:firstLine="240" w:firstLineChars="100"/>
        <w:rPr>
          <w:rFonts w:hint="eastAsia" w:ascii="宋体" w:hAnsi="宋体"/>
          <w:sz w:val="24"/>
        </w:rPr>
      </w:pPr>
      <w:r>
        <w:rPr>
          <w:rFonts w:hint="eastAsia" w:ascii="宋体" w:hAnsi="宋体"/>
          <w:sz w:val="24"/>
        </w:rPr>
        <w:t>对变频器频率指令与反馈信号进行质检，当异常时，禁止投入该泵。</w:t>
      </w:r>
    </w:p>
    <w:p>
      <w:pPr>
        <w:tabs>
          <w:tab w:val="left" w:pos="1856"/>
        </w:tabs>
        <w:spacing w:line="360" w:lineRule="auto"/>
        <w:rPr>
          <w:rFonts w:ascii="宋体" w:hAnsi="宋体"/>
          <w:sz w:val="24"/>
        </w:rPr>
      </w:pPr>
      <w:r>
        <w:rPr>
          <w:rFonts w:hint="eastAsia" w:ascii="宋体" w:hAnsi="宋体"/>
          <w:sz w:val="24"/>
        </w:rPr>
        <w:t>4）加减泵</w:t>
      </w:r>
    </w:p>
    <w:p>
      <w:pPr>
        <w:tabs>
          <w:tab w:val="left" w:pos="1856"/>
        </w:tabs>
        <w:spacing w:line="360" w:lineRule="auto"/>
        <w:ind w:firstLine="480" w:firstLineChars="200"/>
        <w:rPr>
          <w:rFonts w:hint="eastAsia" w:ascii="宋体" w:hAnsi="宋体"/>
          <w:sz w:val="24"/>
        </w:rPr>
      </w:pPr>
      <w:r>
        <w:rPr>
          <w:rFonts w:hint="eastAsia" w:ascii="宋体" w:hAnsi="宋体"/>
          <w:sz w:val="24"/>
        </w:rPr>
        <w:t>频率增加到上限值经延时后，增加水泵运行台数。在投入新泵之前，PID进入跟踪状态，输出降低到设定值，以避免新泵启动瞬间压力过大。新泵启动完成后，PID投入自动。</w:t>
      </w:r>
    </w:p>
    <w:p>
      <w:pPr>
        <w:tabs>
          <w:tab w:val="left" w:pos="1856"/>
        </w:tabs>
        <w:spacing w:line="360" w:lineRule="auto"/>
        <w:rPr>
          <w:rFonts w:hint="eastAsia" w:ascii="宋体" w:hAnsi="宋体"/>
          <w:sz w:val="24"/>
        </w:rPr>
      </w:pPr>
      <w:r>
        <w:rPr>
          <w:rFonts w:hint="eastAsia" w:ascii="宋体" w:hAnsi="宋体"/>
          <w:sz w:val="24"/>
        </w:rPr>
        <w:t>5）启动保护</w:t>
      </w:r>
    </w:p>
    <w:p>
      <w:pPr>
        <w:tabs>
          <w:tab w:val="left" w:pos="1856"/>
        </w:tabs>
        <w:spacing w:line="360" w:lineRule="auto"/>
        <w:ind w:firstLine="480" w:firstLineChars="200"/>
        <w:rPr>
          <w:rFonts w:ascii="宋体" w:hAnsi="宋体"/>
          <w:sz w:val="24"/>
        </w:rPr>
      </w:pPr>
      <w:r>
        <w:rPr>
          <w:rFonts w:hint="eastAsia" w:ascii="宋体" w:hAnsi="宋体"/>
          <w:sz w:val="24"/>
        </w:rPr>
        <w:t>在组团初始启动时，水泵错峰启动，避免尖峰电流叠加。</w:t>
      </w:r>
    </w:p>
    <w:p>
      <w:pPr>
        <w:tabs>
          <w:tab w:val="left" w:pos="1856"/>
        </w:tabs>
        <w:spacing w:line="360" w:lineRule="auto"/>
        <w:ind w:firstLine="480" w:firstLineChars="200"/>
        <w:rPr>
          <w:rFonts w:hint="eastAsia" w:ascii="宋体" w:hAnsi="宋体"/>
          <w:sz w:val="24"/>
        </w:rPr>
      </w:pPr>
      <w:r>
        <w:rPr>
          <w:rFonts w:hint="eastAsia" w:ascii="宋体" w:hAnsi="宋体"/>
          <w:sz w:val="24"/>
        </w:rPr>
        <w:t>在电气总开关跳闸后，切除全部启动信号，发出报警；母联投入后，经延时依次启动之前在运行的泵，避免同时启动电流过大。冷站组团出口压差设定值进入跟踪状态，正在运行的二级泵频率强制降低，待母联投入一段时间后，投入组团压差的P</w:t>
      </w:r>
      <w:r>
        <w:rPr>
          <w:rFonts w:ascii="宋体" w:hAnsi="宋体"/>
          <w:sz w:val="24"/>
        </w:rPr>
        <w:t>ID</w:t>
      </w:r>
      <w:r>
        <w:rPr>
          <w:rFonts w:hint="eastAsia" w:ascii="宋体" w:hAnsi="宋体"/>
          <w:sz w:val="24"/>
        </w:rPr>
        <w:t>调节，压差设定值经限速后恢复正常数值。</w:t>
      </w:r>
    </w:p>
    <w:p>
      <w:pPr>
        <w:tabs>
          <w:tab w:val="left" w:pos="1856"/>
        </w:tabs>
        <w:spacing w:line="360" w:lineRule="auto"/>
        <w:rPr>
          <w:rFonts w:hint="eastAsia" w:ascii="宋体" w:hAnsi="宋体"/>
          <w:sz w:val="24"/>
        </w:rPr>
      </w:pPr>
      <w:r>
        <w:rPr>
          <w:rFonts w:hint="eastAsia" w:ascii="宋体" w:hAnsi="宋体"/>
          <w:sz w:val="24"/>
        </w:rPr>
        <w:t>6）故障切换</w:t>
      </w:r>
    </w:p>
    <w:p>
      <w:pPr>
        <w:tabs>
          <w:tab w:val="left" w:pos="1856"/>
        </w:tabs>
        <w:spacing w:line="360" w:lineRule="auto"/>
        <w:rPr>
          <w:rFonts w:hint="eastAsia" w:ascii="宋体" w:hAnsi="宋体"/>
          <w:sz w:val="24"/>
        </w:rPr>
      </w:pPr>
      <w:r>
        <w:rPr>
          <w:rFonts w:ascii="宋体" w:hAnsi="宋体"/>
          <w:sz w:val="24"/>
        </w:rPr>
        <w:t xml:space="preserve">    </w:t>
      </w:r>
      <w:r>
        <w:rPr>
          <w:rFonts w:hint="eastAsia" w:ascii="宋体" w:hAnsi="宋体"/>
          <w:sz w:val="24"/>
        </w:rPr>
        <w:t>在启动失败或运行故障时，自动启动备用泵运行。</w:t>
      </w:r>
    </w:p>
    <w:p>
      <w:pPr>
        <w:tabs>
          <w:tab w:val="left" w:pos="1856"/>
        </w:tabs>
        <w:spacing w:line="360" w:lineRule="auto"/>
        <w:rPr>
          <w:rFonts w:hint="eastAsia" w:ascii="宋体" w:hAnsi="宋体"/>
          <w:sz w:val="24"/>
        </w:rPr>
      </w:pPr>
      <w:r>
        <w:rPr>
          <w:rFonts w:hint="eastAsia" w:ascii="宋体" w:hAnsi="宋体"/>
          <w:sz w:val="24"/>
        </w:rPr>
        <w:t>14、板换间控制器</w:t>
      </w:r>
    </w:p>
    <w:p>
      <w:pPr>
        <w:tabs>
          <w:tab w:val="left" w:pos="1856"/>
        </w:tabs>
        <w:spacing w:line="360" w:lineRule="auto"/>
        <w:ind w:firstLine="480" w:firstLineChars="200"/>
        <w:rPr>
          <w:rFonts w:hint="eastAsia" w:ascii="宋体" w:hAnsi="宋体"/>
          <w:sz w:val="24"/>
        </w:rPr>
      </w:pPr>
      <w:r>
        <w:rPr>
          <w:rFonts w:hint="eastAsia" w:ascii="宋体" w:hAnsi="宋体"/>
          <w:sz w:val="24"/>
        </w:rPr>
        <w:t>用于冲冰期间板换间的启停，并在板换间网络异常时，使用预设的冷量作为板换间总负荷计算的依据，该冷量的变量需要新建并独立保存，与原始冷量数据区分开。</w:t>
      </w:r>
    </w:p>
    <w:p>
      <w:pPr>
        <w:tabs>
          <w:tab w:val="left" w:pos="1856"/>
        </w:tabs>
        <w:spacing w:line="360" w:lineRule="auto"/>
        <w:rPr>
          <w:rFonts w:hint="eastAsia" w:ascii="宋体" w:hAnsi="宋体"/>
          <w:sz w:val="24"/>
        </w:rPr>
      </w:pPr>
      <w:r>
        <w:rPr>
          <w:rFonts w:hint="eastAsia" w:ascii="宋体" w:hAnsi="宋体"/>
          <w:sz w:val="24"/>
        </w:rPr>
        <w:t>15、协调主控</w:t>
      </w:r>
    </w:p>
    <w:p>
      <w:pPr>
        <w:tabs>
          <w:tab w:val="left" w:pos="1856"/>
        </w:tabs>
        <w:spacing w:line="360" w:lineRule="auto"/>
        <w:rPr>
          <w:rFonts w:ascii="宋体" w:hAnsi="宋体"/>
          <w:sz w:val="24"/>
        </w:rPr>
      </w:pPr>
      <w:r>
        <w:rPr>
          <w:rFonts w:hint="eastAsia" w:ascii="宋体" w:hAnsi="宋体"/>
          <w:sz w:val="24"/>
        </w:rPr>
        <w:t xml:space="preserve">    协调主控制器作为PLC程序的总体指挥，向各从属控制器，即双工况主机控制器、基载机控制器、融冰控制器、负荷控制器、冷却塔控制器等，发送启动、停止、主机运行数量等信号，协调系统运行。</w:t>
      </w:r>
    </w:p>
    <w:p>
      <w:pPr>
        <w:tabs>
          <w:tab w:val="left" w:pos="1856"/>
        </w:tabs>
        <w:spacing w:line="360" w:lineRule="auto"/>
        <w:rPr>
          <w:rFonts w:ascii="宋体" w:hAnsi="宋体"/>
          <w:sz w:val="24"/>
        </w:rPr>
      </w:pPr>
      <w:r>
        <w:rPr>
          <w:rFonts w:hint="eastAsia" w:ascii="宋体" w:hAnsi="宋体"/>
          <w:sz w:val="24"/>
        </w:rPr>
        <w:t>1）协调主控的设定，由2种：</w:t>
      </w:r>
    </w:p>
    <w:p>
      <w:pPr>
        <w:numPr>
          <w:ilvl w:val="0"/>
          <w:numId w:val="20"/>
        </w:numPr>
        <w:tabs>
          <w:tab w:val="left" w:pos="1856"/>
        </w:tabs>
        <w:spacing w:line="360" w:lineRule="auto"/>
        <w:ind w:left="993" w:hanging="1000"/>
        <w:rPr>
          <w:rFonts w:ascii="宋体" w:hAnsi="宋体"/>
          <w:sz w:val="24"/>
        </w:rPr>
      </w:pPr>
      <w:r>
        <w:rPr>
          <w:rFonts w:hint="eastAsia" w:ascii="宋体" w:hAnsi="宋体"/>
          <w:sz w:val="24"/>
        </w:rPr>
        <w:t>操作员手动设定模式：由操作员在上位机电脑上手动设定时间表（包括当日、次日），</w:t>
      </w:r>
    </w:p>
    <w:p>
      <w:pPr>
        <w:tabs>
          <w:tab w:val="left" w:pos="1856"/>
        </w:tabs>
        <w:spacing w:line="360" w:lineRule="auto"/>
        <w:ind w:left="142"/>
        <w:rPr>
          <w:rFonts w:ascii="宋体" w:hAnsi="宋体"/>
          <w:sz w:val="24"/>
        </w:rPr>
      </w:pPr>
      <w:r>
        <w:rPr>
          <w:rFonts w:hint="eastAsia" w:ascii="宋体" w:hAnsi="宋体"/>
          <w:sz w:val="24"/>
        </w:rPr>
        <w:t>该时间表包括双工况主机运行台数及温度设定值、基载机运行台数及设定值、制冰目标值、融冰启停时间等；</w:t>
      </w:r>
    </w:p>
    <w:p>
      <w:pPr>
        <w:numPr>
          <w:ilvl w:val="0"/>
          <w:numId w:val="25"/>
        </w:numPr>
        <w:tabs>
          <w:tab w:val="left" w:pos="1856"/>
        </w:tabs>
        <w:spacing w:line="360" w:lineRule="auto"/>
        <w:ind w:hanging="1000"/>
        <w:rPr>
          <w:rFonts w:ascii="宋体" w:hAnsi="宋体"/>
          <w:sz w:val="24"/>
        </w:rPr>
      </w:pPr>
      <w:r>
        <w:rPr>
          <w:rFonts w:hint="eastAsia" w:ascii="宋体" w:hAnsi="宋体"/>
          <w:sz w:val="24"/>
        </w:rPr>
        <w:t>上位机自动设定模式：由上位机的AI程序，经过计算，自动生成能效最优、费用最优</w:t>
      </w:r>
    </w:p>
    <w:p>
      <w:pPr>
        <w:tabs>
          <w:tab w:val="left" w:pos="1856"/>
        </w:tabs>
        <w:spacing w:line="360" w:lineRule="auto"/>
        <w:ind w:left="284"/>
        <w:rPr>
          <w:rFonts w:ascii="宋体" w:hAnsi="宋体"/>
          <w:sz w:val="24"/>
        </w:rPr>
      </w:pPr>
      <w:r>
        <w:rPr>
          <w:rFonts w:hint="eastAsia" w:ascii="宋体" w:hAnsi="宋体"/>
          <w:sz w:val="24"/>
        </w:rPr>
        <w:t>的运行模式时间表，该时间表同样包括双工况主机运行台数及温度设定值、基载机运行台数及设定值、制冰目标值、融冰启停时间等信息；</w:t>
      </w:r>
    </w:p>
    <w:p>
      <w:pPr>
        <w:tabs>
          <w:tab w:val="left" w:pos="1856"/>
        </w:tabs>
        <w:spacing w:line="360" w:lineRule="auto"/>
        <w:rPr>
          <w:rFonts w:hint="eastAsia" w:ascii="宋体" w:hAnsi="宋体"/>
          <w:sz w:val="24"/>
        </w:rPr>
      </w:pPr>
      <w:r>
        <w:rPr>
          <w:rFonts w:hint="eastAsia" w:ascii="宋体" w:hAnsi="宋体"/>
          <w:sz w:val="24"/>
        </w:rPr>
        <w:t>2）V12、V13控制</w:t>
      </w:r>
    </w:p>
    <w:p>
      <w:pPr>
        <w:tabs>
          <w:tab w:val="left" w:pos="1856"/>
        </w:tabs>
        <w:spacing w:line="360" w:lineRule="auto"/>
        <w:ind w:firstLine="480" w:firstLineChars="200"/>
        <w:rPr>
          <w:rFonts w:ascii="宋体" w:hAnsi="宋体"/>
          <w:sz w:val="24"/>
        </w:rPr>
      </w:pPr>
      <w:r>
        <w:rPr>
          <w:rFonts w:hint="eastAsia" w:ascii="宋体" w:hAnsi="宋体"/>
          <w:sz w:val="24"/>
        </w:rPr>
        <w:t>V12供回水旁通阀、V13基载机旁通电动阀是系统工况切换时的重要阀门。一般情况下，打开V13电动阀。高负荷时，流量达到设定值、主机运行数量达到设定值，则关闭V13打开V12，以保证主机供冷温度。</w:t>
      </w:r>
    </w:p>
    <w:p>
      <w:pPr>
        <w:tabs>
          <w:tab w:val="left" w:pos="1856"/>
        </w:tabs>
        <w:spacing w:line="360" w:lineRule="auto"/>
        <w:ind w:firstLine="480" w:firstLineChars="200"/>
        <w:rPr>
          <w:rFonts w:hint="eastAsia" w:ascii="宋体" w:hAnsi="宋体"/>
          <w:sz w:val="24"/>
        </w:rPr>
      </w:pPr>
      <w:r>
        <w:rPr>
          <w:rFonts w:hint="eastAsia" w:ascii="宋体" w:hAnsi="宋体"/>
          <w:sz w:val="24"/>
        </w:rPr>
        <w:t>V12、V13的投入条件与其他阀门相同，开启关闭时的故障处理参考其他阀门。</w:t>
      </w:r>
    </w:p>
    <w:p>
      <w:pPr>
        <w:tabs>
          <w:tab w:val="left" w:pos="1856"/>
        </w:tabs>
        <w:spacing w:line="360" w:lineRule="auto"/>
        <w:rPr>
          <w:rFonts w:ascii="宋体" w:hAnsi="宋体"/>
          <w:sz w:val="24"/>
        </w:rPr>
      </w:pPr>
      <w:r>
        <w:rPr>
          <w:rFonts w:hint="eastAsia" w:ascii="宋体" w:hAnsi="宋体"/>
          <w:sz w:val="24"/>
        </w:rPr>
        <w:t>3)供冷温度控制</w:t>
      </w:r>
    </w:p>
    <w:p>
      <w:pPr>
        <w:tabs>
          <w:tab w:val="left" w:pos="1856"/>
        </w:tabs>
        <w:spacing w:line="360" w:lineRule="auto"/>
        <w:ind w:firstLine="480" w:firstLineChars="200"/>
        <w:rPr>
          <w:rFonts w:ascii="宋体" w:hAnsi="宋体"/>
          <w:sz w:val="24"/>
        </w:rPr>
      </w:pPr>
      <w:r>
        <w:rPr>
          <w:rFonts w:hint="eastAsia" w:ascii="宋体" w:hAnsi="宋体"/>
          <w:sz w:val="24"/>
        </w:rPr>
        <w:t>控制V3~V6阀组以控制冷站供水温度，同时考虑节流损失、阀门动作次数限制。</w:t>
      </w:r>
    </w:p>
    <w:p>
      <w:pPr>
        <w:tabs>
          <w:tab w:val="left" w:pos="1856"/>
        </w:tabs>
        <w:spacing w:line="360" w:lineRule="auto"/>
        <w:ind w:firstLine="480" w:firstLineChars="200"/>
        <w:rPr>
          <w:rFonts w:hint="eastAsia" w:ascii="宋体" w:hAnsi="宋体"/>
          <w:sz w:val="24"/>
        </w:rPr>
      </w:pPr>
      <w:r>
        <w:rPr>
          <w:rFonts w:hint="eastAsia" w:ascii="宋体" w:hAnsi="宋体"/>
          <w:sz w:val="24"/>
        </w:rPr>
        <w:t>采用多模态PID模块、断续调节等控制技术，保持供冷温度波动±1℃，变负荷时可快速达到温度设定值。由上位机AI预测当日的负荷突变的时段，经操作员根据学校通知对时间表进行手动修正，自动改变供冷设定值，增加大管网蓄冷，避免学校集中用冷时冷量不足。</w:t>
      </w:r>
    </w:p>
    <w:p>
      <w:pPr>
        <w:tabs>
          <w:tab w:val="left" w:pos="1856"/>
        </w:tabs>
        <w:spacing w:line="360" w:lineRule="auto"/>
        <w:rPr>
          <w:rFonts w:ascii="宋体" w:hAnsi="宋体"/>
          <w:sz w:val="24"/>
        </w:rPr>
      </w:pPr>
      <w:r>
        <w:rPr>
          <w:rFonts w:hint="eastAsia" w:ascii="宋体" w:hAnsi="宋体"/>
          <w:sz w:val="24"/>
        </w:rPr>
        <w:t>4)协调控制</w:t>
      </w:r>
    </w:p>
    <w:p>
      <w:pPr>
        <w:tabs>
          <w:tab w:val="left" w:pos="1856"/>
        </w:tabs>
        <w:spacing w:line="360" w:lineRule="auto"/>
        <w:rPr>
          <w:rFonts w:ascii="宋体" w:hAnsi="宋体"/>
          <w:sz w:val="24"/>
        </w:rPr>
      </w:pPr>
      <w:r>
        <w:rPr>
          <w:rFonts w:hint="eastAsia" w:ascii="宋体" w:hAnsi="宋体"/>
          <w:sz w:val="24"/>
        </w:rPr>
        <w:t xml:space="preserve"> 统筹各控制器之间的联锁，包括但不限于：</w:t>
      </w:r>
    </w:p>
    <w:p>
      <w:pPr>
        <w:numPr>
          <w:ilvl w:val="0"/>
          <w:numId w:val="26"/>
        </w:numPr>
        <w:tabs>
          <w:tab w:val="left" w:pos="1856"/>
        </w:tabs>
        <w:spacing w:line="360" w:lineRule="auto"/>
        <w:ind w:left="426"/>
        <w:rPr>
          <w:rFonts w:ascii="宋体" w:hAnsi="宋体"/>
          <w:sz w:val="24"/>
        </w:rPr>
      </w:pPr>
      <w:r>
        <w:rPr>
          <w:rFonts w:hint="eastAsia" w:ascii="宋体" w:hAnsi="宋体"/>
          <w:sz w:val="24"/>
        </w:rPr>
        <w:t>制冰/融冰/基载机供冷/双工况主机供冷等模式切换时，向各控制器发出运行台数需求</w:t>
      </w:r>
    </w:p>
    <w:p>
      <w:pPr>
        <w:tabs>
          <w:tab w:val="left" w:pos="1856"/>
        </w:tabs>
        <w:spacing w:line="360" w:lineRule="auto"/>
        <w:ind w:left="142"/>
        <w:rPr>
          <w:rFonts w:ascii="宋体" w:hAnsi="宋体"/>
          <w:sz w:val="24"/>
        </w:rPr>
      </w:pPr>
      <w:r>
        <w:rPr>
          <w:rFonts w:hint="eastAsia" w:ascii="宋体" w:hAnsi="宋体"/>
          <w:sz w:val="24"/>
        </w:rPr>
        <w:t>信号；</w:t>
      </w:r>
    </w:p>
    <w:p>
      <w:pPr>
        <w:numPr>
          <w:ilvl w:val="0"/>
          <w:numId w:val="26"/>
        </w:numPr>
        <w:tabs>
          <w:tab w:val="left" w:pos="1856"/>
        </w:tabs>
        <w:spacing w:line="360" w:lineRule="auto"/>
        <w:rPr>
          <w:rFonts w:ascii="宋体" w:hAnsi="宋体"/>
          <w:sz w:val="24"/>
        </w:rPr>
      </w:pPr>
      <w:r>
        <w:rPr>
          <w:rFonts w:hint="eastAsia" w:ascii="宋体" w:hAnsi="宋体"/>
          <w:sz w:val="24"/>
        </w:rPr>
        <w:t>在冲冰模式下，向各控制器发出联锁指令、运行台数需求信号、操作员勾选板换间强制</w:t>
      </w:r>
    </w:p>
    <w:p>
      <w:pPr>
        <w:tabs>
          <w:tab w:val="left" w:pos="1856"/>
        </w:tabs>
        <w:spacing w:line="360" w:lineRule="auto"/>
        <w:ind w:left="142"/>
        <w:rPr>
          <w:rFonts w:ascii="宋体" w:hAnsi="宋体"/>
          <w:sz w:val="24"/>
        </w:rPr>
      </w:pPr>
      <w:r>
        <w:rPr>
          <w:rFonts w:hint="eastAsia" w:ascii="宋体" w:hAnsi="宋体"/>
          <w:sz w:val="24"/>
        </w:rPr>
        <w:t>开启指令等信号，完成冲冰顺控。</w:t>
      </w:r>
    </w:p>
    <w:p>
      <w:pPr>
        <w:numPr>
          <w:ilvl w:val="0"/>
          <w:numId w:val="26"/>
        </w:numPr>
        <w:tabs>
          <w:tab w:val="left" w:pos="1856"/>
        </w:tabs>
        <w:spacing w:line="360" w:lineRule="auto"/>
        <w:rPr>
          <w:rFonts w:ascii="宋体" w:hAnsi="宋体"/>
          <w:sz w:val="24"/>
        </w:rPr>
      </w:pPr>
      <w:r>
        <w:rPr>
          <w:rFonts w:hint="eastAsia" w:ascii="宋体" w:hAnsi="宋体"/>
          <w:sz w:val="24"/>
        </w:rPr>
        <w:t>电气联锁控制</w:t>
      </w:r>
    </w:p>
    <w:p>
      <w:pPr>
        <w:tabs>
          <w:tab w:val="left" w:pos="1856"/>
        </w:tabs>
        <w:spacing w:line="360" w:lineRule="auto"/>
        <w:ind w:firstLine="141" w:firstLineChars="59"/>
        <w:rPr>
          <w:rFonts w:ascii="宋体" w:hAnsi="宋体"/>
          <w:sz w:val="24"/>
        </w:rPr>
      </w:pPr>
      <w:r>
        <w:rPr>
          <w:rFonts w:hint="eastAsia" w:ascii="宋体" w:hAnsi="宋体"/>
          <w:sz w:val="24"/>
        </w:rPr>
        <w:t>在设备上游电气开关发生故障、进线失电、因某种原因被切除时，自动计算关联设备的运行需求数，向相关控制器发出联锁指令。</w:t>
      </w:r>
    </w:p>
    <w:p>
      <w:pPr>
        <w:numPr>
          <w:ilvl w:val="0"/>
          <w:numId w:val="26"/>
        </w:numPr>
        <w:tabs>
          <w:tab w:val="left" w:pos="1856"/>
        </w:tabs>
        <w:spacing w:line="360" w:lineRule="auto"/>
        <w:rPr>
          <w:rFonts w:ascii="宋体" w:hAnsi="宋体"/>
          <w:sz w:val="24"/>
        </w:rPr>
      </w:pPr>
      <w:r>
        <w:rPr>
          <w:rFonts w:hint="eastAsia" w:ascii="宋体" w:hAnsi="宋体"/>
          <w:sz w:val="24"/>
        </w:rPr>
        <w:t>系统最优控制</w:t>
      </w:r>
    </w:p>
    <w:p>
      <w:pPr>
        <w:tabs>
          <w:tab w:val="left" w:pos="1856"/>
        </w:tabs>
        <w:spacing w:line="360" w:lineRule="auto"/>
        <w:ind w:firstLine="240" w:firstLineChars="100"/>
        <w:rPr>
          <w:rFonts w:hint="eastAsia" w:ascii="宋体" w:hAnsi="宋体"/>
          <w:sz w:val="24"/>
        </w:rPr>
      </w:pPr>
      <w:r>
        <w:rPr>
          <w:rFonts w:hint="eastAsia" w:ascii="宋体" w:hAnsi="宋体"/>
          <w:sz w:val="24"/>
        </w:rPr>
        <w:t>综合湿球温度、冷却水泵能耗、冷冻水泵能耗、主机能耗，计算出冷冻水泵、冷却水泵的最佳运行频率以及最佳冷却塔运行台数，达到综合功耗最小。17、其他未列明的、实现系统全自动运行程序</w:t>
      </w:r>
    </w:p>
    <w:p>
      <w:pPr>
        <w:spacing w:line="360" w:lineRule="auto"/>
        <w:rPr>
          <w:rFonts w:hint="eastAsia" w:ascii="宋体" w:hAnsi="宋体"/>
          <w:b/>
          <w:sz w:val="24"/>
        </w:rPr>
      </w:pPr>
      <w:r>
        <w:rPr>
          <w:rFonts w:hint="eastAsia" w:ascii="宋体" w:hAnsi="宋体"/>
          <w:b/>
          <w:sz w:val="24"/>
        </w:rPr>
        <w:t>6.2上位机功能</w:t>
      </w:r>
    </w:p>
    <w:p>
      <w:pPr>
        <w:tabs>
          <w:tab w:val="left" w:pos="1856"/>
        </w:tabs>
        <w:spacing w:line="360" w:lineRule="auto"/>
        <w:rPr>
          <w:rFonts w:ascii="宋体" w:hAnsi="宋体"/>
          <w:sz w:val="24"/>
        </w:rPr>
      </w:pPr>
      <w:r>
        <w:rPr>
          <w:rFonts w:hint="eastAsia" w:ascii="宋体" w:hAnsi="宋体"/>
          <w:sz w:val="24"/>
        </w:rPr>
        <w:t>1）在现有项目文件的基础上重新制作界面，实现以下功能：</w:t>
      </w:r>
    </w:p>
    <w:p>
      <w:pPr>
        <w:numPr>
          <w:ilvl w:val="0"/>
          <w:numId w:val="27"/>
        </w:numPr>
        <w:tabs>
          <w:tab w:val="left" w:pos="1856"/>
        </w:tabs>
        <w:spacing w:line="360" w:lineRule="auto"/>
        <w:rPr>
          <w:rFonts w:ascii="宋体" w:hAnsi="宋体"/>
          <w:sz w:val="24"/>
        </w:rPr>
      </w:pPr>
      <w:r>
        <w:rPr>
          <w:rFonts w:hint="eastAsia" w:ascii="宋体" w:hAnsi="宋体"/>
          <w:sz w:val="24"/>
        </w:rPr>
        <w:t>建立设备信息数据库，存储设备基础信息；</w:t>
      </w:r>
    </w:p>
    <w:p>
      <w:pPr>
        <w:numPr>
          <w:ilvl w:val="0"/>
          <w:numId w:val="27"/>
        </w:numPr>
        <w:tabs>
          <w:tab w:val="left" w:pos="1856"/>
        </w:tabs>
        <w:spacing w:line="360" w:lineRule="auto"/>
        <w:ind w:left="284" w:hanging="284"/>
        <w:rPr>
          <w:rFonts w:hint="eastAsia" w:ascii="宋体" w:hAnsi="宋体"/>
          <w:sz w:val="24"/>
        </w:rPr>
      </w:pPr>
      <w:r>
        <w:rPr>
          <w:rFonts w:hint="eastAsia" w:ascii="宋体" w:hAnsi="宋体"/>
          <w:sz w:val="24"/>
        </w:rPr>
        <w:t>点击设备后弹出设备监控界面，包含控制选项卡、设备基础信息选项卡等。控制选项卡包括远程/就地、启停按钮、运行停止反馈、手动自动按钮、参数设置框等；</w:t>
      </w:r>
    </w:p>
    <w:p>
      <w:pPr>
        <w:numPr>
          <w:ilvl w:val="0"/>
          <w:numId w:val="27"/>
        </w:numPr>
        <w:tabs>
          <w:tab w:val="left" w:pos="1856"/>
        </w:tabs>
        <w:spacing w:line="360" w:lineRule="auto"/>
        <w:rPr>
          <w:rFonts w:ascii="宋体" w:hAnsi="宋体"/>
          <w:sz w:val="24"/>
        </w:rPr>
      </w:pPr>
      <w:r>
        <w:rPr>
          <w:rFonts w:hint="eastAsia" w:ascii="宋体" w:hAnsi="宋体"/>
          <w:sz w:val="24"/>
        </w:rPr>
        <w:t>点击界面上模拟量TAG，弹出该模拟量的实时曲线框表和历史曲线框表；</w:t>
      </w:r>
    </w:p>
    <w:p>
      <w:pPr>
        <w:numPr>
          <w:ilvl w:val="0"/>
          <w:numId w:val="27"/>
        </w:numPr>
        <w:tabs>
          <w:tab w:val="left" w:pos="1856"/>
        </w:tabs>
        <w:spacing w:line="360" w:lineRule="auto"/>
        <w:ind w:left="709"/>
        <w:rPr>
          <w:rFonts w:ascii="宋体" w:hAnsi="宋体"/>
          <w:sz w:val="24"/>
        </w:rPr>
      </w:pPr>
      <w:r>
        <w:rPr>
          <w:rFonts w:hint="eastAsia" w:ascii="宋体" w:hAnsi="宋体"/>
          <w:sz w:val="24"/>
        </w:rPr>
        <w:t>建立独立的历史记录和实时记录查询页面，包含TAG组选择，多设备勾选后在曲线框</w:t>
      </w:r>
    </w:p>
    <w:p>
      <w:pPr>
        <w:tabs>
          <w:tab w:val="left" w:pos="1856"/>
        </w:tabs>
        <w:spacing w:line="360" w:lineRule="auto"/>
        <w:ind w:left="1" w:firstLine="280" w:firstLineChars="117"/>
        <w:rPr>
          <w:rFonts w:ascii="宋体" w:hAnsi="宋体"/>
          <w:sz w:val="24"/>
        </w:rPr>
      </w:pPr>
      <w:r>
        <w:rPr>
          <w:rFonts w:hint="eastAsia" w:ascii="宋体" w:hAnsi="宋体"/>
          <w:sz w:val="24"/>
        </w:rPr>
        <w:t>自动显示曲线，可自定义量程、导出数据，可存储为指定名称的配置文件，方便</w:t>
      </w:r>
    </w:p>
    <w:p>
      <w:pPr>
        <w:tabs>
          <w:tab w:val="left" w:pos="1856"/>
        </w:tabs>
        <w:spacing w:line="360" w:lineRule="auto"/>
        <w:ind w:left="284"/>
        <w:rPr>
          <w:rFonts w:ascii="宋体" w:hAnsi="宋体"/>
          <w:sz w:val="24"/>
        </w:rPr>
      </w:pPr>
      <w:r>
        <w:rPr>
          <w:rFonts w:hint="eastAsia" w:ascii="宋体" w:hAnsi="宋体"/>
          <w:sz w:val="24"/>
        </w:rPr>
        <w:t>调用。最终样式由业主确认。</w:t>
      </w:r>
    </w:p>
    <w:p>
      <w:pPr>
        <w:numPr>
          <w:ilvl w:val="0"/>
          <w:numId w:val="27"/>
        </w:numPr>
        <w:tabs>
          <w:tab w:val="left" w:pos="1856"/>
        </w:tabs>
        <w:spacing w:line="360" w:lineRule="auto"/>
        <w:rPr>
          <w:rFonts w:ascii="宋体" w:hAnsi="宋体"/>
          <w:sz w:val="24"/>
        </w:rPr>
      </w:pPr>
      <w:r>
        <w:rPr>
          <w:rFonts w:hint="eastAsia" w:ascii="宋体" w:hAnsi="宋体"/>
          <w:sz w:val="24"/>
        </w:rPr>
        <w:t>设备、模拟量报警时，发出声音报警，在多个页面存储、记录和显示，包括：流程图</w:t>
      </w:r>
    </w:p>
    <w:p>
      <w:pPr>
        <w:tabs>
          <w:tab w:val="left" w:pos="1856"/>
        </w:tabs>
        <w:spacing w:line="360" w:lineRule="auto"/>
        <w:ind w:left="284"/>
        <w:rPr>
          <w:rFonts w:ascii="宋体" w:hAnsi="宋体"/>
          <w:sz w:val="24"/>
        </w:rPr>
      </w:pPr>
      <w:r>
        <w:rPr>
          <w:rFonts w:hint="eastAsia" w:ascii="宋体" w:hAnsi="宋体"/>
          <w:sz w:val="24"/>
        </w:rPr>
        <w:t>界面的相关设备、模拟量上以规定的颜色显示；建立光字牌，在光字牌上显示；</w:t>
      </w:r>
    </w:p>
    <w:p>
      <w:pPr>
        <w:tabs>
          <w:tab w:val="left" w:pos="1856"/>
        </w:tabs>
        <w:spacing w:line="360" w:lineRule="auto"/>
        <w:ind w:firstLine="283" w:firstLineChars="118"/>
        <w:rPr>
          <w:rFonts w:hint="eastAsia" w:ascii="宋体" w:hAnsi="宋体"/>
          <w:sz w:val="24"/>
        </w:rPr>
      </w:pPr>
      <w:r>
        <w:rPr>
          <w:rFonts w:hint="eastAsia" w:ascii="宋体" w:hAnsi="宋体"/>
          <w:sz w:val="24"/>
        </w:rPr>
        <w:t>在报警记录里面存储。报警管理的功能包括闪烁、颜色变化、操作员确认等。</w:t>
      </w:r>
    </w:p>
    <w:p>
      <w:pPr>
        <w:tabs>
          <w:tab w:val="left" w:pos="567"/>
        </w:tabs>
        <w:spacing w:line="360" w:lineRule="auto"/>
        <w:rPr>
          <w:rFonts w:ascii="宋体" w:hAnsi="宋体"/>
          <w:sz w:val="24"/>
        </w:rPr>
      </w:pPr>
      <w:r>
        <w:rPr>
          <w:rFonts w:hint="eastAsia" w:ascii="宋体" w:hAnsi="宋体"/>
          <w:sz w:val="24"/>
        </w:rPr>
        <w:t>2）</w:t>
      </w:r>
      <w:r>
        <w:rPr>
          <w:rFonts w:ascii="宋体" w:hAnsi="宋体"/>
          <w:sz w:val="24"/>
        </w:rPr>
        <w:t>AI</w:t>
      </w:r>
      <w:r>
        <w:rPr>
          <w:rFonts w:hint="eastAsia" w:ascii="宋体" w:hAnsi="宋体"/>
          <w:sz w:val="24"/>
        </w:rPr>
        <w:t>优化系统</w:t>
      </w:r>
    </w:p>
    <w:p>
      <w:pPr>
        <w:tabs>
          <w:tab w:val="left" w:pos="567"/>
        </w:tabs>
        <w:spacing w:line="360" w:lineRule="auto"/>
        <w:ind w:firstLine="480" w:firstLineChars="200"/>
        <w:rPr>
          <w:rFonts w:hint="eastAsia" w:ascii="宋体" w:hAnsi="宋体"/>
          <w:sz w:val="24"/>
        </w:rPr>
      </w:pPr>
      <w:r>
        <w:rPr>
          <w:rFonts w:hint="eastAsia" w:ascii="宋体" w:hAnsi="宋体"/>
          <w:sz w:val="24"/>
        </w:rPr>
        <w:t>在上位机部署优化系统，根据历史天气、负荷、电价、供电局负荷限制等数据，计算未来3天内的负荷分布情况，给出第二日的运行策略，在当日零点之前下发至PLC，由P</w:t>
      </w:r>
      <w:r>
        <w:rPr>
          <w:rFonts w:ascii="宋体" w:hAnsi="宋体"/>
          <w:sz w:val="24"/>
        </w:rPr>
        <w:t>LC</w:t>
      </w:r>
      <w:r>
        <w:rPr>
          <w:rFonts w:hint="eastAsia" w:ascii="宋体" w:hAnsi="宋体"/>
          <w:sz w:val="24"/>
        </w:rPr>
        <w:t>执行。</w:t>
      </w:r>
    </w:p>
    <w:p>
      <w:pPr>
        <w:tabs>
          <w:tab w:val="left" w:pos="567"/>
        </w:tabs>
        <w:spacing w:line="360" w:lineRule="auto"/>
        <w:rPr>
          <w:rFonts w:ascii="宋体" w:hAnsi="宋体"/>
          <w:sz w:val="24"/>
        </w:rPr>
      </w:pPr>
      <w:r>
        <w:rPr>
          <w:rFonts w:hint="eastAsia" w:ascii="宋体" w:hAnsi="宋体"/>
          <w:sz w:val="24"/>
        </w:rPr>
        <w:t>3）天气API</w:t>
      </w:r>
    </w:p>
    <w:p>
      <w:pPr>
        <w:tabs>
          <w:tab w:val="left" w:pos="567"/>
        </w:tabs>
        <w:spacing w:line="36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通过天气A</w:t>
      </w:r>
      <w:r>
        <w:rPr>
          <w:rFonts w:ascii="宋体" w:hAnsi="宋体"/>
          <w:sz w:val="24"/>
        </w:rPr>
        <w:t>PI</w:t>
      </w:r>
      <w:r>
        <w:rPr>
          <w:rFonts w:hint="eastAsia" w:ascii="宋体" w:hAnsi="宋体"/>
          <w:sz w:val="24"/>
        </w:rPr>
        <w:t>获取天气实况（5分钟获取一次）、未来3天逐小时、未来7天逐天的天气预报情况及过去10年的历史记录，以供负荷预测。天气A</w:t>
      </w:r>
      <w:r>
        <w:rPr>
          <w:rFonts w:ascii="宋体" w:hAnsi="宋体"/>
          <w:sz w:val="24"/>
        </w:rPr>
        <w:t>PI</w:t>
      </w:r>
      <w:r>
        <w:rPr>
          <w:rFonts w:hint="eastAsia" w:ascii="宋体" w:hAnsi="宋体"/>
          <w:sz w:val="24"/>
        </w:rPr>
        <w:t>有效期不低于3年（自验收之日起）。</w:t>
      </w:r>
    </w:p>
    <w:p>
      <w:pPr>
        <w:tabs>
          <w:tab w:val="left" w:pos="567"/>
        </w:tabs>
        <w:spacing w:line="360" w:lineRule="auto"/>
        <w:rPr>
          <w:rFonts w:ascii="宋体" w:hAnsi="宋体"/>
          <w:sz w:val="24"/>
        </w:rPr>
      </w:pPr>
      <w:r>
        <w:rPr>
          <w:rFonts w:hint="eastAsia" w:ascii="宋体" w:hAnsi="宋体"/>
          <w:sz w:val="24"/>
        </w:rPr>
        <w:t>4）权限</w:t>
      </w:r>
    </w:p>
    <w:p>
      <w:pPr>
        <w:tabs>
          <w:tab w:val="left" w:pos="567"/>
        </w:tabs>
        <w:spacing w:line="360" w:lineRule="auto"/>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设置操作员、工程师等不同的权限，参考前述章节。</w:t>
      </w:r>
    </w:p>
    <w:p>
      <w:pPr>
        <w:spacing w:line="360" w:lineRule="auto"/>
        <w:rPr>
          <w:rFonts w:hint="eastAsia" w:ascii="宋体" w:hAnsi="宋体"/>
          <w:b/>
          <w:sz w:val="28"/>
          <w:szCs w:val="28"/>
        </w:rPr>
      </w:pPr>
      <w:r>
        <w:rPr>
          <w:rFonts w:hint="eastAsia" w:ascii="宋体" w:hAnsi="宋体"/>
          <w:b/>
          <w:sz w:val="28"/>
          <w:szCs w:val="28"/>
        </w:rPr>
        <w:t>七、程序测试与仿真</w:t>
      </w:r>
    </w:p>
    <w:p>
      <w:pPr>
        <w:spacing w:line="360" w:lineRule="auto"/>
        <w:ind w:firstLine="570"/>
        <w:rPr>
          <w:rFonts w:ascii="宋体" w:hAnsi="宋体"/>
          <w:sz w:val="24"/>
          <w:szCs w:val="28"/>
        </w:rPr>
      </w:pPr>
      <w:r>
        <w:rPr>
          <w:rFonts w:hint="eastAsia" w:ascii="宋体" w:hAnsi="宋体"/>
          <w:sz w:val="24"/>
          <w:szCs w:val="28"/>
          <w:lang w:eastAsia="zh-CN"/>
        </w:rPr>
        <w:t>中标人</w:t>
      </w:r>
      <w:r>
        <w:rPr>
          <w:rFonts w:hint="eastAsia" w:ascii="宋体" w:hAnsi="宋体"/>
          <w:sz w:val="24"/>
          <w:szCs w:val="28"/>
        </w:rPr>
        <w:t>需要针对每项功能进行仿真测试，以验证功能的完整性和安全性。在冷站开始运行后，对程序进行了任何修改，必须进行全站自动化运行的完整的仿真测试。为此，</w:t>
      </w:r>
      <w:r>
        <w:rPr>
          <w:rFonts w:hint="eastAsia" w:ascii="宋体" w:hAnsi="宋体"/>
          <w:sz w:val="24"/>
          <w:szCs w:val="28"/>
          <w:lang w:eastAsia="zh-CN"/>
        </w:rPr>
        <w:t>中标人</w:t>
      </w:r>
      <w:r>
        <w:rPr>
          <w:rFonts w:hint="eastAsia" w:ascii="宋体" w:hAnsi="宋体"/>
          <w:sz w:val="24"/>
          <w:szCs w:val="28"/>
        </w:rPr>
        <w:t>需要编写相应的P</w:t>
      </w:r>
      <w:r>
        <w:rPr>
          <w:rFonts w:ascii="宋体" w:hAnsi="宋体"/>
          <w:sz w:val="24"/>
          <w:szCs w:val="28"/>
        </w:rPr>
        <w:t>LC</w:t>
      </w:r>
      <w:r>
        <w:rPr>
          <w:rFonts w:hint="eastAsia" w:ascii="宋体" w:hAnsi="宋体"/>
          <w:sz w:val="24"/>
          <w:szCs w:val="28"/>
        </w:rPr>
        <w:t>程序、上位机界面，建立必要的测试点位。</w:t>
      </w:r>
    </w:p>
    <w:p>
      <w:pPr>
        <w:spacing w:line="360" w:lineRule="auto"/>
        <w:rPr>
          <w:rFonts w:ascii="宋体" w:hAnsi="宋体"/>
          <w:b/>
          <w:sz w:val="24"/>
          <w:szCs w:val="28"/>
        </w:rPr>
      </w:pPr>
      <w:r>
        <w:rPr>
          <w:rFonts w:hint="eastAsia" w:ascii="宋体" w:hAnsi="宋体"/>
          <w:b/>
          <w:sz w:val="24"/>
          <w:szCs w:val="28"/>
        </w:rPr>
        <w:t>7.1测试和仿真的方式可采用以下两种方式：</w:t>
      </w:r>
    </w:p>
    <w:p>
      <w:pPr>
        <w:numPr>
          <w:ilvl w:val="0"/>
          <w:numId w:val="28"/>
        </w:numPr>
        <w:spacing w:line="360" w:lineRule="auto"/>
        <w:rPr>
          <w:rFonts w:ascii="宋体" w:hAnsi="宋体"/>
          <w:sz w:val="24"/>
          <w:szCs w:val="28"/>
        </w:rPr>
      </w:pPr>
      <w:r>
        <w:rPr>
          <w:rFonts w:hint="eastAsia" w:ascii="宋体" w:hAnsi="宋体"/>
          <w:sz w:val="24"/>
          <w:szCs w:val="28"/>
        </w:rPr>
        <w:t>在虚拟机中采用仿真P</w:t>
      </w:r>
      <w:r>
        <w:rPr>
          <w:rFonts w:ascii="宋体" w:hAnsi="宋体"/>
          <w:sz w:val="24"/>
          <w:szCs w:val="28"/>
        </w:rPr>
        <w:t>LC</w:t>
      </w:r>
      <w:r>
        <w:rPr>
          <w:rFonts w:hint="eastAsia" w:ascii="宋体" w:hAnsi="宋体"/>
          <w:sz w:val="24"/>
          <w:szCs w:val="28"/>
        </w:rPr>
        <w:t>运行；</w:t>
      </w:r>
    </w:p>
    <w:p>
      <w:pPr>
        <w:numPr>
          <w:ilvl w:val="0"/>
          <w:numId w:val="28"/>
        </w:numPr>
        <w:spacing w:line="360" w:lineRule="auto"/>
        <w:rPr>
          <w:rFonts w:hint="eastAsia" w:ascii="宋体" w:hAnsi="宋体"/>
          <w:sz w:val="24"/>
          <w:szCs w:val="28"/>
        </w:rPr>
      </w:pPr>
      <w:r>
        <w:rPr>
          <w:rFonts w:hint="eastAsia" w:ascii="宋体" w:hAnsi="宋体"/>
          <w:sz w:val="24"/>
          <w:szCs w:val="28"/>
          <w:lang w:eastAsia="zh-CN"/>
        </w:rPr>
        <w:t>中标人</w:t>
      </w:r>
      <w:r>
        <w:rPr>
          <w:rFonts w:hint="eastAsia" w:ascii="宋体" w:hAnsi="宋体"/>
          <w:sz w:val="24"/>
          <w:szCs w:val="28"/>
        </w:rPr>
        <w:t>自行提供一台实体P</w:t>
      </w:r>
      <w:r>
        <w:rPr>
          <w:rFonts w:ascii="宋体" w:hAnsi="宋体"/>
          <w:sz w:val="24"/>
          <w:szCs w:val="28"/>
        </w:rPr>
        <w:t>LC</w:t>
      </w:r>
      <w:r>
        <w:rPr>
          <w:rFonts w:hint="eastAsia" w:ascii="宋体" w:hAnsi="宋体"/>
          <w:sz w:val="24"/>
          <w:szCs w:val="28"/>
        </w:rPr>
        <w:t>运行，该</w:t>
      </w:r>
      <w:r>
        <w:rPr>
          <w:rFonts w:ascii="宋体" w:hAnsi="宋体"/>
          <w:sz w:val="24"/>
          <w:szCs w:val="28"/>
        </w:rPr>
        <w:t>PLC</w:t>
      </w:r>
      <w:r>
        <w:rPr>
          <w:rFonts w:hint="eastAsia" w:ascii="宋体" w:hAnsi="宋体"/>
          <w:sz w:val="24"/>
          <w:szCs w:val="28"/>
        </w:rPr>
        <w:t>仅用于本项目测试，所有权归</w:t>
      </w:r>
      <w:r>
        <w:rPr>
          <w:rFonts w:hint="eastAsia" w:ascii="宋体" w:hAnsi="宋体"/>
          <w:sz w:val="24"/>
          <w:szCs w:val="28"/>
          <w:lang w:eastAsia="zh-CN"/>
        </w:rPr>
        <w:t>中标人</w:t>
      </w:r>
      <w:r>
        <w:rPr>
          <w:rFonts w:hint="eastAsia" w:ascii="宋体" w:hAnsi="宋体"/>
          <w:sz w:val="24"/>
          <w:szCs w:val="28"/>
        </w:rPr>
        <w:t>；</w:t>
      </w:r>
    </w:p>
    <w:p>
      <w:pPr>
        <w:spacing w:line="360" w:lineRule="auto"/>
        <w:rPr>
          <w:rFonts w:hint="eastAsia" w:ascii="宋体" w:hAnsi="宋体"/>
          <w:b/>
          <w:sz w:val="24"/>
          <w:szCs w:val="28"/>
        </w:rPr>
      </w:pPr>
      <w:r>
        <w:rPr>
          <w:rFonts w:hint="eastAsia" w:ascii="宋体" w:hAnsi="宋体"/>
          <w:b/>
          <w:sz w:val="24"/>
          <w:szCs w:val="28"/>
        </w:rPr>
        <w:t>7.2仿真测试的步骤与项目：</w:t>
      </w:r>
    </w:p>
    <w:p>
      <w:pPr>
        <w:numPr>
          <w:ilvl w:val="0"/>
          <w:numId w:val="29"/>
        </w:numPr>
        <w:spacing w:line="360" w:lineRule="auto"/>
        <w:rPr>
          <w:rFonts w:ascii="宋体" w:hAnsi="宋体"/>
          <w:b/>
          <w:sz w:val="24"/>
          <w:szCs w:val="28"/>
        </w:rPr>
      </w:pPr>
      <w:r>
        <w:rPr>
          <w:rFonts w:hint="eastAsia" w:ascii="宋体" w:hAnsi="宋体"/>
          <w:b/>
          <w:sz w:val="24"/>
          <w:szCs w:val="28"/>
        </w:rPr>
        <w:t>实机通道测试</w:t>
      </w:r>
    </w:p>
    <w:p>
      <w:pPr>
        <w:spacing w:line="360" w:lineRule="auto"/>
        <w:rPr>
          <w:rFonts w:ascii="宋体" w:hAnsi="宋体"/>
          <w:sz w:val="24"/>
          <w:szCs w:val="28"/>
        </w:rPr>
      </w:pPr>
      <w:r>
        <w:rPr>
          <w:rFonts w:hint="eastAsia" w:ascii="宋体" w:hAnsi="宋体"/>
          <w:sz w:val="24"/>
          <w:szCs w:val="28"/>
        </w:rPr>
        <w:t>通道测试的条件：</w:t>
      </w:r>
    </w:p>
    <w:p>
      <w:pPr>
        <w:numPr>
          <w:ilvl w:val="0"/>
          <w:numId w:val="30"/>
        </w:numPr>
        <w:spacing w:line="360" w:lineRule="auto"/>
        <w:rPr>
          <w:rFonts w:hint="eastAsia" w:ascii="宋体" w:hAnsi="宋体"/>
          <w:sz w:val="24"/>
          <w:szCs w:val="28"/>
        </w:rPr>
      </w:pPr>
      <w:r>
        <w:rPr>
          <w:rFonts w:hint="eastAsia" w:ascii="宋体" w:hAnsi="宋体"/>
          <w:sz w:val="24"/>
          <w:szCs w:val="28"/>
        </w:rPr>
        <w:t>P</w:t>
      </w:r>
      <w:r>
        <w:rPr>
          <w:rFonts w:ascii="宋体" w:hAnsi="宋体"/>
          <w:sz w:val="24"/>
          <w:szCs w:val="28"/>
        </w:rPr>
        <w:t>LC</w:t>
      </w:r>
      <w:r>
        <w:rPr>
          <w:rFonts w:hint="eastAsia" w:ascii="宋体" w:hAnsi="宋体"/>
          <w:sz w:val="24"/>
          <w:szCs w:val="28"/>
        </w:rPr>
        <w:t>完成更换</w:t>
      </w:r>
    </w:p>
    <w:p>
      <w:pPr>
        <w:numPr>
          <w:ilvl w:val="0"/>
          <w:numId w:val="30"/>
        </w:numPr>
        <w:spacing w:line="360" w:lineRule="auto"/>
        <w:rPr>
          <w:rFonts w:ascii="宋体" w:hAnsi="宋体"/>
          <w:sz w:val="24"/>
          <w:szCs w:val="28"/>
        </w:rPr>
      </w:pPr>
      <w:r>
        <w:rPr>
          <w:rFonts w:hint="eastAsia" w:ascii="宋体" w:hAnsi="宋体"/>
          <w:sz w:val="24"/>
          <w:szCs w:val="28"/>
        </w:rPr>
        <w:t>程序中输入输出模块编写完成</w:t>
      </w:r>
    </w:p>
    <w:p>
      <w:pPr>
        <w:numPr>
          <w:ilvl w:val="0"/>
          <w:numId w:val="30"/>
        </w:numPr>
        <w:spacing w:line="360" w:lineRule="auto"/>
        <w:rPr>
          <w:rFonts w:ascii="宋体" w:hAnsi="宋体"/>
          <w:sz w:val="24"/>
          <w:szCs w:val="28"/>
        </w:rPr>
      </w:pPr>
      <w:r>
        <w:rPr>
          <w:rFonts w:hint="eastAsia" w:ascii="宋体" w:hAnsi="宋体"/>
          <w:sz w:val="24"/>
          <w:szCs w:val="28"/>
        </w:rPr>
        <w:t>上位机手动操作设备的画面完成</w:t>
      </w:r>
    </w:p>
    <w:p>
      <w:pPr>
        <w:numPr>
          <w:ilvl w:val="0"/>
          <w:numId w:val="30"/>
        </w:numPr>
        <w:spacing w:line="360" w:lineRule="auto"/>
        <w:rPr>
          <w:rFonts w:hint="eastAsia" w:ascii="宋体" w:hAnsi="宋体"/>
          <w:sz w:val="24"/>
          <w:szCs w:val="28"/>
        </w:rPr>
      </w:pPr>
      <w:r>
        <w:rPr>
          <w:rFonts w:hint="eastAsia" w:ascii="宋体" w:hAnsi="宋体"/>
          <w:sz w:val="24"/>
          <w:szCs w:val="28"/>
        </w:rPr>
        <w:t>上位机信号反馈的画面编写完成</w:t>
      </w:r>
    </w:p>
    <w:p>
      <w:pPr>
        <w:spacing w:line="360" w:lineRule="auto"/>
        <w:rPr>
          <w:rFonts w:ascii="宋体" w:hAnsi="宋体"/>
          <w:sz w:val="24"/>
          <w:szCs w:val="28"/>
        </w:rPr>
      </w:pPr>
      <w:r>
        <w:rPr>
          <w:rFonts w:hint="eastAsia" w:ascii="宋体" w:hAnsi="宋体"/>
          <w:sz w:val="24"/>
          <w:szCs w:val="28"/>
        </w:rPr>
        <w:t>通道测试的方法：</w:t>
      </w:r>
    </w:p>
    <w:p>
      <w:pPr>
        <w:numPr>
          <w:ilvl w:val="0"/>
          <w:numId w:val="31"/>
        </w:numPr>
        <w:spacing w:line="360" w:lineRule="auto"/>
        <w:rPr>
          <w:rFonts w:ascii="宋体" w:hAnsi="宋体"/>
          <w:sz w:val="24"/>
          <w:szCs w:val="28"/>
        </w:rPr>
      </w:pPr>
      <w:r>
        <w:rPr>
          <w:rFonts w:hint="eastAsia" w:ascii="宋体" w:hAnsi="宋体"/>
          <w:sz w:val="24"/>
          <w:szCs w:val="28"/>
        </w:rPr>
        <w:t>D</w:t>
      </w:r>
      <w:r>
        <w:rPr>
          <w:rFonts w:ascii="宋体" w:hAnsi="宋体"/>
          <w:sz w:val="24"/>
          <w:szCs w:val="28"/>
        </w:rPr>
        <w:t>I</w:t>
      </w:r>
      <w:r>
        <w:rPr>
          <w:rFonts w:hint="eastAsia" w:ascii="宋体" w:hAnsi="宋体"/>
          <w:sz w:val="24"/>
          <w:szCs w:val="28"/>
        </w:rPr>
        <w:t>点：在K</w:t>
      </w:r>
      <w:r>
        <w:rPr>
          <w:rFonts w:ascii="宋体" w:hAnsi="宋体"/>
          <w:sz w:val="24"/>
          <w:szCs w:val="28"/>
        </w:rPr>
        <w:t>P</w:t>
      </w:r>
      <w:r>
        <w:rPr>
          <w:rFonts w:hint="eastAsia" w:ascii="宋体" w:hAnsi="宋体"/>
          <w:sz w:val="24"/>
          <w:szCs w:val="28"/>
        </w:rPr>
        <w:t>柜端子排短接相应信号线，模拟反馈信号，观察上位机及P</w:t>
      </w:r>
      <w:r>
        <w:rPr>
          <w:rFonts w:ascii="宋体" w:hAnsi="宋体"/>
          <w:sz w:val="24"/>
          <w:szCs w:val="28"/>
        </w:rPr>
        <w:t>LC</w:t>
      </w:r>
      <w:r>
        <w:rPr>
          <w:rFonts w:hint="eastAsia" w:ascii="宋体" w:hAnsi="宋体"/>
          <w:sz w:val="24"/>
          <w:szCs w:val="28"/>
        </w:rPr>
        <w:t>中的信号是否正确</w:t>
      </w:r>
    </w:p>
    <w:p>
      <w:pPr>
        <w:numPr>
          <w:ilvl w:val="0"/>
          <w:numId w:val="31"/>
        </w:numPr>
        <w:spacing w:line="360" w:lineRule="auto"/>
        <w:rPr>
          <w:rFonts w:hint="eastAsia" w:ascii="宋体" w:hAnsi="宋体"/>
          <w:sz w:val="24"/>
          <w:szCs w:val="28"/>
        </w:rPr>
      </w:pPr>
      <w:r>
        <w:rPr>
          <w:rFonts w:hint="eastAsia" w:ascii="宋体" w:hAnsi="宋体"/>
          <w:sz w:val="24"/>
          <w:szCs w:val="28"/>
        </w:rPr>
        <w:t>D</w:t>
      </w:r>
      <w:r>
        <w:rPr>
          <w:rFonts w:ascii="宋体" w:hAnsi="宋体"/>
          <w:sz w:val="24"/>
          <w:szCs w:val="28"/>
        </w:rPr>
        <w:t>O</w:t>
      </w:r>
      <w:r>
        <w:rPr>
          <w:rFonts w:hint="eastAsia" w:ascii="宋体" w:hAnsi="宋体"/>
          <w:sz w:val="24"/>
          <w:szCs w:val="28"/>
        </w:rPr>
        <w:t>点：在上位机发送相关启动/停止指令，观察P</w:t>
      </w:r>
      <w:r>
        <w:rPr>
          <w:rFonts w:ascii="宋体" w:hAnsi="宋体"/>
          <w:sz w:val="24"/>
          <w:szCs w:val="28"/>
        </w:rPr>
        <w:t>LC</w:t>
      </w:r>
      <w:r>
        <w:rPr>
          <w:rFonts w:hint="eastAsia" w:ascii="宋体" w:hAnsi="宋体"/>
          <w:sz w:val="24"/>
          <w:szCs w:val="28"/>
        </w:rPr>
        <w:t>及继电器是否动作正常。</w:t>
      </w:r>
    </w:p>
    <w:p>
      <w:pPr>
        <w:spacing w:line="360" w:lineRule="auto"/>
        <w:ind w:left="420"/>
        <w:rPr>
          <w:rFonts w:ascii="宋体" w:hAnsi="宋体"/>
          <w:sz w:val="24"/>
          <w:szCs w:val="28"/>
        </w:rPr>
      </w:pPr>
      <w:r>
        <w:rPr>
          <w:rFonts w:hint="eastAsia" w:ascii="宋体" w:hAnsi="宋体"/>
          <w:sz w:val="24"/>
          <w:szCs w:val="28"/>
        </w:rPr>
        <w:t>对于水泵、主机，需要断开电源后再测试</w:t>
      </w:r>
    </w:p>
    <w:p>
      <w:pPr>
        <w:numPr>
          <w:ilvl w:val="0"/>
          <w:numId w:val="31"/>
        </w:numPr>
        <w:spacing w:line="360" w:lineRule="auto"/>
        <w:rPr>
          <w:rFonts w:ascii="宋体" w:hAnsi="宋体"/>
          <w:sz w:val="24"/>
          <w:szCs w:val="28"/>
        </w:rPr>
      </w:pPr>
      <w:r>
        <w:rPr>
          <w:rFonts w:ascii="宋体" w:hAnsi="宋体"/>
          <w:sz w:val="24"/>
          <w:szCs w:val="28"/>
        </w:rPr>
        <w:t>AI</w:t>
      </w:r>
      <w:r>
        <w:rPr>
          <w:rFonts w:hint="eastAsia" w:ascii="宋体" w:hAnsi="宋体"/>
          <w:sz w:val="24"/>
          <w:szCs w:val="28"/>
        </w:rPr>
        <w:t>点：在K</w:t>
      </w:r>
      <w:r>
        <w:rPr>
          <w:rFonts w:ascii="宋体" w:hAnsi="宋体"/>
          <w:sz w:val="24"/>
          <w:szCs w:val="28"/>
        </w:rPr>
        <w:t>P</w:t>
      </w:r>
      <w:r>
        <w:rPr>
          <w:rFonts w:hint="eastAsia" w:ascii="宋体" w:hAnsi="宋体"/>
          <w:sz w:val="24"/>
          <w:szCs w:val="28"/>
        </w:rPr>
        <w:t>柜端子排解开信号线后，使用信号发生器加相关信号，观察上位机及P</w:t>
      </w:r>
      <w:r>
        <w:rPr>
          <w:rFonts w:ascii="宋体" w:hAnsi="宋体"/>
          <w:sz w:val="24"/>
          <w:szCs w:val="28"/>
        </w:rPr>
        <w:t>LC</w:t>
      </w:r>
      <w:r>
        <w:rPr>
          <w:rFonts w:hint="eastAsia" w:ascii="宋体" w:hAnsi="宋体"/>
          <w:sz w:val="24"/>
          <w:szCs w:val="28"/>
        </w:rPr>
        <w:t>中的信号是否正确。测试点包括0、25%、50%、75%、100%。</w:t>
      </w:r>
    </w:p>
    <w:p>
      <w:pPr>
        <w:numPr>
          <w:ilvl w:val="0"/>
          <w:numId w:val="31"/>
        </w:numPr>
        <w:spacing w:line="360" w:lineRule="auto"/>
        <w:rPr>
          <w:rFonts w:ascii="宋体" w:hAnsi="宋体"/>
          <w:sz w:val="24"/>
          <w:szCs w:val="28"/>
        </w:rPr>
      </w:pPr>
      <w:r>
        <w:rPr>
          <w:rFonts w:hint="eastAsia" w:ascii="宋体" w:hAnsi="宋体"/>
          <w:sz w:val="24"/>
          <w:szCs w:val="28"/>
        </w:rPr>
        <w:t>A</w:t>
      </w:r>
      <w:r>
        <w:rPr>
          <w:rFonts w:ascii="宋体" w:hAnsi="宋体"/>
          <w:sz w:val="24"/>
          <w:szCs w:val="28"/>
        </w:rPr>
        <w:t>O</w:t>
      </w:r>
      <w:r>
        <w:rPr>
          <w:rFonts w:hint="eastAsia" w:ascii="宋体" w:hAnsi="宋体"/>
          <w:sz w:val="24"/>
          <w:szCs w:val="28"/>
        </w:rPr>
        <w:t>点：在K</w:t>
      </w:r>
      <w:r>
        <w:rPr>
          <w:rFonts w:ascii="宋体" w:hAnsi="宋体"/>
          <w:sz w:val="24"/>
          <w:szCs w:val="28"/>
        </w:rPr>
        <w:t>P</w:t>
      </w:r>
      <w:r>
        <w:rPr>
          <w:rFonts w:hint="eastAsia" w:ascii="宋体" w:hAnsi="宋体"/>
          <w:sz w:val="24"/>
          <w:szCs w:val="28"/>
        </w:rPr>
        <w:t>柜端子排解开信号线后，在上位机发送相关指令，使用万用表测量，观察万用表及P</w:t>
      </w:r>
      <w:r>
        <w:rPr>
          <w:rFonts w:ascii="宋体" w:hAnsi="宋体"/>
          <w:sz w:val="24"/>
          <w:szCs w:val="28"/>
        </w:rPr>
        <w:t>LC</w:t>
      </w:r>
      <w:r>
        <w:rPr>
          <w:rFonts w:hint="eastAsia" w:ascii="宋体" w:hAnsi="宋体"/>
          <w:sz w:val="24"/>
          <w:szCs w:val="28"/>
        </w:rPr>
        <w:t>中的信号是否正确。测试点包括0、25%、50%、75%、100%。</w:t>
      </w:r>
    </w:p>
    <w:p>
      <w:pPr>
        <w:spacing w:line="360" w:lineRule="auto"/>
        <w:ind w:firstLine="480" w:firstLineChars="200"/>
        <w:rPr>
          <w:rFonts w:ascii="宋体" w:hAnsi="宋体"/>
          <w:sz w:val="24"/>
          <w:szCs w:val="28"/>
        </w:rPr>
      </w:pPr>
      <w:r>
        <w:rPr>
          <w:rFonts w:hint="eastAsia" w:ascii="宋体" w:hAnsi="宋体"/>
          <w:sz w:val="24"/>
          <w:szCs w:val="28"/>
        </w:rPr>
        <w:t>通道测试记录表的模板由业主给出，且由</w:t>
      </w:r>
      <w:r>
        <w:rPr>
          <w:rFonts w:hint="eastAsia" w:ascii="宋体" w:hAnsi="宋体"/>
          <w:sz w:val="24"/>
          <w:szCs w:val="28"/>
          <w:lang w:eastAsia="zh-CN"/>
        </w:rPr>
        <w:t>中标人</w:t>
      </w:r>
      <w:r>
        <w:rPr>
          <w:rFonts w:hint="eastAsia" w:ascii="宋体" w:hAnsi="宋体"/>
          <w:sz w:val="24"/>
          <w:szCs w:val="28"/>
        </w:rPr>
        <w:t>按照实际点位完善。信号线的解开、恢复、测试由</w:t>
      </w:r>
      <w:r>
        <w:rPr>
          <w:rFonts w:hint="eastAsia" w:ascii="宋体" w:hAnsi="宋体"/>
          <w:sz w:val="24"/>
          <w:szCs w:val="28"/>
          <w:lang w:eastAsia="zh-CN"/>
        </w:rPr>
        <w:t>中标人</w:t>
      </w:r>
      <w:r>
        <w:rPr>
          <w:rFonts w:hint="eastAsia" w:ascii="宋体" w:hAnsi="宋体"/>
          <w:sz w:val="24"/>
          <w:szCs w:val="28"/>
        </w:rPr>
        <w:t>完成，开相关作业票，遵守甲方安全规定。</w:t>
      </w:r>
    </w:p>
    <w:p>
      <w:pPr>
        <w:spacing w:line="360" w:lineRule="auto"/>
        <w:rPr>
          <w:rFonts w:hint="eastAsia" w:ascii="宋体" w:hAnsi="宋体"/>
          <w:sz w:val="24"/>
          <w:szCs w:val="28"/>
        </w:rPr>
      </w:pPr>
      <w:r>
        <w:rPr>
          <w:rFonts w:hint="eastAsia" w:ascii="宋体" w:hAnsi="宋体"/>
          <w:sz w:val="24"/>
          <w:szCs w:val="28"/>
        </w:rPr>
        <w:t xml:space="preserve"> </w:t>
      </w:r>
      <w:r>
        <w:rPr>
          <w:rFonts w:ascii="宋体" w:hAnsi="宋体"/>
          <w:sz w:val="24"/>
          <w:szCs w:val="28"/>
        </w:rPr>
        <w:t xml:space="preserve">    </w:t>
      </w:r>
      <w:r>
        <w:rPr>
          <w:rFonts w:hint="eastAsia" w:ascii="宋体" w:hAnsi="宋体"/>
          <w:sz w:val="24"/>
          <w:szCs w:val="28"/>
        </w:rPr>
        <w:t>通道测试完成后，禁止私自对P</w:t>
      </w:r>
      <w:r>
        <w:rPr>
          <w:rFonts w:ascii="宋体" w:hAnsi="宋体"/>
          <w:sz w:val="24"/>
          <w:szCs w:val="28"/>
        </w:rPr>
        <w:t>LC</w:t>
      </w:r>
      <w:r>
        <w:rPr>
          <w:rFonts w:hint="eastAsia" w:ascii="宋体" w:hAnsi="宋体"/>
          <w:sz w:val="24"/>
          <w:szCs w:val="28"/>
        </w:rPr>
        <w:t>程序的输入输出通道做变更。确需变更的，需经甲方批准，并重新测试。</w:t>
      </w:r>
    </w:p>
    <w:p>
      <w:pPr>
        <w:numPr>
          <w:ilvl w:val="0"/>
          <w:numId w:val="29"/>
        </w:numPr>
        <w:spacing w:line="360" w:lineRule="auto"/>
        <w:rPr>
          <w:rFonts w:ascii="宋体" w:hAnsi="宋体"/>
          <w:b/>
          <w:sz w:val="24"/>
          <w:szCs w:val="28"/>
        </w:rPr>
      </w:pPr>
      <w:r>
        <w:rPr>
          <w:rFonts w:hint="eastAsia" w:ascii="宋体" w:hAnsi="宋体"/>
          <w:b/>
          <w:sz w:val="24"/>
          <w:szCs w:val="28"/>
        </w:rPr>
        <w:t>P</w:t>
      </w:r>
      <w:r>
        <w:rPr>
          <w:rFonts w:ascii="宋体" w:hAnsi="宋体"/>
          <w:b/>
          <w:sz w:val="24"/>
          <w:szCs w:val="28"/>
        </w:rPr>
        <w:t>LC</w:t>
      </w:r>
      <w:r>
        <w:rPr>
          <w:rFonts w:hint="eastAsia" w:ascii="宋体" w:hAnsi="宋体"/>
          <w:b/>
          <w:sz w:val="24"/>
          <w:szCs w:val="28"/>
        </w:rPr>
        <w:t>基础模块的测试</w:t>
      </w:r>
    </w:p>
    <w:p>
      <w:pPr>
        <w:spacing w:line="360" w:lineRule="auto"/>
        <w:rPr>
          <w:rFonts w:ascii="宋体" w:hAnsi="宋体"/>
          <w:sz w:val="24"/>
          <w:szCs w:val="28"/>
        </w:rPr>
      </w:pPr>
      <w:r>
        <w:rPr>
          <w:rFonts w:hint="eastAsia" w:ascii="宋体" w:hAnsi="宋体"/>
          <w:sz w:val="24"/>
          <w:szCs w:val="28"/>
        </w:rPr>
        <w:t xml:space="preserve"> </w:t>
      </w:r>
      <w:r>
        <w:rPr>
          <w:rFonts w:ascii="宋体" w:hAnsi="宋体"/>
          <w:sz w:val="24"/>
          <w:szCs w:val="28"/>
        </w:rPr>
        <w:t xml:space="preserve">  </w:t>
      </w:r>
      <w:r>
        <w:rPr>
          <w:rFonts w:hint="eastAsia" w:ascii="宋体" w:hAnsi="宋体"/>
          <w:sz w:val="24"/>
          <w:szCs w:val="28"/>
        </w:rPr>
        <w:t>基础模块包括输入输出模块、M</w:t>
      </w:r>
      <w:r>
        <w:rPr>
          <w:rFonts w:ascii="宋体" w:hAnsi="宋体"/>
          <w:sz w:val="24"/>
          <w:szCs w:val="28"/>
        </w:rPr>
        <w:t>V</w:t>
      </w:r>
      <w:r>
        <w:rPr>
          <w:rFonts w:hint="eastAsia" w:ascii="宋体" w:hAnsi="宋体"/>
          <w:sz w:val="24"/>
          <w:szCs w:val="28"/>
        </w:rPr>
        <w:t>控制站模块、</w:t>
      </w:r>
      <w:r>
        <w:rPr>
          <w:rFonts w:ascii="宋体" w:hAnsi="宋体"/>
          <w:sz w:val="24"/>
          <w:szCs w:val="28"/>
        </w:rPr>
        <w:t>PID</w:t>
      </w:r>
      <w:r>
        <w:rPr>
          <w:rFonts w:hint="eastAsia" w:ascii="宋体" w:hAnsi="宋体"/>
          <w:sz w:val="24"/>
          <w:szCs w:val="28"/>
        </w:rPr>
        <w:t>模块等多设备公用的模块，</w:t>
      </w:r>
      <w:r>
        <w:rPr>
          <w:rFonts w:hint="eastAsia" w:ascii="宋体" w:hAnsi="宋体"/>
          <w:sz w:val="24"/>
          <w:szCs w:val="28"/>
          <w:lang w:eastAsia="zh-CN"/>
        </w:rPr>
        <w:t>中标人</w:t>
      </w:r>
      <w:r>
        <w:rPr>
          <w:rFonts w:hint="eastAsia" w:ascii="宋体" w:hAnsi="宋体"/>
          <w:sz w:val="24"/>
          <w:szCs w:val="28"/>
        </w:rPr>
        <w:t>应进行功能测试，以满足使用要求。</w:t>
      </w:r>
    </w:p>
    <w:p>
      <w:pPr>
        <w:numPr>
          <w:ilvl w:val="0"/>
          <w:numId w:val="29"/>
        </w:numPr>
        <w:spacing w:line="360" w:lineRule="auto"/>
        <w:rPr>
          <w:rFonts w:ascii="宋体" w:hAnsi="宋体"/>
          <w:b/>
          <w:sz w:val="24"/>
          <w:szCs w:val="28"/>
        </w:rPr>
      </w:pPr>
      <w:r>
        <w:rPr>
          <w:rFonts w:hint="eastAsia" w:ascii="宋体" w:hAnsi="宋体"/>
          <w:b/>
          <w:sz w:val="24"/>
          <w:szCs w:val="28"/>
        </w:rPr>
        <w:t>控制器（功能模块）的测试</w:t>
      </w:r>
    </w:p>
    <w:p>
      <w:pPr>
        <w:spacing w:line="360" w:lineRule="auto"/>
        <w:rPr>
          <w:rFonts w:ascii="宋体" w:hAnsi="宋体"/>
          <w:sz w:val="24"/>
          <w:szCs w:val="28"/>
        </w:rPr>
      </w:pPr>
      <w:r>
        <w:rPr>
          <w:rFonts w:hint="eastAsia" w:ascii="宋体" w:hAnsi="宋体"/>
          <w:sz w:val="24"/>
          <w:szCs w:val="28"/>
        </w:rPr>
        <w:t xml:space="preserve"> </w:t>
      </w:r>
      <w:r>
        <w:rPr>
          <w:rFonts w:ascii="宋体" w:hAnsi="宋体"/>
          <w:sz w:val="24"/>
          <w:szCs w:val="28"/>
        </w:rPr>
        <w:t xml:space="preserve"> </w:t>
      </w:r>
      <w:r>
        <w:rPr>
          <w:rFonts w:hint="eastAsia" w:ascii="宋体" w:hAnsi="宋体"/>
          <w:sz w:val="24"/>
          <w:szCs w:val="28"/>
          <w:lang w:eastAsia="zh-CN"/>
        </w:rPr>
        <w:t>中标人</w:t>
      </w:r>
      <w:r>
        <w:rPr>
          <w:rFonts w:hint="eastAsia" w:ascii="宋体" w:hAnsi="宋体"/>
          <w:sz w:val="24"/>
          <w:szCs w:val="28"/>
        </w:rPr>
        <w:t>应对双工况主机控制器、基载机控制器、二级泵控制器等功能模块进行测试和仿真，包括但不限于以下两方面：</w:t>
      </w:r>
    </w:p>
    <w:p>
      <w:pPr>
        <w:numPr>
          <w:ilvl w:val="0"/>
          <w:numId w:val="32"/>
        </w:numPr>
        <w:spacing w:line="360" w:lineRule="auto"/>
        <w:rPr>
          <w:rFonts w:ascii="宋体" w:hAnsi="宋体"/>
          <w:sz w:val="24"/>
          <w:szCs w:val="28"/>
        </w:rPr>
      </w:pPr>
      <w:r>
        <w:rPr>
          <w:rFonts w:hint="eastAsia" w:ascii="宋体" w:hAnsi="宋体"/>
          <w:sz w:val="24"/>
          <w:szCs w:val="28"/>
        </w:rPr>
        <w:t>手动测试：在上位机勾选相应仿真点，输入相关参数，控制器得到期望的结果；</w:t>
      </w:r>
    </w:p>
    <w:p>
      <w:pPr>
        <w:numPr>
          <w:ilvl w:val="0"/>
          <w:numId w:val="32"/>
        </w:numPr>
        <w:spacing w:line="360" w:lineRule="auto"/>
        <w:rPr>
          <w:rFonts w:hint="eastAsia" w:ascii="宋体" w:hAnsi="宋体"/>
          <w:sz w:val="24"/>
          <w:szCs w:val="28"/>
        </w:rPr>
      </w:pPr>
      <w:r>
        <w:rPr>
          <w:rFonts w:hint="eastAsia" w:ascii="宋体" w:hAnsi="宋体"/>
          <w:sz w:val="24"/>
          <w:szCs w:val="28"/>
        </w:rPr>
        <w:t>自动测试：编写自动化的测试程序，强制/仿真相关的信号和条件，得到期望的结果。</w:t>
      </w:r>
    </w:p>
    <w:p>
      <w:pPr>
        <w:spacing w:line="360" w:lineRule="auto"/>
        <w:ind w:firstLine="480" w:firstLineChars="200"/>
        <w:rPr>
          <w:rFonts w:hint="eastAsia" w:ascii="宋体" w:hAnsi="宋体"/>
          <w:sz w:val="24"/>
          <w:szCs w:val="28"/>
        </w:rPr>
      </w:pPr>
      <w:r>
        <w:rPr>
          <w:rFonts w:hint="eastAsia" w:ascii="宋体" w:hAnsi="宋体"/>
          <w:sz w:val="24"/>
          <w:szCs w:val="28"/>
        </w:rPr>
        <w:t>本测试要求覆盖自动化运行所需的全部要求，实现各种自动化的故障处理，</w:t>
      </w:r>
      <w:r>
        <w:rPr>
          <w:rFonts w:hint="eastAsia" w:ascii="宋体" w:hAnsi="宋体"/>
          <w:sz w:val="24"/>
          <w:szCs w:val="28"/>
          <w:lang w:eastAsia="zh-CN"/>
        </w:rPr>
        <w:t>中标人</w:t>
      </w:r>
      <w:r>
        <w:rPr>
          <w:rFonts w:hint="eastAsia" w:ascii="宋体" w:hAnsi="宋体"/>
          <w:sz w:val="24"/>
          <w:szCs w:val="28"/>
        </w:rPr>
        <w:t>需要根据业主要求实施，不得有遗漏。</w:t>
      </w:r>
    </w:p>
    <w:p>
      <w:pPr>
        <w:numPr>
          <w:ilvl w:val="0"/>
          <w:numId w:val="29"/>
        </w:numPr>
        <w:spacing w:line="360" w:lineRule="auto"/>
        <w:rPr>
          <w:rFonts w:ascii="宋体" w:hAnsi="宋体"/>
          <w:b/>
          <w:sz w:val="24"/>
          <w:szCs w:val="28"/>
        </w:rPr>
      </w:pPr>
      <w:r>
        <w:rPr>
          <w:rFonts w:hint="eastAsia" w:ascii="宋体" w:hAnsi="宋体"/>
          <w:b/>
          <w:sz w:val="24"/>
          <w:szCs w:val="28"/>
        </w:rPr>
        <w:t>协调控制器的测试</w:t>
      </w:r>
    </w:p>
    <w:p>
      <w:pPr>
        <w:spacing w:line="360" w:lineRule="auto"/>
        <w:rPr>
          <w:rFonts w:hint="eastAsia" w:ascii="宋体" w:hAnsi="宋体"/>
          <w:sz w:val="24"/>
          <w:szCs w:val="28"/>
        </w:rPr>
      </w:pPr>
      <w:r>
        <w:rPr>
          <w:rFonts w:hint="eastAsia" w:ascii="宋体" w:hAnsi="宋体"/>
          <w:sz w:val="24"/>
          <w:szCs w:val="28"/>
        </w:rPr>
        <w:t xml:space="preserve"> </w:t>
      </w:r>
      <w:r>
        <w:rPr>
          <w:rFonts w:ascii="宋体" w:hAnsi="宋体"/>
          <w:sz w:val="24"/>
          <w:szCs w:val="28"/>
        </w:rPr>
        <w:t xml:space="preserve"> </w:t>
      </w:r>
      <w:r>
        <w:rPr>
          <w:rFonts w:hint="eastAsia" w:ascii="宋体" w:hAnsi="宋体"/>
          <w:sz w:val="24"/>
          <w:szCs w:val="28"/>
          <w:lang w:eastAsia="zh-CN"/>
        </w:rPr>
        <w:t>中标人</w:t>
      </w:r>
      <w:r>
        <w:rPr>
          <w:rFonts w:hint="eastAsia" w:ascii="宋体" w:hAnsi="宋体"/>
          <w:sz w:val="24"/>
          <w:szCs w:val="28"/>
        </w:rPr>
        <w:t>应对协调控制器进行测试和仿真，测试要求参照上述“功能模块测试”， 实现程序全自动运行，以及一键全自动测试。</w:t>
      </w:r>
    </w:p>
    <w:p>
      <w:pPr>
        <w:spacing w:line="360" w:lineRule="auto"/>
        <w:rPr>
          <w:rFonts w:hint="eastAsia" w:ascii="宋体" w:hAnsi="宋体"/>
          <w:b/>
          <w:sz w:val="28"/>
          <w:szCs w:val="28"/>
        </w:rPr>
      </w:pPr>
      <w:r>
        <w:rPr>
          <w:rFonts w:hint="eastAsia" w:ascii="宋体" w:hAnsi="宋体"/>
          <w:b/>
          <w:sz w:val="28"/>
          <w:szCs w:val="28"/>
        </w:rPr>
        <w:t>八、系统运行及调试</w:t>
      </w:r>
    </w:p>
    <w:p>
      <w:pPr>
        <w:tabs>
          <w:tab w:val="left" w:pos="567"/>
        </w:tabs>
        <w:spacing w:line="360" w:lineRule="auto"/>
        <w:rPr>
          <w:rFonts w:ascii="宋体" w:hAnsi="宋体"/>
          <w:sz w:val="24"/>
          <w:szCs w:val="28"/>
        </w:rPr>
      </w:pPr>
      <w:r>
        <w:rPr>
          <w:rFonts w:ascii="宋体" w:hAnsi="宋体"/>
          <w:sz w:val="28"/>
          <w:szCs w:val="28"/>
        </w:rPr>
        <w:t xml:space="preserve">   </w:t>
      </w:r>
      <w:r>
        <w:rPr>
          <w:rFonts w:ascii="宋体" w:hAnsi="宋体"/>
          <w:sz w:val="24"/>
          <w:szCs w:val="28"/>
        </w:rPr>
        <w:t xml:space="preserve"> </w:t>
      </w:r>
      <w:r>
        <w:rPr>
          <w:rFonts w:hint="default" w:ascii="宋体" w:hAnsi="宋体"/>
          <w:sz w:val="24"/>
          <w:szCs w:val="28"/>
          <w:lang w:eastAsia="zh-CN"/>
        </w:rPr>
        <w:t>中标人</w:t>
      </w:r>
      <w:r>
        <w:rPr>
          <w:rFonts w:hint="eastAsia" w:ascii="宋体" w:hAnsi="宋体"/>
          <w:sz w:val="24"/>
          <w:szCs w:val="28"/>
        </w:rPr>
        <w:t>完成P</w:t>
      </w:r>
      <w:r>
        <w:rPr>
          <w:rFonts w:ascii="宋体" w:hAnsi="宋体"/>
          <w:sz w:val="24"/>
          <w:szCs w:val="28"/>
        </w:rPr>
        <w:t>LC</w:t>
      </w:r>
      <w:r>
        <w:rPr>
          <w:rFonts w:hint="eastAsia" w:ascii="宋体" w:hAnsi="宋体"/>
          <w:sz w:val="24"/>
          <w:szCs w:val="28"/>
        </w:rPr>
        <w:t>更换、程序仿真测试后，编写试运行方案，经批准和办理工作票后，在生产环境测试泵组切换、加减载等功能，逐步测试到全自动化运行。</w:t>
      </w:r>
      <w:r>
        <w:rPr>
          <w:rFonts w:hint="eastAsia" w:ascii="宋体" w:hAnsi="宋体"/>
          <w:sz w:val="24"/>
          <w:szCs w:val="28"/>
          <w:lang w:eastAsia="zh-CN"/>
        </w:rPr>
        <w:t>中标人</w:t>
      </w:r>
      <w:r>
        <w:rPr>
          <w:rFonts w:hint="eastAsia" w:ascii="宋体" w:hAnsi="宋体"/>
          <w:sz w:val="24"/>
          <w:szCs w:val="28"/>
        </w:rPr>
        <w:t>负责进行参数的调试，以满足全自动运行要求。部分功能的测试和调试需要在夜间甚至后半夜进行，</w:t>
      </w:r>
      <w:r>
        <w:rPr>
          <w:rFonts w:hint="eastAsia" w:ascii="宋体" w:hAnsi="宋体"/>
          <w:sz w:val="24"/>
          <w:szCs w:val="28"/>
          <w:lang w:eastAsia="zh-CN"/>
        </w:rPr>
        <w:t>中标人</w:t>
      </w:r>
      <w:r>
        <w:rPr>
          <w:rFonts w:hint="eastAsia" w:ascii="宋体" w:hAnsi="宋体"/>
          <w:sz w:val="24"/>
          <w:szCs w:val="28"/>
        </w:rPr>
        <w:t>应按业主要求的时间委派工程师到现场进行调试。</w:t>
      </w:r>
    </w:p>
    <w:p>
      <w:pPr>
        <w:tabs>
          <w:tab w:val="left" w:pos="567"/>
        </w:tabs>
        <w:spacing w:line="360" w:lineRule="auto"/>
        <w:rPr>
          <w:rFonts w:hint="eastAsia" w:ascii="宋体" w:hAnsi="宋体"/>
          <w:sz w:val="24"/>
          <w:szCs w:val="28"/>
        </w:rPr>
      </w:pPr>
      <w:r>
        <w:rPr>
          <w:rFonts w:hint="eastAsia" w:ascii="宋体" w:hAnsi="宋体"/>
          <w:sz w:val="24"/>
          <w:szCs w:val="28"/>
        </w:rPr>
        <w:t xml:space="preserve"> </w:t>
      </w:r>
      <w:r>
        <w:rPr>
          <w:rFonts w:ascii="宋体" w:hAnsi="宋体"/>
          <w:sz w:val="24"/>
          <w:szCs w:val="28"/>
        </w:rPr>
        <w:t xml:space="preserve">   </w:t>
      </w:r>
      <w:r>
        <w:rPr>
          <w:rFonts w:hint="eastAsia" w:ascii="宋体" w:hAnsi="宋体"/>
          <w:sz w:val="24"/>
          <w:szCs w:val="28"/>
        </w:rPr>
        <w:t>3-4月部分负荷月份、7-9高负荷月份，</w:t>
      </w:r>
      <w:r>
        <w:rPr>
          <w:rFonts w:hint="eastAsia" w:ascii="宋体" w:hAnsi="宋体"/>
          <w:sz w:val="24"/>
          <w:szCs w:val="28"/>
          <w:lang w:eastAsia="zh-CN"/>
        </w:rPr>
        <w:t>中标人</w:t>
      </w:r>
      <w:r>
        <w:rPr>
          <w:rFonts w:hint="eastAsia" w:ascii="宋体" w:hAnsi="宋体"/>
          <w:sz w:val="24"/>
          <w:szCs w:val="28"/>
        </w:rPr>
        <w:t>需要持续对系统参数进行调整，以满足全自动运行的要求。</w:t>
      </w:r>
    </w:p>
    <w:p>
      <w:pPr>
        <w:spacing w:line="360" w:lineRule="auto"/>
        <w:rPr>
          <w:rFonts w:hint="eastAsia" w:ascii="宋体" w:hAnsi="宋体"/>
          <w:b/>
          <w:sz w:val="28"/>
          <w:szCs w:val="28"/>
        </w:rPr>
      </w:pPr>
      <w:r>
        <w:rPr>
          <w:rFonts w:hint="eastAsia" w:ascii="宋体" w:hAnsi="宋体"/>
          <w:b/>
          <w:sz w:val="28"/>
          <w:szCs w:val="28"/>
        </w:rPr>
        <w:t>九、人员派驻</w:t>
      </w:r>
    </w:p>
    <w:p>
      <w:pPr>
        <w:tabs>
          <w:tab w:val="left" w:pos="567"/>
        </w:tabs>
        <w:spacing w:line="360" w:lineRule="auto"/>
        <w:ind w:firstLine="570"/>
        <w:rPr>
          <w:rFonts w:ascii="宋体" w:hAnsi="宋体"/>
          <w:sz w:val="24"/>
          <w:szCs w:val="28"/>
        </w:rPr>
      </w:pPr>
      <w:r>
        <w:rPr>
          <w:rFonts w:hint="eastAsia" w:ascii="宋体" w:hAnsi="宋体"/>
          <w:sz w:val="24"/>
          <w:szCs w:val="28"/>
        </w:rPr>
        <w:t>本项目涉及</w:t>
      </w:r>
      <w:r>
        <w:rPr>
          <w:rFonts w:hint="eastAsia" w:ascii="宋体" w:hAnsi="宋体"/>
          <w:sz w:val="24"/>
          <w:szCs w:val="28"/>
          <w:lang w:val="en-US" w:eastAsia="zh-CN"/>
        </w:rPr>
        <w:t>采购人</w:t>
      </w:r>
      <w:r>
        <w:rPr>
          <w:rFonts w:hint="eastAsia" w:ascii="宋体" w:hAnsi="宋体"/>
          <w:sz w:val="24"/>
          <w:szCs w:val="28"/>
        </w:rPr>
        <w:t>与</w:t>
      </w:r>
      <w:r>
        <w:rPr>
          <w:rFonts w:hint="eastAsia" w:ascii="宋体" w:hAnsi="宋体"/>
          <w:sz w:val="24"/>
          <w:szCs w:val="28"/>
          <w:lang w:val="en-US" w:eastAsia="zh-CN"/>
        </w:rPr>
        <w:t>中标人</w:t>
      </w:r>
      <w:r>
        <w:rPr>
          <w:rFonts w:hint="eastAsia" w:ascii="宋体" w:hAnsi="宋体"/>
          <w:sz w:val="24"/>
          <w:szCs w:val="28"/>
        </w:rPr>
        <w:t>之间大量的沟通、密集的测试和仿真，程序要求稳定性、完善性非常高，以避免出现影响正常供冷的情况，故需要项目期间</w:t>
      </w:r>
      <w:r>
        <w:rPr>
          <w:rFonts w:hint="eastAsia" w:ascii="宋体" w:hAnsi="宋体"/>
          <w:sz w:val="24"/>
          <w:szCs w:val="28"/>
          <w:lang w:eastAsia="zh-CN"/>
        </w:rPr>
        <w:t>中标人</w:t>
      </w:r>
      <w:r>
        <w:rPr>
          <w:rFonts w:hint="eastAsia" w:ascii="宋体" w:hAnsi="宋体"/>
          <w:sz w:val="24"/>
          <w:szCs w:val="28"/>
        </w:rPr>
        <w:t>派遣相关工作人员驻场工作，工作地点为信息枢纽楼及冷站，要求如下：</w:t>
      </w:r>
    </w:p>
    <w:p>
      <w:pPr>
        <w:tabs>
          <w:tab w:val="left" w:pos="567"/>
        </w:tabs>
        <w:spacing w:line="360" w:lineRule="auto"/>
        <w:rPr>
          <w:rFonts w:ascii="宋体" w:hAnsi="宋体"/>
          <w:sz w:val="24"/>
          <w:szCs w:val="28"/>
        </w:rPr>
      </w:pPr>
      <w:r>
        <w:rPr>
          <w:rFonts w:hint="eastAsia" w:ascii="宋体" w:hAnsi="宋体"/>
          <w:sz w:val="24"/>
          <w:szCs w:val="28"/>
        </w:rPr>
        <w:t>1、控制策略完成编写、正式呈批之前，要求技术负责人，以及程序编写工程师到场工作日不低于正常工作日的50%。控制策略要求细化到重要连锁信号的具体命名。</w:t>
      </w:r>
    </w:p>
    <w:p>
      <w:pPr>
        <w:tabs>
          <w:tab w:val="left" w:pos="567"/>
        </w:tabs>
        <w:spacing w:line="360" w:lineRule="auto"/>
        <w:rPr>
          <w:rFonts w:hint="eastAsia" w:ascii="宋体" w:hAnsi="宋体"/>
          <w:sz w:val="24"/>
          <w:szCs w:val="28"/>
        </w:rPr>
      </w:pPr>
      <w:r>
        <w:rPr>
          <w:rFonts w:hint="eastAsia" w:ascii="宋体" w:hAnsi="宋体"/>
          <w:sz w:val="24"/>
          <w:szCs w:val="28"/>
        </w:rPr>
        <w:t>2、在控制策略编写完成之后、全自动化测试和仿真实现之前，要求技术负责人和程序编写工程师到场工作日不低于正常工作日的60%。</w:t>
      </w:r>
    </w:p>
    <w:p>
      <w:pPr>
        <w:tabs>
          <w:tab w:val="left" w:pos="567"/>
        </w:tabs>
        <w:spacing w:line="360" w:lineRule="auto"/>
        <w:rPr>
          <w:rFonts w:ascii="宋体" w:hAnsi="宋体"/>
          <w:sz w:val="24"/>
          <w:szCs w:val="28"/>
        </w:rPr>
      </w:pPr>
      <w:r>
        <w:rPr>
          <w:rFonts w:hint="eastAsia" w:ascii="宋体" w:hAnsi="宋体"/>
          <w:sz w:val="24"/>
          <w:szCs w:val="28"/>
        </w:rPr>
        <w:t>3、调试期间按照生产需要，</w:t>
      </w:r>
      <w:r>
        <w:rPr>
          <w:rFonts w:hint="eastAsia" w:ascii="宋体" w:hAnsi="宋体"/>
          <w:sz w:val="24"/>
          <w:szCs w:val="28"/>
          <w:lang w:eastAsia="zh-CN"/>
        </w:rPr>
        <w:t>中标人</w:t>
      </w:r>
      <w:r>
        <w:rPr>
          <w:rFonts w:hint="eastAsia" w:ascii="宋体" w:hAnsi="宋体"/>
          <w:sz w:val="24"/>
          <w:szCs w:val="28"/>
        </w:rPr>
        <w:t>按照甲方规定的时间驻场，不限于白天和夜间。</w:t>
      </w:r>
    </w:p>
    <w:p>
      <w:pPr>
        <w:tabs>
          <w:tab w:val="left" w:pos="567"/>
        </w:tabs>
        <w:spacing w:line="360" w:lineRule="auto"/>
        <w:rPr>
          <w:rFonts w:hint="eastAsia" w:ascii="宋体" w:hAnsi="宋体"/>
          <w:sz w:val="24"/>
          <w:szCs w:val="28"/>
        </w:rPr>
      </w:pPr>
      <w:r>
        <w:rPr>
          <w:rFonts w:hint="eastAsia" w:ascii="宋体" w:hAnsi="宋体"/>
          <w:sz w:val="24"/>
          <w:szCs w:val="28"/>
        </w:rPr>
        <w:t xml:space="preserve"> </w:t>
      </w:r>
      <w:r>
        <w:rPr>
          <w:rFonts w:ascii="宋体" w:hAnsi="宋体"/>
          <w:sz w:val="24"/>
          <w:szCs w:val="28"/>
        </w:rPr>
        <w:t xml:space="preserve">   </w:t>
      </w:r>
      <w:r>
        <w:rPr>
          <w:rFonts w:hint="eastAsia" w:ascii="宋体" w:hAnsi="宋体"/>
          <w:sz w:val="24"/>
          <w:szCs w:val="28"/>
        </w:rPr>
        <w:t>人员驻场期间，应在甲方处签到。本项目涉及的加班产生的费用包含在总价中，不另外计算，食宿自理。若</w:t>
      </w:r>
      <w:r>
        <w:rPr>
          <w:rFonts w:hint="eastAsia" w:ascii="宋体" w:hAnsi="宋体"/>
          <w:sz w:val="24"/>
          <w:szCs w:val="28"/>
          <w:lang w:eastAsia="zh-CN"/>
        </w:rPr>
        <w:t>中标人</w:t>
      </w:r>
      <w:r>
        <w:rPr>
          <w:rFonts w:hint="eastAsia" w:ascii="宋体" w:hAnsi="宋体"/>
          <w:sz w:val="24"/>
          <w:szCs w:val="28"/>
        </w:rPr>
        <w:t>派驻的人员不能胜任项目需求，甲方要求</w:t>
      </w:r>
      <w:r>
        <w:rPr>
          <w:rFonts w:hint="eastAsia" w:ascii="宋体" w:hAnsi="宋体"/>
          <w:sz w:val="24"/>
          <w:szCs w:val="28"/>
          <w:lang w:eastAsia="zh-CN"/>
        </w:rPr>
        <w:t>中标人</w:t>
      </w:r>
      <w:r>
        <w:rPr>
          <w:rFonts w:hint="eastAsia" w:ascii="宋体" w:hAnsi="宋体"/>
          <w:sz w:val="24"/>
          <w:szCs w:val="28"/>
        </w:rPr>
        <w:t>在规定的时间内更换为合格人员。</w:t>
      </w:r>
    </w:p>
    <w:p>
      <w:pPr>
        <w:spacing w:line="360" w:lineRule="auto"/>
        <w:rPr>
          <w:rFonts w:ascii="宋体" w:hAnsi="宋体"/>
          <w:b/>
          <w:sz w:val="28"/>
          <w:szCs w:val="28"/>
        </w:rPr>
      </w:pPr>
      <w:r>
        <w:rPr>
          <w:rFonts w:hint="eastAsia" w:ascii="宋体" w:hAnsi="宋体"/>
          <w:b/>
          <w:sz w:val="28"/>
          <w:szCs w:val="28"/>
        </w:rPr>
        <w:t>十、工程量及报价清单</w:t>
      </w:r>
    </w:p>
    <w:tbl>
      <w:tblPr>
        <w:tblStyle w:val="16"/>
        <w:tblW w:w="9400" w:type="dxa"/>
        <w:tblInd w:w="0" w:type="dxa"/>
        <w:tblLayout w:type="fixed"/>
        <w:tblCellMar>
          <w:top w:w="0" w:type="dxa"/>
          <w:left w:w="108" w:type="dxa"/>
          <w:bottom w:w="0" w:type="dxa"/>
          <w:right w:w="108" w:type="dxa"/>
        </w:tblCellMar>
      </w:tblPr>
      <w:tblGrid>
        <w:gridCol w:w="956"/>
        <w:gridCol w:w="1814"/>
        <w:gridCol w:w="3142"/>
        <w:gridCol w:w="993"/>
        <w:gridCol w:w="731"/>
        <w:gridCol w:w="888"/>
        <w:gridCol w:w="876"/>
      </w:tblGrid>
      <w:tr>
        <w:tblPrEx>
          <w:tblLayout w:type="fixed"/>
          <w:tblCellMar>
            <w:top w:w="0" w:type="dxa"/>
            <w:left w:w="108" w:type="dxa"/>
            <w:bottom w:w="0" w:type="dxa"/>
            <w:right w:w="108" w:type="dxa"/>
          </w:tblCellMar>
        </w:tblPrEx>
        <w:trPr>
          <w:trHeight w:val="285"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1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w:t>
            </w:r>
          </w:p>
        </w:tc>
        <w:tc>
          <w:tcPr>
            <w:tcW w:w="3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规格</w:t>
            </w:r>
          </w:p>
        </w:tc>
        <w:tc>
          <w:tcPr>
            <w:tcW w:w="99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单位</w:t>
            </w:r>
          </w:p>
        </w:tc>
        <w:tc>
          <w:tcPr>
            <w:tcW w:w="7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数量</w:t>
            </w:r>
          </w:p>
        </w:tc>
        <w:tc>
          <w:tcPr>
            <w:tcW w:w="8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8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合价（元）</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一</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硬件</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3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PLC</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西门子S7-1500R系列，</w:t>
            </w:r>
            <w:r>
              <w:rPr>
                <w:rFonts w:hint="eastAsia" w:ascii="宋体" w:hAnsi="宋体" w:cs="等线"/>
                <w:sz w:val="24"/>
              </w:rPr>
              <w:t>固件版本：≥V3.0，程序内存不小于1MB，数据内存不小于4.5MB，同步方式：通过PROFINET接口进行冗余同步，系统切换时间：300ms，支持MRP冗余环网，可连接I/O设备的最大数量：64；</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交换机</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西门子工业交换机，8x100Mbps RJ45电气接口，支持1.1项中PLC冗余通讯，</w:t>
            </w:r>
            <w:r>
              <w:rPr>
                <w:rFonts w:ascii="宋体" w:hAnsi="宋体" w:cs="Segoe UI"/>
                <w:color w:val="0F1115"/>
                <w:sz w:val="24"/>
                <w:shd w:val="clear" w:color="auto" w:fill="FFFFFF"/>
              </w:rPr>
              <w:t>支持MRP和H-Sync转发</w:t>
            </w:r>
            <w:r>
              <w:rPr>
                <w:rFonts w:hint="eastAsia" w:ascii="宋体" w:hAnsi="宋体" w:cs="Segoe UI"/>
                <w:color w:val="0F1115"/>
                <w:sz w:val="24"/>
                <w:shd w:val="clear" w:color="auto" w:fill="FFFFFF"/>
              </w:rPr>
              <w:t>，</w:t>
            </w:r>
            <w:r>
              <w:rPr>
                <w:rFonts w:ascii="宋体" w:hAnsi="宋体" w:cs="Segoe UI"/>
                <w:color w:val="0F1115"/>
                <w:sz w:val="24"/>
                <w:shd w:val="clear" w:color="auto" w:fill="FFFFFF"/>
              </w:rPr>
              <w:t>固件版本≥V4.0</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接口模块</w:t>
            </w:r>
          </w:p>
        </w:tc>
        <w:tc>
          <w:tcPr>
            <w:tcW w:w="3142"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西门子ET200M接口模块</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适配现有的IO模块</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存储卡</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24MB，支持1.1项PLC</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块</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背板</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FF0000"/>
                <w:kern w:val="0"/>
                <w:sz w:val="24"/>
              </w:rPr>
            </w:pPr>
            <w:r>
              <w:rPr>
                <w:rFonts w:hint="eastAsia" w:ascii="宋体" w:hAnsi="宋体" w:cs="宋体"/>
                <w:color w:val="auto"/>
                <w:kern w:val="0"/>
                <w:sz w:val="24"/>
              </w:rPr>
              <w:t>1.1-1.5项安装所需背板</w:t>
            </w:r>
          </w:p>
        </w:tc>
        <w:tc>
          <w:tcPr>
            <w:tcW w:w="99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8524"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小计</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二</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软件</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810"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PLC程序重构与仿真测试</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重构PLC程序，实现冷站全自动运行，其中参与冷站运行的程序占60%，仿真测试程序占40%。</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810"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上位机程序</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天气数据获取、冷站以及10楼中控室的组态界面、数据存储、智能优化算法(MPC、负荷预测)嵌入、操作记录、报警等</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8524"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小计</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机柜改造</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接线、硬件调试及辅材</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含人工及辅材。提供完整图纸，接线压接端子，套号码管。</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8524"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小计</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四</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810"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培训</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项目培训，采用文档讲解与仿真的形式，不少于3个工作日，提供不少于3台电脑临时用于培训。</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495" w:hRule="atLeast"/>
        </w:trPr>
        <w:tc>
          <w:tcPr>
            <w:tcW w:w="9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8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项目文档</w:t>
            </w:r>
          </w:p>
        </w:tc>
        <w:tc>
          <w:tcPr>
            <w:tcW w:w="314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提供电子版，以及5个完整的控制策略A4规格的简装本。</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7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88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76" w:type="dxa"/>
            <w:tcBorders>
              <w:top w:val="nil"/>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495" w:hRule="atLeast"/>
        </w:trPr>
        <w:tc>
          <w:tcPr>
            <w:tcW w:w="8524"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小计</w:t>
            </w:r>
          </w:p>
        </w:tc>
        <w:tc>
          <w:tcPr>
            <w:tcW w:w="876" w:type="dxa"/>
            <w:tcBorders>
              <w:top w:val="single" w:color="auto" w:sz="4" w:space="0"/>
              <w:left w:val="nil"/>
              <w:bottom w:val="single" w:color="auto" w:sz="4" w:space="0"/>
              <w:right w:val="single" w:color="auto" w:sz="4" w:space="0"/>
            </w:tcBorders>
            <w:noWrap/>
            <w:vAlign w:val="bottom"/>
          </w:tcPr>
          <w:p>
            <w:pPr>
              <w:widowControl/>
              <w:jc w:val="left"/>
              <w:rPr>
                <w:rFonts w:hint="eastAsia" w:ascii="等线" w:hAnsi="等线" w:eastAsia="等线" w:cs="宋体"/>
                <w:color w:val="000000"/>
                <w:kern w:val="0"/>
                <w:sz w:val="22"/>
                <w:szCs w:val="22"/>
              </w:rPr>
            </w:pPr>
          </w:p>
        </w:tc>
      </w:tr>
    </w:tbl>
    <w:p>
      <w:pPr>
        <w:spacing w:line="360" w:lineRule="auto"/>
        <w:rPr>
          <w:rFonts w:hint="eastAsia" w:ascii="宋体" w:hAnsi="宋体"/>
          <w:b/>
          <w:sz w:val="28"/>
          <w:szCs w:val="28"/>
        </w:rPr>
      </w:pPr>
      <w:r>
        <w:rPr>
          <w:rFonts w:hint="eastAsia" w:ascii="宋体" w:hAnsi="宋体"/>
          <w:b/>
          <w:sz w:val="28"/>
          <w:szCs w:val="28"/>
        </w:rPr>
        <w:t>十</w:t>
      </w:r>
      <w:r>
        <w:rPr>
          <w:rFonts w:hint="eastAsia" w:ascii="宋体" w:hAnsi="宋体"/>
          <w:b/>
          <w:sz w:val="28"/>
          <w:szCs w:val="28"/>
          <w:lang w:val="en-US" w:eastAsia="zh-CN"/>
        </w:rPr>
        <w:t>一</w:t>
      </w:r>
      <w:r>
        <w:rPr>
          <w:rFonts w:hint="eastAsia" w:ascii="宋体" w:hAnsi="宋体"/>
          <w:b/>
          <w:sz w:val="28"/>
          <w:szCs w:val="28"/>
        </w:rPr>
        <w:t>、工期</w:t>
      </w:r>
    </w:p>
    <w:p>
      <w:pPr>
        <w:spacing w:line="360" w:lineRule="auto"/>
        <w:rPr>
          <w:rFonts w:ascii="宋体" w:hAnsi="宋体"/>
          <w:color w:val="auto"/>
          <w:sz w:val="24"/>
          <w:szCs w:val="28"/>
        </w:rPr>
      </w:pPr>
      <w:r>
        <w:rPr>
          <w:rFonts w:hint="eastAsia" w:ascii="宋体" w:hAnsi="宋体"/>
          <w:sz w:val="24"/>
          <w:szCs w:val="28"/>
        </w:rPr>
        <w:t>1、硬件设备要求到货时</w:t>
      </w:r>
      <w:r>
        <w:rPr>
          <w:rFonts w:hint="eastAsia" w:ascii="宋体" w:hAnsi="宋体"/>
          <w:color w:val="auto"/>
          <w:sz w:val="24"/>
          <w:szCs w:val="28"/>
        </w:rPr>
        <w:t>间</w:t>
      </w:r>
      <w:r>
        <w:rPr>
          <w:rFonts w:hint="eastAsia" w:ascii="宋体" w:hAnsi="宋体"/>
          <w:color w:val="auto"/>
          <w:sz w:val="24"/>
          <w:szCs w:val="28"/>
          <w:lang w:val="en-US" w:eastAsia="zh-CN"/>
        </w:rPr>
        <w:t>为</w:t>
      </w:r>
      <w:r>
        <w:rPr>
          <w:rFonts w:hint="eastAsia" w:ascii="宋体" w:hAnsi="宋体"/>
          <w:color w:val="auto"/>
          <w:sz w:val="24"/>
          <w:szCs w:val="28"/>
        </w:rPr>
        <w:t xml:space="preserve">合同签署后1个月； </w:t>
      </w:r>
    </w:p>
    <w:p>
      <w:pPr>
        <w:tabs>
          <w:tab w:val="left" w:pos="567"/>
        </w:tabs>
        <w:spacing w:line="360" w:lineRule="auto"/>
        <w:rPr>
          <w:rFonts w:ascii="宋体" w:hAnsi="宋体"/>
          <w:color w:val="auto"/>
          <w:sz w:val="24"/>
          <w:szCs w:val="28"/>
        </w:rPr>
      </w:pPr>
      <w:r>
        <w:rPr>
          <w:rFonts w:hint="eastAsia" w:ascii="宋体" w:hAnsi="宋体"/>
          <w:color w:val="auto"/>
          <w:sz w:val="24"/>
          <w:szCs w:val="28"/>
        </w:rPr>
        <w:t>2、P</w:t>
      </w:r>
      <w:r>
        <w:rPr>
          <w:rFonts w:ascii="宋体" w:hAnsi="宋体"/>
          <w:color w:val="auto"/>
          <w:sz w:val="24"/>
          <w:szCs w:val="28"/>
        </w:rPr>
        <w:t>LC</w:t>
      </w:r>
      <w:r>
        <w:rPr>
          <w:rFonts w:hint="eastAsia" w:ascii="宋体" w:hAnsi="宋体"/>
          <w:color w:val="auto"/>
          <w:sz w:val="24"/>
          <w:szCs w:val="28"/>
        </w:rPr>
        <w:t>硬件更换、机柜改造及通道测试，要求在7天内完成，确保到期时具备上位机手动操作设备的能力，具体开工时间以甲方通知为准。</w:t>
      </w:r>
    </w:p>
    <w:p>
      <w:pPr>
        <w:spacing w:line="360" w:lineRule="auto"/>
        <w:rPr>
          <w:rFonts w:hint="eastAsia" w:ascii="宋体" w:hAnsi="宋体"/>
          <w:color w:val="auto"/>
          <w:sz w:val="24"/>
          <w:szCs w:val="28"/>
        </w:rPr>
      </w:pPr>
      <w:r>
        <w:rPr>
          <w:rFonts w:hint="eastAsia" w:ascii="宋体" w:hAnsi="宋体"/>
          <w:color w:val="auto"/>
          <w:sz w:val="24"/>
          <w:szCs w:val="28"/>
        </w:rPr>
        <w:t>3、控制策略编写与优化，在合同签署后30天内完成。</w:t>
      </w:r>
    </w:p>
    <w:p>
      <w:pPr>
        <w:tabs>
          <w:tab w:val="left" w:pos="567"/>
        </w:tabs>
        <w:spacing w:line="360" w:lineRule="auto"/>
        <w:rPr>
          <w:rFonts w:hint="eastAsia" w:ascii="宋体" w:hAnsi="宋体"/>
          <w:sz w:val="24"/>
          <w:szCs w:val="28"/>
        </w:rPr>
      </w:pPr>
      <w:r>
        <w:rPr>
          <w:rFonts w:hint="eastAsia" w:ascii="宋体" w:hAnsi="宋体"/>
          <w:sz w:val="24"/>
          <w:szCs w:val="28"/>
        </w:rPr>
        <w:t>4、软件部分的开发、部署、测试仿真，要求在合同签署后120天内完成；</w:t>
      </w:r>
    </w:p>
    <w:p>
      <w:pPr>
        <w:spacing w:line="360" w:lineRule="auto"/>
        <w:rPr>
          <w:rFonts w:ascii="宋体" w:hAnsi="宋体"/>
          <w:b/>
          <w:sz w:val="28"/>
          <w:szCs w:val="28"/>
        </w:rPr>
      </w:pPr>
      <w:r>
        <w:rPr>
          <w:rFonts w:hint="eastAsia" w:ascii="宋体" w:hAnsi="宋体"/>
          <w:b/>
          <w:sz w:val="28"/>
          <w:szCs w:val="28"/>
        </w:rPr>
        <w:t>十一、验收</w:t>
      </w:r>
    </w:p>
    <w:p>
      <w:pPr>
        <w:spacing w:line="360" w:lineRule="auto"/>
        <w:ind w:firstLine="480"/>
        <w:rPr>
          <w:rFonts w:ascii="宋体" w:hAnsi="宋体"/>
          <w:sz w:val="24"/>
          <w:szCs w:val="28"/>
        </w:rPr>
      </w:pPr>
      <w:r>
        <w:rPr>
          <w:rFonts w:hint="eastAsia" w:ascii="宋体" w:hAnsi="宋体"/>
          <w:sz w:val="24"/>
          <w:szCs w:val="28"/>
        </w:rPr>
        <w:t>空调负荷具有周期性，每年3月-4月底为过渡季节，负荷较低，5-8月负荷较高。冷站全自动的程序运行需要包含过度月份与高负荷月份，因此本项目进度按照以下约定：</w:t>
      </w:r>
    </w:p>
    <w:p>
      <w:pPr>
        <w:numPr>
          <w:ilvl w:val="0"/>
          <w:numId w:val="33"/>
        </w:numPr>
        <w:spacing w:line="360" w:lineRule="auto"/>
        <w:rPr>
          <w:rFonts w:ascii="宋体" w:hAnsi="宋体"/>
          <w:sz w:val="24"/>
          <w:szCs w:val="28"/>
        </w:rPr>
      </w:pPr>
      <w:r>
        <w:rPr>
          <w:rFonts w:hint="eastAsia" w:ascii="宋体" w:hAnsi="宋体"/>
          <w:sz w:val="24"/>
          <w:szCs w:val="28"/>
        </w:rPr>
        <w:t>硬件改造，形象进度为40%；</w:t>
      </w:r>
    </w:p>
    <w:p>
      <w:pPr>
        <w:numPr>
          <w:ilvl w:val="0"/>
          <w:numId w:val="33"/>
        </w:numPr>
        <w:spacing w:line="360" w:lineRule="auto"/>
        <w:rPr>
          <w:rFonts w:ascii="宋体" w:hAnsi="宋体"/>
          <w:sz w:val="24"/>
          <w:szCs w:val="28"/>
        </w:rPr>
      </w:pPr>
      <w:r>
        <w:rPr>
          <w:rFonts w:hint="eastAsia" w:ascii="宋体" w:hAnsi="宋体"/>
          <w:sz w:val="24"/>
          <w:szCs w:val="28"/>
        </w:rPr>
        <w:t>冷站工程量清单中软件部分的开发、部署和测试、试运行，形象进度为40%，</w:t>
      </w:r>
    </w:p>
    <w:p>
      <w:pPr>
        <w:numPr>
          <w:ilvl w:val="0"/>
          <w:numId w:val="33"/>
        </w:numPr>
        <w:spacing w:line="360" w:lineRule="auto"/>
        <w:rPr>
          <w:rFonts w:ascii="宋体" w:hAnsi="宋体"/>
          <w:sz w:val="24"/>
          <w:szCs w:val="28"/>
        </w:rPr>
      </w:pPr>
      <w:r>
        <w:rPr>
          <w:rFonts w:hint="eastAsia" w:ascii="宋体" w:hAnsi="宋体"/>
          <w:sz w:val="24"/>
          <w:szCs w:val="28"/>
        </w:rPr>
        <w:t>2026年9月之前的过度月份与高负荷月份运行、参数调整，形象进度为10%，</w:t>
      </w:r>
    </w:p>
    <w:p>
      <w:pPr>
        <w:numPr>
          <w:ilvl w:val="0"/>
          <w:numId w:val="33"/>
        </w:numPr>
        <w:spacing w:line="360" w:lineRule="auto"/>
        <w:rPr>
          <w:rFonts w:ascii="宋体" w:hAnsi="宋体"/>
          <w:sz w:val="24"/>
          <w:szCs w:val="28"/>
        </w:rPr>
      </w:pPr>
      <w:r>
        <w:rPr>
          <w:rFonts w:hint="eastAsia" w:ascii="宋体" w:hAnsi="宋体"/>
          <w:sz w:val="24"/>
          <w:szCs w:val="28"/>
        </w:rPr>
        <w:t>其他部分形象进度为10%。</w:t>
      </w:r>
    </w:p>
    <w:p>
      <w:pPr>
        <w:spacing w:line="360" w:lineRule="auto"/>
        <w:ind w:firstLine="480" w:firstLineChars="200"/>
        <w:rPr>
          <w:rFonts w:hint="eastAsia" w:ascii="宋体" w:hAnsi="宋体"/>
          <w:sz w:val="24"/>
          <w:szCs w:val="28"/>
        </w:rPr>
      </w:pPr>
      <w:r>
        <w:rPr>
          <w:rFonts w:hint="eastAsia" w:ascii="宋体" w:hAnsi="宋体"/>
          <w:sz w:val="24"/>
          <w:szCs w:val="28"/>
        </w:rPr>
        <w:t>竣工验收在系统满足验收条件、2026年9月测试全自动运行正常的条件下继进行，以下为竣工验收标准：</w:t>
      </w:r>
    </w:p>
    <w:tbl>
      <w:tblPr>
        <w:tblStyle w:val="16"/>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003"/>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813" w:type="dxa"/>
            <w:noWrap w:val="0"/>
            <w:vAlign w:val="top"/>
          </w:tcPr>
          <w:p>
            <w:pPr>
              <w:pStyle w:val="21"/>
              <w:ind w:firstLine="0" w:firstLineChars="0"/>
              <w:outlineLvl w:val="0"/>
              <w:rPr>
                <w:rFonts w:ascii="宋体" w:hAnsi="宋体" w:cs="等线"/>
                <w:sz w:val="24"/>
              </w:rPr>
            </w:pPr>
            <w:r>
              <w:rPr>
                <w:rFonts w:hint="eastAsia" w:ascii="宋体" w:hAnsi="宋体" w:cs="等线"/>
                <w:sz w:val="24"/>
              </w:rPr>
              <w:t>序号</w:t>
            </w:r>
          </w:p>
        </w:tc>
        <w:tc>
          <w:tcPr>
            <w:tcW w:w="2003" w:type="dxa"/>
            <w:noWrap w:val="0"/>
            <w:vAlign w:val="top"/>
          </w:tcPr>
          <w:p>
            <w:pPr>
              <w:pStyle w:val="21"/>
              <w:ind w:firstLine="0" w:firstLineChars="0"/>
              <w:jc w:val="center"/>
              <w:outlineLvl w:val="0"/>
              <w:rPr>
                <w:rFonts w:ascii="宋体" w:hAnsi="宋体" w:cs="等线"/>
                <w:sz w:val="24"/>
              </w:rPr>
            </w:pPr>
            <w:r>
              <w:rPr>
                <w:rFonts w:hint="eastAsia" w:ascii="宋体" w:hAnsi="宋体" w:cs="等线"/>
                <w:sz w:val="24"/>
              </w:rPr>
              <w:t>预期目标</w:t>
            </w:r>
          </w:p>
        </w:tc>
        <w:tc>
          <w:tcPr>
            <w:tcW w:w="6043" w:type="dxa"/>
            <w:noWrap w:val="0"/>
            <w:vAlign w:val="top"/>
          </w:tcPr>
          <w:p>
            <w:pPr>
              <w:pStyle w:val="21"/>
              <w:ind w:firstLine="0" w:firstLineChars="0"/>
              <w:jc w:val="center"/>
              <w:outlineLvl w:val="0"/>
              <w:rPr>
                <w:rFonts w:ascii="宋体" w:hAnsi="宋体" w:cs="等线"/>
                <w:sz w:val="24"/>
              </w:rPr>
            </w:pPr>
            <w:r>
              <w:rPr>
                <w:rFonts w:hint="eastAsia" w:ascii="宋体" w:hAnsi="宋体" w:cs="等线"/>
                <w:sz w:val="24"/>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81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1</w:t>
            </w:r>
          </w:p>
        </w:tc>
        <w:tc>
          <w:tcPr>
            <w:tcW w:w="200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系统高可用性</w:t>
            </w:r>
          </w:p>
        </w:tc>
        <w:tc>
          <w:tcPr>
            <w:tcW w:w="6043" w:type="dxa"/>
            <w:noWrap w:val="0"/>
            <w:vAlign w:val="top"/>
          </w:tcPr>
          <w:p>
            <w:pPr>
              <w:pStyle w:val="21"/>
              <w:ind w:firstLine="0" w:firstLineChars="0"/>
              <w:outlineLvl w:val="0"/>
              <w:rPr>
                <w:rFonts w:ascii="宋体" w:hAnsi="宋体" w:cs="等线"/>
                <w:sz w:val="24"/>
              </w:rPr>
            </w:pPr>
            <w:r>
              <w:rPr>
                <w:rFonts w:hint="eastAsia" w:ascii="宋体" w:hAnsi="宋体" w:cs="等线"/>
                <w:sz w:val="24"/>
              </w:rPr>
              <w:t>模拟主CPU断电、故障，系统应能在500ms内无扰自动切换至备用CPU，控制输出无波动。所有设备、程序、上位系统需通过72小时连续运行测试.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81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2</w:t>
            </w:r>
          </w:p>
        </w:tc>
        <w:tc>
          <w:tcPr>
            <w:tcW w:w="200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系统自动化程度</w:t>
            </w:r>
          </w:p>
        </w:tc>
        <w:tc>
          <w:tcPr>
            <w:tcW w:w="6043" w:type="dxa"/>
            <w:noWrap w:val="0"/>
            <w:vAlign w:val="top"/>
          </w:tcPr>
          <w:p>
            <w:pPr>
              <w:pStyle w:val="21"/>
              <w:ind w:firstLine="0" w:firstLineChars="0"/>
              <w:outlineLvl w:val="0"/>
              <w:rPr>
                <w:rFonts w:ascii="宋体" w:hAnsi="宋体" w:cs="等线"/>
                <w:sz w:val="24"/>
              </w:rPr>
            </w:pPr>
            <w:r>
              <w:rPr>
                <w:rFonts w:hint="eastAsia" w:ascii="宋体" w:hAnsi="宋体" w:cs="等线"/>
                <w:sz w:val="24"/>
              </w:rPr>
              <w:t>系统能根据天气、时间表和负荷需求，自动完成所有设备的启停、切换，无需人工干预。(现场到P</w:t>
            </w:r>
            <w:r>
              <w:rPr>
                <w:rFonts w:ascii="宋体" w:hAnsi="宋体" w:cs="等线"/>
                <w:sz w:val="24"/>
              </w:rPr>
              <w:t>LC</w:t>
            </w:r>
            <w:r>
              <w:rPr>
                <w:rFonts w:hint="eastAsia" w:ascii="宋体" w:hAnsi="宋体" w:cs="等线"/>
                <w:sz w:val="24"/>
              </w:rPr>
              <w:t>柜接线端子的信号由我司负责)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81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3</w:t>
            </w:r>
          </w:p>
        </w:tc>
        <w:tc>
          <w:tcPr>
            <w:tcW w:w="200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智能优化功能投运</w:t>
            </w:r>
          </w:p>
        </w:tc>
        <w:tc>
          <w:tcPr>
            <w:tcW w:w="6043" w:type="dxa"/>
            <w:noWrap w:val="0"/>
            <w:vAlign w:val="top"/>
          </w:tcPr>
          <w:p>
            <w:pPr>
              <w:pStyle w:val="21"/>
              <w:ind w:firstLine="0" w:firstLineChars="0"/>
              <w:outlineLvl w:val="0"/>
              <w:rPr>
                <w:rFonts w:ascii="宋体" w:hAnsi="宋体" w:cs="等线"/>
                <w:sz w:val="24"/>
              </w:rPr>
            </w:pPr>
            <w:r>
              <w:rPr>
                <w:rFonts w:hint="eastAsia" w:ascii="宋体" w:hAnsi="宋体" w:cs="等线"/>
                <w:sz w:val="24"/>
              </w:rPr>
              <w:t>智能算法模块投入自动运行，对比改造前同期数据，系统整体COP提升≥3%。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81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4</w:t>
            </w:r>
          </w:p>
        </w:tc>
        <w:tc>
          <w:tcPr>
            <w:tcW w:w="200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数据整合与展示</w:t>
            </w:r>
          </w:p>
        </w:tc>
        <w:tc>
          <w:tcPr>
            <w:tcW w:w="6043" w:type="dxa"/>
            <w:noWrap w:val="0"/>
            <w:vAlign w:val="top"/>
          </w:tcPr>
          <w:p>
            <w:pPr>
              <w:pStyle w:val="21"/>
              <w:ind w:firstLine="0" w:firstLineChars="0"/>
              <w:outlineLvl w:val="0"/>
              <w:rPr>
                <w:rFonts w:ascii="宋体" w:hAnsi="宋体" w:cs="等线"/>
                <w:sz w:val="24"/>
              </w:rPr>
            </w:pPr>
            <w:r>
              <w:rPr>
                <w:rFonts w:hint="eastAsia" w:ascii="宋体" w:hAnsi="宋体" w:cs="等线"/>
                <w:sz w:val="24"/>
              </w:rPr>
              <w:t>在WINCC及数字化看板上能正确显示整合后全站数据，包括能耗看板、实时COP、分项电耗等。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1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5</w:t>
            </w:r>
          </w:p>
        </w:tc>
        <w:tc>
          <w:tcPr>
            <w:tcW w:w="200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系统响应性能</w:t>
            </w:r>
          </w:p>
        </w:tc>
        <w:tc>
          <w:tcPr>
            <w:tcW w:w="6043" w:type="dxa"/>
            <w:noWrap w:val="0"/>
            <w:vAlign w:val="top"/>
          </w:tcPr>
          <w:p>
            <w:pPr>
              <w:pStyle w:val="21"/>
              <w:ind w:firstLine="0" w:firstLineChars="0"/>
              <w:outlineLvl w:val="0"/>
              <w:rPr>
                <w:rFonts w:ascii="宋体" w:hAnsi="宋体" w:cs="等线"/>
                <w:sz w:val="24"/>
              </w:rPr>
            </w:pPr>
            <w:r>
              <w:rPr>
                <w:rFonts w:hint="eastAsia" w:ascii="宋体" w:hAnsi="宋体" w:cs="等线"/>
                <w:sz w:val="24"/>
              </w:rPr>
              <w:t>关键画面切换速度&lt;1s，控制指令响应时间&lt;1s，系统响应时间≤500ms，数据完整率≥99.9%。。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81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6</w:t>
            </w:r>
          </w:p>
        </w:tc>
        <w:tc>
          <w:tcPr>
            <w:tcW w:w="2003" w:type="dxa"/>
            <w:noWrap w:val="0"/>
            <w:vAlign w:val="center"/>
          </w:tcPr>
          <w:p>
            <w:pPr>
              <w:pStyle w:val="21"/>
              <w:ind w:firstLine="0" w:firstLineChars="0"/>
              <w:jc w:val="center"/>
              <w:outlineLvl w:val="0"/>
              <w:rPr>
                <w:rFonts w:ascii="宋体" w:hAnsi="宋体" w:cs="等线"/>
                <w:sz w:val="24"/>
              </w:rPr>
            </w:pPr>
            <w:r>
              <w:rPr>
                <w:rFonts w:hint="eastAsia" w:ascii="宋体" w:hAnsi="宋体" w:cs="等线"/>
                <w:sz w:val="24"/>
              </w:rPr>
              <w:t>文档与培训</w:t>
            </w:r>
          </w:p>
        </w:tc>
        <w:tc>
          <w:tcPr>
            <w:tcW w:w="6043" w:type="dxa"/>
            <w:noWrap w:val="0"/>
            <w:vAlign w:val="top"/>
          </w:tcPr>
          <w:p>
            <w:pPr>
              <w:pStyle w:val="21"/>
              <w:ind w:firstLine="0" w:firstLineChars="0"/>
              <w:outlineLvl w:val="0"/>
              <w:rPr>
                <w:rFonts w:ascii="宋体" w:hAnsi="宋体" w:cs="等线"/>
                <w:sz w:val="24"/>
              </w:rPr>
            </w:pPr>
            <w:r>
              <w:rPr>
                <w:rFonts w:hint="eastAsia" w:ascii="宋体" w:hAnsi="宋体" w:cs="等线"/>
                <w:sz w:val="24"/>
              </w:rPr>
              <w:t>收到完整、规范的技术文档，维护人员通过培训能够独立进行日常维护和基本故障排查。</w:t>
            </w:r>
          </w:p>
        </w:tc>
      </w:tr>
    </w:tbl>
    <w:p>
      <w:pPr>
        <w:rPr>
          <w:rFonts w:hint="eastAsia" w:ascii="宋体" w:hAnsi="宋体"/>
          <w:sz w:val="28"/>
          <w:szCs w:val="28"/>
        </w:rPr>
      </w:pPr>
      <w:r>
        <w:rPr>
          <w:rFonts w:hint="eastAsia" w:ascii="宋体" w:hAnsi="宋体"/>
          <w:sz w:val="28"/>
          <w:szCs w:val="28"/>
        </w:rPr>
        <w:t xml:space="preserve"> </w:t>
      </w:r>
      <w:r>
        <w:rPr>
          <w:rFonts w:ascii="宋体" w:hAnsi="宋体"/>
          <w:sz w:val="28"/>
          <w:szCs w:val="28"/>
        </w:rPr>
        <w:t xml:space="preserve">    </w:t>
      </w:r>
    </w:p>
    <w:p>
      <w:pPr>
        <w:spacing w:line="360" w:lineRule="auto"/>
        <w:rPr>
          <w:rFonts w:hint="eastAsia" w:ascii="宋体" w:hAnsi="宋体"/>
          <w:b/>
          <w:sz w:val="28"/>
          <w:szCs w:val="28"/>
          <w:highlight w:val="none"/>
        </w:rPr>
      </w:pPr>
      <w:r>
        <w:rPr>
          <w:rFonts w:hint="eastAsia" w:ascii="宋体" w:hAnsi="宋体"/>
          <w:b/>
          <w:sz w:val="28"/>
          <w:szCs w:val="28"/>
          <w:highlight w:val="none"/>
        </w:rPr>
        <w:t>十二、违约责任</w:t>
      </w:r>
    </w:p>
    <w:p>
      <w:pPr>
        <w:tabs>
          <w:tab w:val="left" w:pos="567"/>
        </w:tabs>
        <w:spacing w:line="360" w:lineRule="auto"/>
        <w:ind w:firstLine="480" w:firstLineChars="200"/>
        <w:rPr>
          <w:rFonts w:ascii="宋体" w:hAnsi="宋体"/>
          <w:sz w:val="24"/>
          <w:szCs w:val="28"/>
        </w:rPr>
      </w:pPr>
      <w:r>
        <w:rPr>
          <w:rFonts w:hint="eastAsia" w:ascii="宋体" w:hAnsi="宋体"/>
          <w:sz w:val="24"/>
          <w:szCs w:val="28"/>
        </w:rPr>
        <w:t>本项目涉及大学城岛内师生的正常用冷，自控系统是冷站正常运行的大脑和神经网络，</w:t>
      </w:r>
      <w:r>
        <w:rPr>
          <w:rFonts w:hint="eastAsia" w:ascii="宋体" w:hAnsi="宋体"/>
          <w:sz w:val="24"/>
          <w:szCs w:val="28"/>
          <w:lang w:eastAsia="zh-CN"/>
        </w:rPr>
        <w:t>中标人</w:t>
      </w:r>
      <w:r>
        <w:rPr>
          <w:rFonts w:hint="eastAsia" w:ascii="宋体" w:hAnsi="宋体"/>
          <w:sz w:val="24"/>
          <w:szCs w:val="28"/>
        </w:rPr>
        <w:t>必须认真对待以避免影响项目目标的实现，</w:t>
      </w:r>
      <w:r>
        <w:rPr>
          <w:rFonts w:hint="eastAsia" w:ascii="宋体" w:hAnsi="宋体"/>
          <w:sz w:val="24"/>
          <w:szCs w:val="28"/>
          <w:lang w:eastAsia="zh-CN"/>
        </w:rPr>
        <w:t>中标人</w:t>
      </w:r>
      <w:r>
        <w:rPr>
          <w:rFonts w:hint="eastAsia" w:ascii="宋体" w:hAnsi="宋体"/>
          <w:sz w:val="24"/>
          <w:szCs w:val="28"/>
        </w:rPr>
        <w:t>应承担相应的违约责任：</w:t>
      </w:r>
    </w:p>
    <w:p>
      <w:pPr>
        <w:numPr>
          <w:ilvl w:val="0"/>
          <w:numId w:val="34"/>
        </w:numPr>
        <w:tabs>
          <w:tab w:val="left" w:pos="567"/>
        </w:tabs>
        <w:spacing w:line="360" w:lineRule="auto"/>
        <w:rPr>
          <w:rFonts w:ascii="宋体" w:hAnsi="宋体"/>
          <w:sz w:val="24"/>
          <w:szCs w:val="28"/>
        </w:rPr>
      </w:pPr>
      <w:r>
        <w:rPr>
          <w:rFonts w:hint="eastAsia" w:ascii="宋体" w:hAnsi="宋体"/>
          <w:sz w:val="24"/>
          <w:szCs w:val="28"/>
        </w:rPr>
        <w:t>未按要求派驻人员，每缺勤一人一天扣罚合同软件部分价格的1%。</w:t>
      </w:r>
    </w:p>
    <w:p>
      <w:pPr>
        <w:numPr>
          <w:ilvl w:val="0"/>
          <w:numId w:val="34"/>
        </w:numPr>
        <w:tabs>
          <w:tab w:val="left" w:pos="567"/>
        </w:tabs>
        <w:spacing w:line="360" w:lineRule="auto"/>
        <w:rPr>
          <w:rFonts w:ascii="宋体" w:hAnsi="宋体"/>
          <w:sz w:val="24"/>
          <w:szCs w:val="28"/>
        </w:rPr>
      </w:pPr>
      <w:r>
        <w:rPr>
          <w:rFonts w:hint="eastAsia" w:ascii="宋体" w:hAnsi="宋体"/>
          <w:sz w:val="24"/>
          <w:szCs w:val="28"/>
        </w:rPr>
        <w:t>未按甲方要求进行编写控制策略、测试表格，不予验收软件部分。</w:t>
      </w:r>
    </w:p>
    <w:p>
      <w:pPr>
        <w:numPr>
          <w:ilvl w:val="0"/>
          <w:numId w:val="34"/>
        </w:numPr>
        <w:tabs>
          <w:tab w:val="left" w:pos="567"/>
        </w:tabs>
        <w:spacing w:line="360" w:lineRule="auto"/>
        <w:rPr>
          <w:rFonts w:ascii="宋体" w:hAnsi="宋体"/>
          <w:sz w:val="24"/>
          <w:szCs w:val="28"/>
        </w:rPr>
      </w:pPr>
      <w:r>
        <w:rPr>
          <w:rFonts w:hint="eastAsia" w:ascii="宋体" w:hAnsi="宋体"/>
          <w:sz w:val="24"/>
          <w:szCs w:val="28"/>
        </w:rPr>
        <w:t>因</w:t>
      </w:r>
      <w:r>
        <w:rPr>
          <w:rFonts w:hint="eastAsia" w:ascii="宋体" w:hAnsi="宋体"/>
          <w:sz w:val="24"/>
          <w:szCs w:val="28"/>
          <w:lang w:eastAsia="zh-CN"/>
        </w:rPr>
        <w:t>中标人</w:t>
      </w:r>
      <w:r>
        <w:rPr>
          <w:rFonts w:hint="eastAsia" w:ascii="宋体" w:hAnsi="宋体"/>
          <w:sz w:val="24"/>
          <w:szCs w:val="28"/>
        </w:rPr>
        <w:t>原因未按工期要求完成相应目标，每延迟一天扣罚该项目的5%；若造成冷站在冬季检修之后无法正常投入，</w:t>
      </w:r>
      <w:r>
        <w:rPr>
          <w:rFonts w:hint="eastAsia" w:ascii="宋体" w:hAnsi="宋体"/>
          <w:sz w:val="24"/>
          <w:szCs w:val="28"/>
          <w:lang w:val="en-US" w:eastAsia="zh-CN"/>
        </w:rPr>
        <w:t>视</w:t>
      </w:r>
      <w:r>
        <w:rPr>
          <w:rFonts w:hint="eastAsia" w:ascii="宋体" w:hAnsi="宋体"/>
          <w:sz w:val="24"/>
          <w:szCs w:val="28"/>
        </w:rPr>
        <w:t>影响的经营收入</w:t>
      </w:r>
      <w:r>
        <w:rPr>
          <w:rFonts w:hint="eastAsia" w:ascii="宋体" w:hAnsi="宋体"/>
          <w:sz w:val="24"/>
          <w:szCs w:val="28"/>
          <w:lang w:val="en-US" w:eastAsia="zh-CN"/>
        </w:rPr>
        <w:t>情况</w:t>
      </w:r>
      <w:r>
        <w:rPr>
          <w:rFonts w:hint="eastAsia" w:ascii="宋体" w:hAnsi="宋体"/>
          <w:sz w:val="24"/>
          <w:szCs w:val="28"/>
        </w:rPr>
        <w:t>扣罚。</w:t>
      </w:r>
    </w:p>
    <w:p>
      <w:pPr>
        <w:numPr>
          <w:ilvl w:val="0"/>
          <w:numId w:val="34"/>
        </w:numPr>
        <w:tabs>
          <w:tab w:val="left" w:pos="567"/>
        </w:tabs>
        <w:spacing w:line="360" w:lineRule="auto"/>
        <w:rPr>
          <w:rFonts w:ascii="宋体" w:hAnsi="宋体"/>
          <w:sz w:val="24"/>
          <w:szCs w:val="28"/>
        </w:rPr>
      </w:pPr>
      <w:r>
        <w:rPr>
          <w:rFonts w:hint="eastAsia" w:ascii="宋体" w:hAnsi="宋体"/>
          <w:sz w:val="24"/>
          <w:szCs w:val="28"/>
        </w:rPr>
        <w:t>硬件改造缺少号码管、接线端子，每缺一个扣罚50元；接线不稳固，每个扣罚50元；套错号码管，每个扣罚100元。</w:t>
      </w:r>
    </w:p>
    <w:p>
      <w:pPr>
        <w:numPr>
          <w:ilvl w:val="0"/>
          <w:numId w:val="34"/>
        </w:numPr>
        <w:tabs>
          <w:tab w:val="left" w:pos="567"/>
        </w:tabs>
        <w:spacing w:line="360" w:lineRule="auto"/>
        <w:rPr>
          <w:rFonts w:ascii="宋体" w:hAnsi="宋体"/>
          <w:sz w:val="24"/>
          <w:szCs w:val="28"/>
        </w:rPr>
      </w:pPr>
      <w:r>
        <w:rPr>
          <w:rFonts w:hint="eastAsia" w:ascii="宋体" w:hAnsi="宋体"/>
          <w:sz w:val="24"/>
          <w:szCs w:val="28"/>
        </w:rPr>
        <w:t>通道测试弄虚作假，所提交的测试资料与实际不符，每出现一个点扣罚机柜改造部分的5%。</w:t>
      </w:r>
    </w:p>
    <w:p>
      <w:pPr>
        <w:spacing w:line="360" w:lineRule="auto"/>
        <w:ind w:left="480" w:hanging="480" w:hangingChars="200"/>
        <w:rPr>
          <w:rFonts w:hint="eastAsia" w:ascii="宋体" w:hAnsi="宋体"/>
          <w:sz w:val="24"/>
          <w:szCs w:val="28"/>
        </w:rPr>
      </w:pPr>
      <w:r>
        <w:rPr>
          <w:rFonts w:hint="eastAsia" w:ascii="宋体" w:hAnsi="宋体"/>
          <w:sz w:val="24"/>
          <w:szCs w:val="28"/>
        </w:rPr>
        <w:t>5、 程序编写不完善、测试与仿真不完整、通道测试作假等造成严重后果的，</w:t>
      </w:r>
      <w:r>
        <w:rPr>
          <w:rFonts w:hint="eastAsia" w:ascii="宋体" w:hAnsi="宋体"/>
          <w:sz w:val="24"/>
          <w:szCs w:val="28"/>
          <w:lang w:eastAsia="zh-CN"/>
        </w:rPr>
        <w:t>中标人</w:t>
      </w:r>
      <w:r>
        <w:rPr>
          <w:rFonts w:hint="eastAsia" w:ascii="宋体" w:hAnsi="宋体"/>
          <w:sz w:val="24"/>
          <w:szCs w:val="28"/>
        </w:rPr>
        <w:t>承担相应责任。</w:t>
      </w:r>
    </w:p>
    <w:p>
      <w:pPr>
        <w:spacing w:line="360" w:lineRule="auto"/>
        <w:rPr>
          <w:rFonts w:ascii="宋体" w:hAnsi="宋体"/>
          <w:b/>
          <w:sz w:val="28"/>
          <w:szCs w:val="28"/>
        </w:rPr>
      </w:pPr>
      <w:r>
        <w:rPr>
          <w:rFonts w:hint="eastAsia" w:ascii="宋体" w:hAnsi="宋体"/>
          <w:b/>
          <w:sz w:val="28"/>
          <w:szCs w:val="28"/>
        </w:rPr>
        <w:t>十三、其他</w:t>
      </w:r>
    </w:p>
    <w:p>
      <w:pPr>
        <w:spacing w:line="360" w:lineRule="auto"/>
        <w:ind w:firstLine="420"/>
        <w:rPr>
          <w:rFonts w:hint="eastAsia" w:ascii="宋体" w:hAnsi="宋体" w:cs="等线" w:eastAsiaTheme="minorEastAsia"/>
          <w:sz w:val="24"/>
          <w:lang w:val="en-US" w:eastAsia="zh-CN"/>
        </w:rPr>
      </w:pPr>
      <w:r>
        <w:rPr>
          <w:rFonts w:hint="eastAsia" w:ascii="宋体" w:hAnsi="宋体" w:cs="等线"/>
          <w:sz w:val="24"/>
        </w:rPr>
        <w:t>研发成果归属：所有研发过程中产生的软件、算法、技术文档等知识产权均归本</w:t>
      </w:r>
      <w:r>
        <w:rPr>
          <w:rFonts w:hint="eastAsia" w:ascii="宋体" w:hAnsi="宋体" w:cs="等线"/>
          <w:sz w:val="24"/>
          <w:lang w:val="en-US" w:eastAsia="zh-CN"/>
        </w:rPr>
        <w:t>采购人</w:t>
      </w:r>
      <w:r>
        <w:rPr>
          <w:rFonts w:hint="eastAsia" w:ascii="宋体" w:hAnsi="宋体" w:cs="等线"/>
          <w:sz w:val="24"/>
        </w:rPr>
        <w:t>所有。</w:t>
      </w:r>
      <w:r>
        <w:rPr>
          <w:rFonts w:hint="eastAsia" w:ascii="宋体" w:hAnsi="宋体" w:cs="等线"/>
          <w:sz w:val="24"/>
          <w:lang w:val="en-US" w:eastAsia="zh-CN"/>
        </w:rPr>
        <w:t>中标人仅有</w:t>
      </w:r>
      <w:r>
        <w:rPr>
          <w:rFonts w:hint="eastAsia" w:ascii="宋体" w:hAnsi="宋体" w:cs="等线"/>
          <w:sz w:val="24"/>
        </w:rPr>
        <w:t>根据合同约定获得相应的报酬</w:t>
      </w:r>
      <w:r>
        <w:rPr>
          <w:rFonts w:hint="eastAsia" w:ascii="宋体" w:hAnsi="宋体" w:cs="等线"/>
          <w:sz w:val="24"/>
          <w:lang w:eastAsia="zh-CN"/>
        </w:rPr>
        <w:t>。</w:t>
      </w:r>
    </w:p>
    <w:p>
      <w:pPr>
        <w:spacing w:line="360" w:lineRule="auto"/>
        <w:ind w:firstLine="420"/>
        <w:rPr>
          <w:rFonts w:ascii="宋体" w:hAnsi="宋体" w:cs="等线"/>
          <w:sz w:val="24"/>
        </w:rPr>
      </w:pPr>
      <w:r>
        <w:rPr>
          <w:rFonts w:hint="eastAsia" w:ascii="宋体" w:hAnsi="宋体" w:cs="等线"/>
          <w:sz w:val="24"/>
        </w:rPr>
        <w:t>保密协议：需签署保密协议，确保在研发过程中及项目结束后，不泄露任何与项目相关的技术信息和商业秘密。</w:t>
      </w:r>
    </w:p>
    <w:p>
      <w:pPr>
        <w:spacing w:line="360" w:lineRule="auto"/>
        <w:ind w:firstLine="420"/>
        <w:rPr>
          <w:rFonts w:ascii="宋体" w:hAnsi="宋体" w:cs="等线"/>
          <w:sz w:val="24"/>
        </w:rPr>
      </w:pPr>
      <w:r>
        <w:rPr>
          <w:rFonts w:hint="eastAsia" w:ascii="宋体" w:hAnsi="宋体" w:cs="等线"/>
          <w:sz w:val="24"/>
        </w:rPr>
        <w:t>后续开发权利：</w:t>
      </w:r>
      <w:r>
        <w:rPr>
          <w:rFonts w:hint="eastAsia" w:ascii="宋体" w:hAnsi="宋体" w:cs="等线"/>
          <w:sz w:val="24"/>
          <w:lang w:val="en-US" w:eastAsia="zh-CN"/>
        </w:rPr>
        <w:t>采购人</w:t>
      </w:r>
      <w:r>
        <w:rPr>
          <w:rFonts w:hint="eastAsia" w:ascii="宋体" w:hAnsi="宋体" w:cs="等线"/>
          <w:sz w:val="24"/>
        </w:rPr>
        <w:t>保留对研发成果进行后续开发、改进、商业化的权利。</w:t>
      </w:r>
    </w:p>
    <w:p>
      <w:pPr>
        <w:tabs>
          <w:tab w:val="left" w:pos="420"/>
        </w:tabs>
        <w:spacing w:line="360" w:lineRule="auto"/>
        <w:ind w:firstLine="480" w:firstLineChars="200"/>
        <w:rPr>
          <w:rFonts w:ascii="宋体" w:hAnsi="宋体" w:cs="等线"/>
          <w:sz w:val="24"/>
        </w:rPr>
      </w:pPr>
      <w:r>
        <w:rPr>
          <w:rFonts w:hint="eastAsia" w:ascii="宋体" w:hAnsi="宋体" w:cs="等线"/>
          <w:sz w:val="24"/>
        </w:rPr>
        <w:t>项目前期应进场做好相应的能耗、能效数据采集，如现有采集数据不够全面，需及时反馈，</w:t>
      </w:r>
      <w:r>
        <w:rPr>
          <w:rFonts w:hint="eastAsia" w:ascii="宋体" w:hAnsi="宋体" w:cs="等线"/>
          <w:sz w:val="24"/>
          <w:lang w:val="en-US" w:eastAsia="zh-CN"/>
        </w:rPr>
        <w:t>采购人视情况</w:t>
      </w:r>
      <w:r>
        <w:rPr>
          <w:rFonts w:hint="eastAsia" w:ascii="宋体" w:hAnsi="宋体" w:cs="等线"/>
          <w:sz w:val="24"/>
        </w:rPr>
        <w:t>补充相应采集的硬件设备。</w:t>
      </w:r>
    </w:p>
    <w:p>
      <w:pPr>
        <w:widowControl/>
        <w:jc w:val="left"/>
        <w:rPr>
          <w:rFonts w:ascii="宋体" w:hAnsi="宋体"/>
          <w:color w:val="auto"/>
          <w:sz w:val="32"/>
        </w:rPr>
      </w:pPr>
      <w:r>
        <w:rPr>
          <w:rFonts w:ascii="宋体" w:hAnsi="宋体"/>
          <w:color w:val="auto"/>
          <w:sz w:val="32"/>
        </w:rPr>
        <w:br w:type="page"/>
      </w:r>
    </w:p>
    <w:p>
      <w:pPr>
        <w:widowControl/>
        <w:jc w:val="left"/>
        <w:rPr>
          <w:rFonts w:hint="eastAsia" w:ascii="宋体" w:hAnsi="宋体"/>
          <w:color w:val="auto"/>
          <w:sz w:val="32"/>
          <w:lang w:val="en-US" w:eastAsia="zh-CN"/>
        </w:rPr>
      </w:pPr>
      <w:r>
        <w:rPr>
          <w:rFonts w:hint="eastAsia" w:ascii="宋体" w:hAnsi="宋体"/>
          <w:color w:val="auto"/>
          <w:sz w:val="32"/>
        </w:rPr>
        <w:t>附件</w:t>
      </w:r>
      <w:r>
        <w:rPr>
          <w:rFonts w:hint="eastAsia" w:ascii="宋体" w:hAnsi="宋体"/>
          <w:color w:val="auto"/>
          <w:sz w:val="32"/>
          <w:lang w:val="en-US" w:eastAsia="zh-CN"/>
        </w:rPr>
        <w:t>2</w:t>
      </w:r>
    </w:p>
    <w:p>
      <w:pPr>
        <w:spacing w:before="120" w:beforeLines="50" w:after="120" w:afterLines="50" w:line="360" w:lineRule="auto"/>
        <w:ind w:right="600" w:firstLine="480" w:firstLineChars="200"/>
        <w:jc w:val="left"/>
        <w:rPr>
          <w:rFonts w:ascii="宋体" w:hAnsi="宋体" w:cs="Arial"/>
          <w:color w:val="auto"/>
          <w:sz w:val="24"/>
          <w:szCs w:val="24"/>
        </w:rPr>
      </w:pPr>
      <w:r>
        <w:rPr>
          <w:rFonts w:hint="eastAsia" w:ascii="宋体" w:hAnsi="宋体" w:cs="Arial"/>
          <w:color w:val="auto"/>
          <w:sz w:val="24"/>
          <w:szCs w:val="24"/>
        </w:rPr>
        <w:t>投标文件目录及格式要求</w:t>
      </w:r>
    </w:p>
    <w:tbl>
      <w:tblPr>
        <w:tblStyle w:val="16"/>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color w:val="auto"/>
                <w:kern w:val="0"/>
                <w:sz w:val="24"/>
              </w:rPr>
            </w:pPr>
            <w:r>
              <w:rPr>
                <w:rFonts w:hint="eastAsia" w:ascii="宋体" w:hAnsi="宋体" w:cs="宋体"/>
                <w:b/>
                <w:bCs/>
                <w:color w:val="auto"/>
                <w:kern w:val="0"/>
                <w:sz w:val="24"/>
              </w:rPr>
              <w:t>序号</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内容</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r>
              <w:rPr>
                <w:rFonts w:hint="eastAsia" w:ascii="宋体" w:hAnsi="宋体" w:cs="宋体"/>
                <w:b/>
                <w:bCs/>
                <w:color w:val="auto"/>
                <w:kern w:val="0"/>
                <w:sz w:val="24"/>
              </w:rPr>
              <w:t>是否提交</w:t>
            </w: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r>
              <w:rPr>
                <w:rFonts w:hint="eastAsia" w:ascii="宋体" w:hAnsi="宋体" w:cs="宋体"/>
                <w:b/>
                <w:bCs/>
                <w:color w:val="auto"/>
                <w:kern w:val="0"/>
                <w:sz w:val="24"/>
              </w:rPr>
              <w:t>页码范围</w:t>
            </w: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b/>
                <w:bCs/>
                <w:color w:val="auto"/>
                <w:kern w:val="0"/>
                <w:sz w:val="24"/>
              </w:rPr>
              <w:t>一</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color w:val="auto"/>
                <w:kern w:val="0"/>
                <w:sz w:val="24"/>
              </w:rPr>
            </w:pPr>
            <w:r>
              <w:rPr>
                <w:rFonts w:hint="eastAsia" w:ascii="宋体" w:hAnsi="宋体" w:cs="宋体"/>
                <w:b/>
                <w:bCs/>
                <w:color w:val="auto"/>
                <w:kern w:val="0"/>
                <w:sz w:val="24"/>
              </w:rPr>
              <w:t>报价文件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color w:val="auto"/>
                <w:kern w:val="0"/>
                <w:sz w:val="24"/>
              </w:rPr>
            </w:pPr>
            <w:r>
              <w:rPr>
                <w:rFonts w:hint="eastAsia" w:ascii="宋体" w:hAnsi="宋体" w:cs="宋体"/>
                <w:color w:val="auto"/>
                <w:kern w:val="0"/>
                <w:sz w:val="24"/>
              </w:rPr>
              <w:t>1.1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color w:val="auto"/>
                <w:kern w:val="0"/>
                <w:sz w:val="24"/>
              </w:rPr>
            </w:pPr>
            <w:r>
              <w:rPr>
                <w:rFonts w:hint="eastAsia" w:ascii="宋体" w:hAnsi="宋体" w:cs="宋体"/>
                <w:bCs/>
                <w:color w:val="auto"/>
                <w:sz w:val="24"/>
              </w:rPr>
              <w:t>报价一览表（见格式1）</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1.2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default" w:ascii="宋体" w:hAnsi="宋体" w:cs="宋体" w:eastAsiaTheme="minorEastAsia"/>
                <w:bCs/>
                <w:color w:val="auto"/>
                <w:sz w:val="24"/>
                <w:lang w:val="en-US" w:eastAsia="zh-CN"/>
              </w:rPr>
            </w:pPr>
            <w:r>
              <w:rPr>
                <w:rFonts w:hint="eastAsia" w:ascii="宋体" w:hAnsi="宋体" w:cs="宋体"/>
                <w:bCs/>
                <w:color w:val="auto"/>
                <w:sz w:val="24"/>
                <w:lang w:val="en-US" w:eastAsia="zh-CN"/>
              </w:rPr>
              <w:t>报价明细表</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b/>
                <w:bCs/>
                <w:color w:val="auto"/>
                <w:kern w:val="0"/>
                <w:sz w:val="24"/>
              </w:rPr>
              <w:t>二</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b/>
                <w:bCs/>
                <w:color w:val="auto"/>
                <w:kern w:val="0"/>
                <w:sz w:val="24"/>
              </w:rPr>
              <w:t>商务文件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417"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bCs/>
                <w:color w:val="auto"/>
                <w:sz w:val="24"/>
              </w:rPr>
              <w:t>供应商</w:t>
            </w:r>
            <w:r>
              <w:rPr>
                <w:rFonts w:hint="eastAsia" w:ascii="宋体" w:hAnsi="宋体" w:cs="宋体"/>
                <w:color w:val="auto"/>
                <w:kern w:val="0"/>
                <w:sz w:val="24"/>
              </w:rPr>
              <w:t>营业执照复印件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法定代表人证明及授权书(格式3)</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2.3</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供应商调查表(格式4)</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2.4</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lang w:val="en-US" w:eastAsia="zh-CN"/>
              </w:rPr>
              <w:t>投标单位</w:t>
            </w:r>
            <w:r>
              <w:rPr>
                <w:rFonts w:hint="eastAsia" w:ascii="宋体" w:hAnsi="宋体" w:cs="宋体"/>
                <w:color w:val="auto"/>
                <w:kern w:val="0"/>
                <w:sz w:val="24"/>
              </w:rPr>
              <w:t>“信用中国”网站的信用记录查询结果截图或信用信息报告</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2.5</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投标单位声明函(格式5)</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2.6</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auto"/>
                <w:sz w:val="24"/>
              </w:rPr>
            </w:pPr>
            <w:r>
              <w:rPr>
                <w:rFonts w:hint="eastAsia" w:ascii="宋体" w:hAnsi="宋体" w:cs="宋体"/>
                <w:color w:val="auto"/>
                <w:kern w:val="0"/>
                <w:sz w:val="24"/>
              </w:rPr>
              <w:t>拟投入本项目的项目</w:t>
            </w:r>
            <w:r>
              <w:rPr>
                <w:rFonts w:hint="eastAsia" w:ascii="宋体" w:hAnsi="宋体" w:cs="宋体"/>
                <w:color w:val="auto"/>
                <w:kern w:val="0"/>
                <w:sz w:val="24"/>
                <w:lang w:val="en-US" w:eastAsia="zh-CN"/>
              </w:rPr>
              <w:t>团队成员</w:t>
            </w:r>
            <w:r>
              <w:rPr>
                <w:rFonts w:hint="eastAsia" w:ascii="宋体" w:hAnsi="宋体" w:cs="宋体"/>
                <w:color w:val="auto"/>
                <w:kern w:val="0"/>
                <w:sz w:val="24"/>
              </w:rPr>
              <w:t>情况表(格式6)</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ascii="宋体" w:hAnsi="宋体" w:cs="宋体"/>
                <w:color w:val="auto"/>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2.7</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类似项目业绩复印件</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2.8</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color w:val="auto"/>
                <w:kern w:val="0"/>
                <w:sz w:val="24"/>
                <w:highlight w:val="none"/>
              </w:rPr>
            </w:pPr>
            <w:r>
              <w:rPr>
                <w:rFonts w:hint="eastAsia" w:ascii="宋体" w:hAnsi="宋体" w:cs="宋体"/>
                <w:color w:val="auto"/>
                <w:kern w:val="0"/>
                <w:sz w:val="24"/>
                <w:highlight w:val="none"/>
              </w:rPr>
              <w:t>资质证书复印件</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2.9</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color w:val="auto"/>
                <w:kern w:val="0"/>
                <w:sz w:val="24"/>
              </w:rPr>
            </w:pPr>
            <w:r>
              <w:rPr>
                <w:rFonts w:hint="eastAsia" w:ascii="宋体" w:hAnsi="宋体" w:cs="宋体"/>
                <w:color w:val="auto"/>
                <w:kern w:val="0"/>
                <w:sz w:val="24"/>
              </w:rPr>
              <w:t>供应商认为需要提交的其他资料</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b/>
                <w:bCs/>
                <w:color w:val="auto"/>
                <w:kern w:val="0"/>
                <w:sz w:val="24"/>
              </w:rPr>
              <w:t>三</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sz w:val="24"/>
              </w:rPr>
            </w:pPr>
            <w:r>
              <w:rPr>
                <w:rFonts w:hint="eastAsia" w:ascii="宋体" w:hAnsi="宋体" w:cs="宋体"/>
                <w:b/>
                <w:bCs/>
                <w:color w:val="auto"/>
                <w:kern w:val="0"/>
                <w:sz w:val="24"/>
              </w:rPr>
              <w:t>技术方案文件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c>
          <w:tcPr>
            <w:tcW w:w="972"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r>
    </w:tbl>
    <w:p>
      <w:pPr>
        <w:pStyle w:val="4"/>
        <w:rPr>
          <w:rFonts w:hint="eastAsia"/>
          <w:color w:val="auto"/>
          <w:lang w:val="en-US" w:eastAsia="zh-CN"/>
        </w:rPr>
      </w:pPr>
    </w:p>
    <w:p>
      <w:pPr>
        <w:spacing w:line="360" w:lineRule="auto"/>
        <w:jc w:val="center"/>
        <w:rPr>
          <w:rFonts w:hint="eastAsia" w:ascii="宋体" w:hAnsi="宋体"/>
          <w:color w:val="auto"/>
          <w:sz w:val="32"/>
        </w:rPr>
      </w:pPr>
    </w:p>
    <w:p>
      <w:pPr>
        <w:spacing w:line="360" w:lineRule="auto"/>
        <w:jc w:val="center"/>
        <w:rPr>
          <w:rFonts w:hint="eastAsia" w:ascii="宋体" w:hAnsi="宋体"/>
          <w:color w:val="auto"/>
          <w:sz w:val="32"/>
        </w:rPr>
      </w:pPr>
    </w:p>
    <w:p>
      <w:pPr>
        <w:spacing w:line="360" w:lineRule="auto"/>
        <w:jc w:val="center"/>
        <w:rPr>
          <w:rFonts w:hint="eastAsia" w:ascii="宋体" w:hAnsi="宋体"/>
          <w:color w:val="auto"/>
          <w:sz w:val="32"/>
        </w:rPr>
      </w:pPr>
    </w:p>
    <w:p>
      <w:pPr>
        <w:spacing w:line="360" w:lineRule="auto"/>
        <w:jc w:val="center"/>
        <w:rPr>
          <w:rFonts w:hint="eastAsia" w:ascii="宋体" w:hAnsi="宋体"/>
          <w:color w:val="auto"/>
          <w:sz w:val="32"/>
        </w:rPr>
      </w:pPr>
    </w:p>
    <w:p>
      <w:pPr>
        <w:spacing w:line="360" w:lineRule="auto"/>
        <w:jc w:val="center"/>
        <w:rPr>
          <w:rFonts w:hint="eastAsia" w:ascii="宋体" w:hAnsi="宋体"/>
          <w:color w:val="auto"/>
          <w:sz w:val="32"/>
        </w:rPr>
      </w:pPr>
    </w:p>
    <w:p>
      <w:pPr>
        <w:pStyle w:val="4"/>
        <w:rPr>
          <w:rFonts w:hint="eastAsia"/>
          <w:color w:val="auto"/>
        </w:rPr>
      </w:pPr>
    </w:p>
    <w:p>
      <w:pPr>
        <w:pStyle w:val="4"/>
        <w:rPr>
          <w:rFonts w:hint="eastAsia"/>
          <w:color w:val="auto"/>
        </w:rPr>
      </w:pPr>
    </w:p>
    <w:p>
      <w:pPr>
        <w:spacing w:line="360" w:lineRule="auto"/>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一、报价文件1.1</w:t>
      </w:r>
    </w:p>
    <w:p>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格式1</w:t>
      </w:r>
    </w:p>
    <w:p>
      <w:pPr>
        <w:spacing w:line="360" w:lineRule="auto"/>
        <w:jc w:val="center"/>
        <w:rPr>
          <w:rFonts w:ascii="宋体" w:hAnsi="宋体"/>
          <w:color w:val="auto"/>
          <w:sz w:val="32"/>
        </w:rPr>
      </w:pPr>
      <w:r>
        <w:rPr>
          <w:rFonts w:hint="eastAsia" w:ascii="宋体" w:hAnsi="宋体"/>
          <w:color w:val="auto"/>
          <w:sz w:val="32"/>
        </w:rPr>
        <w:t>报价一览表</w:t>
      </w:r>
    </w:p>
    <w:p>
      <w:pPr>
        <w:jc w:val="both"/>
        <w:rPr>
          <w:rFonts w:hint="eastAsia" w:eastAsiaTheme="minorEastAsia"/>
          <w:color w:val="auto"/>
          <w:lang w:eastAsia="zh-CN"/>
        </w:rPr>
      </w:pPr>
      <w:r>
        <w:rPr>
          <w:rFonts w:hint="eastAsia" w:ascii="宋体" w:hAnsi="宋体"/>
          <w:color w:val="auto"/>
        </w:rPr>
        <w:t>项目名称：</w:t>
      </w:r>
      <w:r>
        <w:rPr>
          <w:color w:val="auto"/>
        </w:rPr>
        <w:t xml:space="preserve"> </w:t>
      </w:r>
      <w:r>
        <w:rPr>
          <w:rFonts w:hint="eastAsia"/>
          <w:b/>
          <w:color w:val="auto"/>
          <w:sz w:val="24"/>
          <w:szCs w:val="28"/>
          <w:lang w:eastAsia="zh-CN"/>
        </w:rPr>
        <w:t>智慧运维与节能降耗的冷站控制系统的数字化研究与开发项目</w:t>
      </w:r>
    </w:p>
    <w:tbl>
      <w:tblPr>
        <w:tblStyle w:val="16"/>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color w:val="auto"/>
                <w:sz w:val="24"/>
              </w:rPr>
            </w:pPr>
            <w:r>
              <w:rPr>
                <w:rFonts w:hint="eastAsia" w:hAnsi="宋体"/>
                <w:bCs/>
                <w:color w:val="auto"/>
                <w:sz w:val="24"/>
              </w:rPr>
              <w:t>序号</w:t>
            </w:r>
          </w:p>
        </w:tc>
        <w:tc>
          <w:tcPr>
            <w:tcW w:w="1924" w:type="dxa"/>
            <w:vAlign w:val="center"/>
          </w:tcPr>
          <w:p>
            <w:pPr>
              <w:spacing w:line="360" w:lineRule="auto"/>
              <w:jc w:val="center"/>
              <w:rPr>
                <w:rFonts w:hAnsi="宋体"/>
                <w:bCs/>
                <w:color w:val="auto"/>
                <w:sz w:val="24"/>
              </w:rPr>
            </w:pPr>
            <w:r>
              <w:rPr>
                <w:rFonts w:hint="eastAsia" w:hAnsi="宋体"/>
                <w:bCs/>
                <w:color w:val="auto"/>
                <w:sz w:val="24"/>
              </w:rPr>
              <w:t>项目名称</w:t>
            </w:r>
          </w:p>
        </w:tc>
        <w:tc>
          <w:tcPr>
            <w:tcW w:w="6594" w:type="dxa"/>
            <w:gridSpan w:val="2"/>
            <w:vAlign w:val="center"/>
          </w:tcPr>
          <w:p>
            <w:pPr>
              <w:spacing w:line="360" w:lineRule="auto"/>
              <w:jc w:val="center"/>
              <w:rPr>
                <w:rFonts w:hAnsi="宋体"/>
                <w:bCs/>
                <w:color w:val="auto"/>
                <w:sz w:val="24"/>
              </w:rPr>
            </w:pPr>
            <w:r>
              <w:rPr>
                <w:rFonts w:hint="eastAsia" w:hAnsi="宋体"/>
                <w:bCs/>
                <w:color w:val="auto"/>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color w:val="auto"/>
                <w:sz w:val="24"/>
              </w:rPr>
            </w:pPr>
            <w:r>
              <w:rPr>
                <w:rFonts w:hint="eastAsia" w:hAnsi="宋体"/>
                <w:color w:val="auto"/>
                <w:sz w:val="24"/>
              </w:rPr>
              <w:t>1</w:t>
            </w:r>
          </w:p>
        </w:tc>
        <w:tc>
          <w:tcPr>
            <w:tcW w:w="1924" w:type="dxa"/>
            <w:vAlign w:val="center"/>
          </w:tcPr>
          <w:p>
            <w:pPr>
              <w:spacing w:line="360" w:lineRule="auto"/>
              <w:jc w:val="center"/>
              <w:rPr>
                <w:rFonts w:hAnsi="宋体"/>
                <w:color w:val="auto"/>
                <w:sz w:val="24"/>
              </w:rPr>
            </w:pPr>
            <w:r>
              <w:rPr>
                <w:rFonts w:hint="eastAsia" w:hAnsi="宋体"/>
                <w:color w:val="auto"/>
                <w:sz w:val="24"/>
              </w:rPr>
              <w:t>投标总价（含税）</w:t>
            </w:r>
          </w:p>
        </w:tc>
        <w:tc>
          <w:tcPr>
            <w:tcW w:w="6594" w:type="dxa"/>
            <w:gridSpan w:val="2"/>
            <w:vAlign w:val="center"/>
          </w:tcPr>
          <w:p>
            <w:pPr>
              <w:spacing w:line="360" w:lineRule="auto"/>
              <w:rPr>
                <w:rFonts w:hAnsi="宋体"/>
                <w:color w:val="auto"/>
                <w:sz w:val="24"/>
              </w:rPr>
            </w:pPr>
            <w:r>
              <w:rPr>
                <w:rFonts w:hint="eastAsia" w:ascii="宋体" w:hAnsi="宋体"/>
                <w:color w:val="auto"/>
                <w:sz w:val="24"/>
              </w:rPr>
              <w:t>大写</w:t>
            </w:r>
            <w:r>
              <w:rPr>
                <w:rFonts w:hint="eastAsia" w:hAnsi="宋体"/>
                <w:color w:val="auto"/>
                <w:sz w:val="24"/>
              </w:rPr>
              <w:t>：</w:t>
            </w:r>
          </w:p>
          <w:p>
            <w:pPr>
              <w:spacing w:line="360" w:lineRule="auto"/>
              <w:rPr>
                <w:rFonts w:hAnsi="宋体"/>
                <w:color w:val="auto"/>
                <w:sz w:val="24"/>
              </w:rPr>
            </w:pPr>
            <w:r>
              <w:rPr>
                <w:rFonts w:hint="eastAsia" w:hAnsi="宋体"/>
                <w:color w:val="auto"/>
                <w:sz w:val="24"/>
              </w:rPr>
              <w:t>小写：</w:t>
            </w:r>
          </w:p>
          <w:p>
            <w:pPr>
              <w:spacing w:line="360" w:lineRule="auto"/>
              <w:rPr>
                <w:rFonts w:hAnsi="宋体"/>
                <w:color w:val="auto"/>
                <w:sz w:val="24"/>
              </w:rPr>
            </w:pPr>
            <w:r>
              <w:rPr>
                <w:rFonts w:hint="eastAsia" w:hAnsi="宋体"/>
                <w:color w:val="auto"/>
                <w:sz w:val="24"/>
                <w:lang w:val="en-US" w:eastAsia="zh-CN"/>
              </w:rPr>
              <w:t>含</w:t>
            </w:r>
            <w:r>
              <w:rPr>
                <w:rFonts w:hint="eastAsia" w:hAnsi="宋体"/>
                <w:color w:val="auto"/>
                <w:sz w:val="24"/>
              </w:rPr>
              <w:t>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color w:val="auto"/>
                <w:sz w:val="24"/>
              </w:rPr>
            </w:pPr>
            <w:r>
              <w:rPr>
                <w:rFonts w:hint="eastAsia" w:hAnsi="宋体"/>
                <w:color w:val="auto"/>
                <w:sz w:val="24"/>
              </w:rPr>
              <w:t>2</w:t>
            </w:r>
          </w:p>
        </w:tc>
        <w:tc>
          <w:tcPr>
            <w:tcW w:w="4334" w:type="dxa"/>
            <w:gridSpan w:val="2"/>
            <w:vAlign w:val="center"/>
          </w:tcPr>
          <w:p>
            <w:pPr>
              <w:spacing w:line="360" w:lineRule="auto"/>
              <w:jc w:val="center"/>
              <w:rPr>
                <w:rFonts w:hAnsi="宋体"/>
                <w:color w:val="auto"/>
                <w:sz w:val="24"/>
                <w:highlight w:val="yellow"/>
              </w:rPr>
            </w:pPr>
            <w:r>
              <w:rPr>
                <w:rFonts w:hint="eastAsia" w:hAnsi="宋体"/>
                <w:color w:val="auto"/>
                <w:sz w:val="24"/>
                <w:highlight w:val="none"/>
              </w:rPr>
              <w:t>投标工期</w:t>
            </w:r>
          </w:p>
        </w:tc>
        <w:tc>
          <w:tcPr>
            <w:tcW w:w="4184" w:type="dxa"/>
            <w:vAlign w:val="center"/>
          </w:tcPr>
          <w:p>
            <w:pPr>
              <w:spacing w:line="360" w:lineRule="auto"/>
              <w:rPr>
                <w:rFonts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int="eastAsia" w:hAnsi="宋体" w:eastAsiaTheme="minorEastAsia"/>
                <w:color w:val="auto"/>
                <w:sz w:val="24"/>
                <w:lang w:val="en-US" w:eastAsia="zh-CN"/>
              </w:rPr>
            </w:pPr>
            <w:r>
              <w:rPr>
                <w:rFonts w:hint="eastAsia" w:hAnsi="宋体"/>
                <w:color w:val="auto"/>
                <w:sz w:val="24"/>
                <w:lang w:val="en-US" w:eastAsia="zh-CN"/>
              </w:rPr>
              <w:t>3</w:t>
            </w:r>
          </w:p>
        </w:tc>
        <w:tc>
          <w:tcPr>
            <w:tcW w:w="4334" w:type="dxa"/>
            <w:gridSpan w:val="2"/>
            <w:vAlign w:val="center"/>
          </w:tcPr>
          <w:p>
            <w:pPr>
              <w:spacing w:line="360" w:lineRule="auto"/>
              <w:jc w:val="center"/>
              <w:rPr>
                <w:rFonts w:hint="eastAsia" w:hAnsi="宋体" w:eastAsiaTheme="minorEastAsia"/>
                <w:color w:val="auto"/>
                <w:sz w:val="24"/>
                <w:highlight w:val="none"/>
                <w:lang w:val="en-US" w:eastAsia="zh-CN"/>
              </w:rPr>
            </w:pPr>
            <w:r>
              <w:rPr>
                <w:rFonts w:hint="eastAsia" w:hAnsi="宋体"/>
                <w:color w:val="auto"/>
                <w:sz w:val="24"/>
                <w:highlight w:val="none"/>
                <w:lang w:val="en-US" w:eastAsia="zh-CN"/>
              </w:rPr>
              <w:t>质保期</w:t>
            </w:r>
          </w:p>
        </w:tc>
        <w:tc>
          <w:tcPr>
            <w:tcW w:w="4184" w:type="dxa"/>
            <w:vAlign w:val="center"/>
          </w:tcPr>
          <w:p>
            <w:pPr>
              <w:spacing w:line="360" w:lineRule="auto"/>
              <w:rPr>
                <w:rFonts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color w:val="auto"/>
                <w:sz w:val="24"/>
              </w:rPr>
            </w:pPr>
            <w:r>
              <w:rPr>
                <w:rFonts w:hint="eastAsia" w:hAnsi="宋体"/>
                <w:color w:val="auto"/>
                <w:sz w:val="24"/>
              </w:rPr>
              <w:t>3</w:t>
            </w:r>
          </w:p>
        </w:tc>
        <w:tc>
          <w:tcPr>
            <w:tcW w:w="1924" w:type="dxa"/>
            <w:vMerge w:val="restart"/>
            <w:vAlign w:val="center"/>
          </w:tcPr>
          <w:p>
            <w:pPr>
              <w:spacing w:line="360" w:lineRule="auto"/>
              <w:jc w:val="center"/>
              <w:rPr>
                <w:rFonts w:hAnsi="宋体"/>
                <w:color w:val="auto"/>
                <w:sz w:val="24"/>
              </w:rPr>
            </w:pPr>
            <w:r>
              <w:rPr>
                <w:rFonts w:hint="eastAsia" w:hAnsi="宋体"/>
                <w:color w:val="auto"/>
                <w:sz w:val="24"/>
              </w:rPr>
              <w:t>拟委派的项目</w:t>
            </w:r>
          </w:p>
          <w:p>
            <w:pPr>
              <w:spacing w:line="360" w:lineRule="auto"/>
              <w:jc w:val="center"/>
              <w:rPr>
                <w:rFonts w:hAnsi="宋体"/>
                <w:color w:val="auto"/>
                <w:sz w:val="24"/>
              </w:rPr>
            </w:pPr>
            <w:r>
              <w:rPr>
                <w:rFonts w:hint="eastAsia" w:hAnsi="宋体"/>
                <w:color w:val="auto"/>
                <w:sz w:val="24"/>
              </w:rPr>
              <w:t>负责人</w:t>
            </w:r>
          </w:p>
        </w:tc>
        <w:tc>
          <w:tcPr>
            <w:tcW w:w="2410" w:type="dxa"/>
            <w:vAlign w:val="center"/>
          </w:tcPr>
          <w:p>
            <w:pPr>
              <w:spacing w:line="360" w:lineRule="auto"/>
              <w:jc w:val="center"/>
              <w:rPr>
                <w:rFonts w:hAnsi="宋体"/>
                <w:color w:val="auto"/>
                <w:sz w:val="24"/>
              </w:rPr>
            </w:pPr>
            <w:r>
              <w:rPr>
                <w:rFonts w:hint="eastAsia" w:hAnsi="宋体"/>
                <w:color w:val="auto"/>
                <w:sz w:val="24"/>
              </w:rPr>
              <w:t>姓名</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主要工作经验</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联系方式</w:t>
            </w:r>
          </w:p>
        </w:tc>
        <w:tc>
          <w:tcPr>
            <w:tcW w:w="4184" w:type="dxa"/>
            <w:vAlign w:val="center"/>
          </w:tcPr>
          <w:p>
            <w:pPr>
              <w:spacing w:line="360" w:lineRule="auto"/>
              <w:jc w:val="center"/>
              <w:rPr>
                <w:rFonts w:hAnsi="宋体"/>
                <w:color w:val="auto"/>
                <w:sz w:val="24"/>
              </w:rPr>
            </w:pPr>
          </w:p>
        </w:tc>
      </w:tr>
    </w:tbl>
    <w:p>
      <w:pPr>
        <w:spacing w:line="360" w:lineRule="auto"/>
        <w:ind w:firstLine="440"/>
        <w:rPr>
          <w:rFonts w:hAnsi="宋体"/>
          <w:color w:val="auto"/>
        </w:rPr>
      </w:pPr>
      <w:r>
        <w:rPr>
          <w:rFonts w:hint="eastAsia" w:hAnsi="宋体"/>
          <w:color w:val="auto"/>
        </w:rPr>
        <w:t>注：（1）投标总价为人民币报价。</w:t>
      </w:r>
    </w:p>
    <w:p>
      <w:pPr>
        <w:pStyle w:val="18"/>
        <w:spacing w:line="360" w:lineRule="auto"/>
        <w:rPr>
          <w:rFonts w:ascii="宋体" w:hAnsi="宋体"/>
          <w:color w:val="auto"/>
          <w:sz w:val="24"/>
        </w:rPr>
      </w:pPr>
      <w:r>
        <w:rPr>
          <w:rFonts w:hint="eastAsia" w:hAnsi="宋体"/>
          <w:color w:val="auto"/>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color w:val="auto"/>
        </w:rPr>
      </w:pPr>
      <w:r>
        <w:rPr>
          <w:rFonts w:hint="eastAsia" w:hAnsi="宋体"/>
          <w:color w:val="auto"/>
        </w:rPr>
        <w:t>（3）若用小写表示的金额和用大写表示的金额不一致，以大写表示的金额为准。</w:t>
      </w:r>
    </w:p>
    <w:p>
      <w:pPr>
        <w:spacing w:before="93" w:beforeLines="30" w:line="400" w:lineRule="exact"/>
        <w:ind w:firstLine="3780" w:firstLineChars="1800"/>
        <w:rPr>
          <w:rFonts w:hAnsi="宋体"/>
          <w:color w:val="auto"/>
        </w:rPr>
      </w:pPr>
      <w:r>
        <w:rPr>
          <w:rFonts w:hint="eastAsia" w:hAnsi="宋体"/>
          <w:color w:val="auto"/>
        </w:rPr>
        <w:t>供应商名称（盖章）：</w:t>
      </w:r>
    </w:p>
    <w:p>
      <w:pPr>
        <w:spacing w:before="93" w:beforeLines="30" w:line="400" w:lineRule="exact"/>
        <w:ind w:firstLine="3360" w:firstLineChars="1600"/>
        <w:rPr>
          <w:rFonts w:hint="eastAsia" w:hAnsi="宋体"/>
          <w:color w:val="auto"/>
        </w:rPr>
      </w:pPr>
      <w:r>
        <w:rPr>
          <w:rFonts w:hint="eastAsia" w:hAnsi="宋体"/>
          <w:color w:val="auto"/>
        </w:rPr>
        <w:t>日期：   年   月    日</w:t>
      </w:r>
    </w:p>
    <w:p>
      <w:pPr>
        <w:pStyle w:val="4"/>
        <w:rPr>
          <w:rFonts w:hint="eastAsia" w:hAnsi="宋体"/>
          <w:color w:val="auto"/>
        </w:rPr>
      </w:pPr>
    </w:p>
    <w:p>
      <w:pPr>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br w:type="page"/>
      </w:r>
    </w:p>
    <w:p>
      <w:pPr>
        <w:pStyle w:val="4"/>
        <w:rPr>
          <w:rFonts w:hint="default" w:ascii="宋体" w:hAnsi="宋体" w:cs="宋体" w:eastAsiaTheme="minorEastAsia"/>
          <w:b/>
          <w:bCs/>
          <w:color w:val="auto"/>
          <w:kern w:val="0"/>
          <w:sz w:val="24"/>
          <w:lang w:val="en-US" w:eastAsia="zh-CN"/>
        </w:rPr>
      </w:pPr>
      <w:r>
        <w:rPr>
          <w:rFonts w:hint="eastAsia" w:ascii="宋体" w:hAnsi="宋体" w:cs="宋体"/>
          <w:b/>
          <w:bCs/>
          <w:color w:val="auto"/>
          <w:kern w:val="0"/>
          <w:sz w:val="24"/>
          <w:lang w:val="en-US" w:eastAsia="zh-CN"/>
        </w:rPr>
        <w:t>1.2报价明细表</w:t>
      </w:r>
    </w:p>
    <w:p>
      <w:r>
        <w:br w:type="page"/>
      </w:r>
    </w:p>
    <w:p>
      <w:pPr>
        <w:pStyle w:val="4"/>
      </w:pPr>
    </w:p>
    <w:p>
      <w:pPr>
        <w:numPr>
          <w:ilvl w:val="0"/>
          <w:numId w:val="35"/>
        </w:numPr>
        <w:rPr>
          <w:rFonts w:ascii="宋体" w:hAnsi="宋体" w:cs="宋体"/>
          <w:b/>
          <w:bCs/>
          <w:color w:val="auto"/>
          <w:kern w:val="0"/>
          <w:sz w:val="24"/>
        </w:rPr>
      </w:pPr>
      <w:r>
        <w:rPr>
          <w:rFonts w:hint="eastAsia" w:ascii="宋体" w:hAnsi="宋体" w:cs="Arial"/>
          <w:color w:val="auto"/>
          <w:sz w:val="24"/>
          <w:szCs w:val="24"/>
        </w:rPr>
        <w:t>商务</w:t>
      </w:r>
      <w:r>
        <w:rPr>
          <w:rFonts w:hint="eastAsia" w:ascii="宋体" w:hAnsi="宋体" w:cs="宋体"/>
          <w:b/>
          <w:bCs/>
          <w:color w:val="auto"/>
          <w:kern w:val="0"/>
          <w:sz w:val="24"/>
          <w:szCs w:val="24"/>
        </w:rPr>
        <w:t>文件</w:t>
      </w:r>
    </w:p>
    <w:p>
      <w:pPr>
        <w:pStyle w:val="2"/>
        <w:rPr>
          <w:rFonts w:hint="eastAsia" w:ascii="宋体" w:hAnsi="宋体" w:cs="宋体"/>
          <w:b/>
          <w:bCs/>
          <w:color w:val="auto"/>
          <w:kern w:val="0"/>
          <w:sz w:val="24"/>
          <w:szCs w:val="24"/>
        </w:rPr>
      </w:pPr>
    </w:p>
    <w:p>
      <w:pPr>
        <w:pStyle w:val="2"/>
        <w:rPr>
          <w:rFonts w:hint="eastAsia" w:ascii="宋体" w:hAnsi="宋体" w:cs="宋体"/>
          <w:color w:val="auto"/>
          <w:kern w:val="0"/>
          <w:sz w:val="24"/>
        </w:rPr>
      </w:pPr>
      <w:r>
        <w:rPr>
          <w:rFonts w:hint="eastAsia" w:ascii="宋体" w:hAnsi="宋体" w:cs="宋体"/>
          <w:bCs/>
          <w:color w:val="auto"/>
          <w:sz w:val="24"/>
          <w:lang w:val="en-US" w:eastAsia="zh-CN"/>
        </w:rPr>
        <w:t>2.1</w:t>
      </w:r>
      <w:r>
        <w:rPr>
          <w:rFonts w:hint="eastAsia" w:ascii="宋体" w:hAnsi="宋体" w:cs="宋体"/>
          <w:bCs/>
          <w:color w:val="auto"/>
          <w:sz w:val="24"/>
        </w:rPr>
        <w:t>供应商</w:t>
      </w:r>
      <w:r>
        <w:rPr>
          <w:rFonts w:hint="eastAsia" w:ascii="宋体" w:hAnsi="宋体" w:cs="宋体"/>
          <w:color w:val="auto"/>
          <w:kern w:val="0"/>
          <w:sz w:val="24"/>
        </w:rPr>
        <w:t>营业执照复印件</w:t>
      </w:r>
    </w:p>
    <w:p>
      <w:pPr>
        <w:pStyle w:val="2"/>
        <w:rPr>
          <w:rFonts w:hint="eastAsia" w:ascii="宋体" w:hAnsi="宋体" w:cs="宋体"/>
          <w:color w:val="auto"/>
          <w:kern w:val="0"/>
          <w:sz w:val="24"/>
        </w:rPr>
      </w:pPr>
    </w:p>
    <w:p>
      <w:pPr>
        <w:pStyle w:val="2"/>
        <w:rPr>
          <w:rFonts w:hint="eastAsia" w:ascii="宋体" w:hAnsi="宋体" w:cs="宋体"/>
          <w:color w:val="auto"/>
          <w:kern w:val="0"/>
          <w:sz w:val="24"/>
        </w:rPr>
      </w:pPr>
    </w:p>
    <w:p>
      <w:pPr>
        <w:pStyle w:val="2"/>
        <w:rPr>
          <w:rFonts w:hint="eastAsia" w:ascii="宋体" w:hAnsi="宋体" w:cs="宋体"/>
          <w:color w:val="auto"/>
          <w:kern w:val="0"/>
          <w:sz w:val="24"/>
        </w:rPr>
      </w:pPr>
    </w:p>
    <w:p>
      <w:pPr>
        <w:pStyle w:val="2"/>
        <w:rPr>
          <w:rFonts w:hint="eastAsia" w:ascii="宋体" w:hAnsi="宋体" w:cs="宋体"/>
          <w:color w:val="auto"/>
          <w:kern w:val="0"/>
          <w:sz w:val="24"/>
        </w:rPr>
      </w:pPr>
    </w:p>
    <w:p>
      <w:pPr>
        <w:pStyle w:val="2"/>
        <w:rPr>
          <w:rFonts w:hint="eastAsia" w:ascii="宋体" w:hAnsi="宋体" w:cs="宋体"/>
          <w:color w:val="auto"/>
          <w:kern w:val="0"/>
          <w:sz w:val="24"/>
        </w:rPr>
      </w:pPr>
    </w:p>
    <w:p>
      <w:pPr>
        <w:spacing w:line="360" w:lineRule="auto"/>
        <w:rPr>
          <w:rFonts w:ascii="宋体" w:hAnsi="宋体" w:cs="宋体"/>
          <w:b/>
          <w:bCs/>
          <w:color w:val="auto"/>
          <w:sz w:val="24"/>
        </w:rPr>
      </w:pPr>
      <w:r>
        <w:rPr>
          <w:rFonts w:hint="eastAsia" w:ascii="宋体" w:hAnsi="宋体" w:cs="宋体"/>
          <w:b/>
          <w:bCs/>
          <w:color w:val="auto"/>
          <w:sz w:val="24"/>
        </w:rPr>
        <w:t>格式3.法定代表人/负责人证明或授权委托书</w:t>
      </w:r>
    </w:p>
    <w:p>
      <w:pPr>
        <w:spacing w:line="360" w:lineRule="auto"/>
        <w:rPr>
          <w:rFonts w:ascii="宋体" w:hAnsi="宋体" w:cs="宋体"/>
          <w:color w:val="auto"/>
          <w:sz w:val="24"/>
        </w:rPr>
      </w:pPr>
      <w:r>
        <w:rPr>
          <w:rFonts w:hint="eastAsia" w:ascii="宋体" w:hAnsi="宋体" w:cs="宋体"/>
          <w:color w:val="auto"/>
          <w:sz w:val="24"/>
        </w:rPr>
        <w:t>2.2.1法定代表人/负责人证明格式</w:t>
      </w:r>
    </w:p>
    <w:p>
      <w:pPr>
        <w:spacing w:line="500" w:lineRule="exact"/>
        <w:jc w:val="center"/>
        <w:rPr>
          <w:rFonts w:ascii="宋体" w:hAnsi="宋体" w:cs="宋体"/>
          <w:b/>
          <w:bCs/>
          <w:color w:val="auto"/>
          <w:sz w:val="24"/>
        </w:rPr>
      </w:pPr>
      <w:r>
        <w:rPr>
          <w:rFonts w:hint="eastAsia" w:ascii="宋体" w:hAnsi="宋体" w:cs="宋体"/>
          <w:b/>
          <w:bCs/>
          <w:color w:val="auto"/>
          <w:sz w:val="24"/>
        </w:rPr>
        <w:t>法定代表人身份证明书</w:t>
      </w:r>
    </w:p>
    <w:p>
      <w:pPr>
        <w:spacing w:line="500" w:lineRule="exact"/>
        <w:ind w:firstLine="960" w:firstLineChars="400"/>
        <w:rPr>
          <w:rFonts w:ascii="宋体" w:hAnsi="宋体" w:cs="宋体"/>
          <w:color w:val="auto"/>
          <w:sz w:val="24"/>
        </w:rPr>
      </w:pPr>
      <w:r>
        <w:rPr>
          <w:rFonts w:hint="eastAsia" w:ascii="宋体" w:hAnsi="宋体" w:cs="宋体"/>
          <w:color w:val="auto"/>
          <w:sz w:val="24"/>
        </w:rPr>
        <w:t>在我单位任</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职务，是我单位法定代表人，身份证号为</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，特此证明。</w:t>
      </w:r>
    </w:p>
    <w:p>
      <w:pPr>
        <w:spacing w:line="500" w:lineRule="exact"/>
        <w:ind w:firstLine="537" w:firstLineChars="224"/>
        <w:rPr>
          <w:rFonts w:ascii="宋体" w:hAnsi="宋体" w:cs="宋体"/>
          <w:color w:val="auto"/>
          <w:sz w:val="24"/>
        </w:rPr>
      </w:pPr>
    </w:p>
    <w:p>
      <w:pPr>
        <w:spacing w:line="500" w:lineRule="exact"/>
        <w:jc w:val="left"/>
        <w:rPr>
          <w:rFonts w:ascii="宋体" w:hAnsi="宋体" w:cs="宋体"/>
          <w:color w:val="auto"/>
          <w:sz w:val="24"/>
        </w:rPr>
      </w:pPr>
      <w:r>
        <w:rPr>
          <w:rFonts w:hint="eastAsia" w:ascii="宋体" w:hAnsi="宋体" w:cs="宋体"/>
          <w:color w:val="auto"/>
          <w:sz w:val="24"/>
        </w:rPr>
        <w:t>（单位盖章）</w:t>
      </w:r>
    </w:p>
    <w:p>
      <w:pPr>
        <w:spacing w:line="500" w:lineRule="exact"/>
        <w:ind w:firstLine="537" w:firstLineChars="224"/>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日期：202</w:t>
      </w:r>
      <w:r>
        <w:rPr>
          <w:rFonts w:hint="eastAsia" w:ascii="宋体" w:hAnsi="宋体" w:cs="宋体"/>
          <w:color w:val="auto"/>
          <w:sz w:val="24"/>
          <w:lang w:val="en-US" w:eastAsia="zh-CN"/>
        </w:rPr>
        <w:t>5</w:t>
      </w:r>
      <w:r>
        <w:rPr>
          <w:rFonts w:hint="eastAsia" w:ascii="宋体" w:hAnsi="宋体" w:cs="宋体"/>
          <w:color w:val="auto"/>
          <w:sz w:val="24"/>
        </w:rPr>
        <w:t xml:space="preserve">年 </w:t>
      </w:r>
      <w:r>
        <w:rPr>
          <w:rFonts w:ascii="宋体" w:hAnsi="宋体" w:cs="宋体"/>
          <w:color w:val="auto"/>
          <w:sz w:val="24"/>
        </w:rPr>
        <w:t xml:space="preserve">  </w:t>
      </w:r>
      <w:r>
        <w:rPr>
          <w:rFonts w:hint="eastAsia" w:ascii="宋体" w:hAnsi="宋体" w:cs="宋体"/>
          <w:color w:val="auto"/>
          <w:sz w:val="24"/>
        </w:rPr>
        <w:t xml:space="preserve">月 </w:t>
      </w:r>
      <w:r>
        <w:rPr>
          <w:rFonts w:ascii="宋体" w:hAnsi="宋体" w:cs="宋体"/>
          <w:color w:val="auto"/>
          <w:sz w:val="24"/>
        </w:rPr>
        <w:t xml:space="preserve"> </w:t>
      </w:r>
      <w:r>
        <w:rPr>
          <w:rFonts w:hint="eastAsia" w:ascii="宋体" w:hAnsi="宋体" w:cs="宋体"/>
          <w:color w:val="auto"/>
          <w:sz w:val="24"/>
        </w:rPr>
        <w:t>日</w:t>
      </w:r>
    </w:p>
    <w:p>
      <w:pPr>
        <w:spacing w:line="500" w:lineRule="exact"/>
        <w:rPr>
          <w:rFonts w:ascii="宋体" w:hAnsi="宋体" w:cs="宋体"/>
          <w:color w:val="auto"/>
          <w:sz w:val="24"/>
        </w:rPr>
      </w:pPr>
      <w:r>
        <w:rPr>
          <w:rFonts w:hint="eastAsia" w:ascii="宋体" w:hAnsi="宋体" w:cs="宋体"/>
          <w:color w:val="auto"/>
          <w:sz w:val="24"/>
        </w:rPr>
        <w:t xml:space="preserve">单位通信地址：                                </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邮政编码：                 单位联系电话：   </w:t>
      </w:r>
    </w:p>
    <w:p>
      <w:pPr>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附：法人代表身份证正反面或其他身份证明材料复印件</w:t>
      </w:r>
    </w:p>
    <w:p>
      <w:pPr>
        <w:pStyle w:val="31"/>
        <w:snapToGrid w:val="0"/>
        <w:spacing w:line="540" w:lineRule="exact"/>
        <w:ind w:firstLine="2930" w:firstLineChars="1221"/>
        <w:rPr>
          <w:rFonts w:hAnsi="宋体"/>
          <w:color w:val="auto"/>
        </w:rPr>
      </w:pPr>
      <w:r>
        <w:rPr>
          <w:rFonts w:hint="eastAsia" w:hAnsi="宋体"/>
          <w:color w:val="auto"/>
        </w:rPr>
        <w:t>供应商：</w:t>
      </w:r>
      <w:r>
        <w:rPr>
          <w:rFonts w:hint="eastAsia" w:hAnsi="宋体"/>
          <w:color w:val="auto"/>
          <w:u w:val="single"/>
        </w:rPr>
        <w:t xml:space="preserve">       (盖单位章)      </w:t>
      </w:r>
    </w:p>
    <w:p>
      <w:pPr>
        <w:widowControl/>
        <w:adjustRightInd w:val="0"/>
        <w:snapToGrid w:val="0"/>
        <w:spacing w:line="540" w:lineRule="exact"/>
        <w:jc w:val="right"/>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30" w:type="dxa"/>
            <w:vAlign w:val="center"/>
          </w:tcPr>
          <w:p>
            <w:pPr>
              <w:pStyle w:val="9"/>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9"/>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4530" w:type="dxa"/>
          </w:tcPr>
          <w:p>
            <w:pPr>
              <w:pStyle w:val="9"/>
              <w:spacing w:line="240" w:lineRule="auto"/>
              <w:ind w:firstLine="0"/>
              <w:jc w:val="center"/>
              <w:rPr>
                <w:rFonts w:ascii="宋体" w:hAnsi="宋体" w:eastAsia="宋体" w:cs="宋体"/>
                <w:color w:val="auto"/>
                <w:sz w:val="24"/>
              </w:rPr>
            </w:pPr>
          </w:p>
        </w:tc>
        <w:tc>
          <w:tcPr>
            <w:tcW w:w="4530" w:type="dxa"/>
          </w:tcPr>
          <w:p>
            <w:pPr>
              <w:pStyle w:val="9"/>
              <w:spacing w:line="240" w:lineRule="auto"/>
              <w:ind w:firstLine="0"/>
              <w:jc w:val="center"/>
              <w:rPr>
                <w:rFonts w:ascii="宋体" w:hAnsi="宋体" w:eastAsia="宋体" w:cs="宋体"/>
                <w:color w:val="auto"/>
                <w:sz w:val="24"/>
              </w:rPr>
            </w:pPr>
          </w:p>
        </w:tc>
      </w:tr>
    </w:tbl>
    <w:p>
      <w:pPr>
        <w:spacing w:line="360" w:lineRule="auto"/>
        <w:rPr>
          <w:rFonts w:ascii="宋体" w:hAnsi="宋体" w:cs="宋体"/>
          <w:color w:val="auto"/>
          <w:sz w:val="24"/>
        </w:rPr>
      </w:pPr>
      <w:r>
        <w:rPr>
          <w:rFonts w:hint="eastAsia" w:ascii="宋体" w:hAnsi="宋体" w:cs="宋体"/>
          <w:color w:val="auto"/>
          <w:kern w:val="0"/>
          <w:sz w:val="24"/>
        </w:rPr>
        <w:br w:type="page"/>
      </w:r>
      <w:r>
        <w:rPr>
          <w:rFonts w:hint="eastAsia" w:ascii="宋体" w:hAnsi="宋体" w:cs="宋体"/>
          <w:color w:val="auto"/>
          <w:kern w:val="0"/>
          <w:sz w:val="24"/>
        </w:rPr>
        <w:t>2</w:t>
      </w:r>
      <w:r>
        <w:rPr>
          <w:rFonts w:hint="eastAsia" w:ascii="宋体" w:hAnsi="宋体" w:cs="宋体"/>
          <w:color w:val="auto"/>
          <w:sz w:val="24"/>
        </w:rPr>
        <w:t>.2.2法人授权委托书</w:t>
      </w:r>
    </w:p>
    <w:p>
      <w:pPr>
        <w:spacing w:line="500" w:lineRule="exact"/>
        <w:ind w:firstLine="1446" w:firstLineChars="600"/>
        <w:rPr>
          <w:rFonts w:ascii="宋体" w:hAnsi="宋体" w:cs="宋体"/>
          <w:b/>
          <w:bCs/>
          <w:color w:val="auto"/>
          <w:sz w:val="24"/>
        </w:rPr>
      </w:pPr>
      <w:r>
        <w:rPr>
          <w:rFonts w:hint="eastAsia" w:ascii="宋体" w:hAnsi="宋体" w:cs="宋体"/>
          <w:b/>
          <w:bCs/>
          <w:color w:val="auto"/>
          <w:sz w:val="24"/>
        </w:rPr>
        <w:t>法定代表人授权委托证明书</w:t>
      </w:r>
    </w:p>
    <w:p>
      <w:pPr>
        <w:pStyle w:val="26"/>
        <w:spacing w:line="360" w:lineRule="auto"/>
        <w:ind w:firstLine="424" w:firstLineChars="177"/>
        <w:rPr>
          <w:rFonts w:hAnsi="宋体" w:cs="宋体"/>
          <w:bCs/>
          <w:color w:val="auto"/>
          <w:sz w:val="24"/>
          <w:szCs w:val="24"/>
        </w:rPr>
      </w:pPr>
    </w:p>
    <w:p>
      <w:pPr>
        <w:spacing w:before="120" w:beforeLines="50" w:after="120" w:afterLines="50"/>
        <w:ind w:right="600" w:firstLine="480" w:firstLineChars="200"/>
        <w:rPr>
          <w:rFonts w:hAnsi="宋体" w:cs="宋体"/>
          <w:color w:val="auto"/>
          <w:sz w:val="24"/>
        </w:rPr>
      </w:pPr>
      <w:r>
        <w:rPr>
          <w:rFonts w:hint="eastAsia" w:hAnsi="宋体" w:cs="宋体"/>
          <w:bCs/>
          <w:color w:val="auto"/>
          <w:sz w:val="24"/>
        </w:rPr>
        <w:t>兹授权（委托代理人姓名）为我方委托代理人，其权限是：</w:t>
      </w:r>
      <w:r>
        <w:rPr>
          <w:rFonts w:hint="eastAsia" w:hAnsi="宋体" w:cs="宋体"/>
          <w:color w:val="auto"/>
          <w:sz w:val="24"/>
        </w:rPr>
        <w:t>办理                       广州城投综合能源投资经营管理有限公司组织的“</w:t>
      </w:r>
      <w:r>
        <w:rPr>
          <w:rFonts w:hint="eastAsia" w:hAnsi="宋体" w:cs="宋体"/>
          <w:color w:val="auto"/>
          <w:sz w:val="24"/>
          <w:lang w:eastAsia="zh-CN"/>
        </w:rPr>
        <w:t>智慧运维与节能降耗的冷站控制系统的数字化研究与开发项目</w:t>
      </w:r>
      <w:r>
        <w:rPr>
          <w:rFonts w:hint="eastAsia" w:hAnsi="宋体" w:cs="宋体"/>
          <w:color w:val="auto"/>
          <w:sz w:val="24"/>
        </w:rPr>
        <w:t>”的投标和合同执行，以我方的名义处理一切与之有关的事宜。</w:t>
      </w:r>
    </w:p>
    <w:p>
      <w:pPr>
        <w:pStyle w:val="26"/>
        <w:spacing w:line="360" w:lineRule="auto"/>
        <w:ind w:firstLine="480" w:firstLineChars="200"/>
        <w:rPr>
          <w:rFonts w:hAnsi="宋体" w:cs="宋体"/>
          <w:bCs/>
          <w:color w:val="auto"/>
          <w:sz w:val="24"/>
          <w:szCs w:val="24"/>
        </w:rPr>
      </w:pPr>
      <w:r>
        <w:rPr>
          <w:rFonts w:hint="eastAsia" w:hAnsi="宋体" w:cs="宋体"/>
          <w:color w:val="auto"/>
          <w:sz w:val="24"/>
          <w:szCs w:val="24"/>
          <w:lang w:val="en-GB"/>
        </w:rPr>
        <w:t>本</w:t>
      </w:r>
      <w:r>
        <w:rPr>
          <w:rFonts w:hint="eastAsia" w:hAnsi="宋体" w:cs="宋体"/>
          <w:color w:val="auto"/>
          <w:sz w:val="24"/>
          <w:szCs w:val="24"/>
        </w:rPr>
        <w:t>授权书</w:t>
      </w:r>
      <w:r>
        <w:rPr>
          <w:rFonts w:hint="eastAsia" w:hAnsi="宋体" w:cs="宋体"/>
          <w:color w:val="auto"/>
          <w:sz w:val="24"/>
          <w:szCs w:val="24"/>
          <w:lang w:val="en-GB"/>
        </w:rPr>
        <w:t>自</w:t>
      </w:r>
      <w:r>
        <w:rPr>
          <w:rFonts w:hint="eastAsia" w:hAnsi="宋体" w:cs="宋体"/>
          <w:color w:val="auto"/>
          <w:sz w:val="24"/>
          <w:szCs w:val="24"/>
        </w:rPr>
        <w:t>年月日</w:t>
      </w:r>
      <w:r>
        <w:rPr>
          <w:rFonts w:hint="eastAsia" w:hAnsi="宋体" w:cs="宋体"/>
          <w:color w:val="auto"/>
          <w:sz w:val="24"/>
          <w:szCs w:val="24"/>
          <w:lang w:val="en-GB"/>
        </w:rPr>
        <w:t>签章之日起生效，特此声明。</w:t>
      </w:r>
    </w:p>
    <w:p>
      <w:pPr>
        <w:pStyle w:val="26"/>
        <w:spacing w:line="360" w:lineRule="auto"/>
        <w:ind w:firstLine="480" w:firstLineChars="200"/>
        <w:rPr>
          <w:rFonts w:hAnsi="宋体" w:cs="宋体"/>
          <w:color w:val="auto"/>
          <w:sz w:val="24"/>
          <w:szCs w:val="24"/>
          <w:u w:val="single"/>
        </w:rPr>
      </w:pPr>
      <w:r>
        <w:rPr>
          <w:rFonts w:hint="eastAsia" w:hAnsi="宋体" w:cs="宋体"/>
          <w:color w:val="auto"/>
          <w:sz w:val="24"/>
          <w:szCs w:val="24"/>
        </w:rPr>
        <w:t>附：代理人性别：   年龄：   职务：</w:t>
      </w:r>
    </w:p>
    <w:p>
      <w:pPr>
        <w:pStyle w:val="26"/>
        <w:spacing w:line="360" w:lineRule="auto"/>
        <w:ind w:firstLine="480" w:firstLineChars="200"/>
        <w:rPr>
          <w:rFonts w:hAnsi="宋体" w:cs="宋体"/>
          <w:color w:val="auto"/>
          <w:sz w:val="24"/>
          <w:szCs w:val="24"/>
          <w:u w:val="single"/>
        </w:rPr>
      </w:pPr>
      <w:r>
        <w:rPr>
          <w:rFonts w:hint="eastAsia" w:hAnsi="宋体" w:cs="宋体"/>
          <w:color w:val="auto"/>
          <w:sz w:val="24"/>
          <w:szCs w:val="24"/>
        </w:rPr>
        <w:t>　　身份证号码：</w:t>
      </w:r>
    </w:p>
    <w:p>
      <w:pPr>
        <w:pStyle w:val="26"/>
        <w:spacing w:line="360" w:lineRule="auto"/>
        <w:ind w:firstLine="480" w:firstLineChars="200"/>
        <w:rPr>
          <w:rFonts w:hAnsi="宋体" w:cs="宋体"/>
          <w:color w:val="auto"/>
          <w:sz w:val="24"/>
          <w:szCs w:val="24"/>
          <w:u w:val="single"/>
        </w:rPr>
      </w:pPr>
      <w:r>
        <w:rPr>
          <w:rFonts w:hint="eastAsia" w:hAnsi="宋体" w:cs="宋体"/>
          <w:color w:val="auto"/>
          <w:sz w:val="24"/>
          <w:szCs w:val="24"/>
        </w:rPr>
        <w:t>　　（营业执照等）注册号码：</w:t>
      </w:r>
    </w:p>
    <w:p>
      <w:pPr>
        <w:pStyle w:val="26"/>
        <w:spacing w:line="360" w:lineRule="auto"/>
        <w:ind w:firstLine="480" w:firstLineChars="200"/>
        <w:rPr>
          <w:rFonts w:hAnsi="宋体" w:cs="宋体"/>
          <w:color w:val="auto"/>
          <w:sz w:val="24"/>
          <w:szCs w:val="24"/>
          <w:u w:val="single"/>
        </w:rPr>
      </w:pPr>
      <w:r>
        <w:rPr>
          <w:rFonts w:hint="eastAsia" w:hAnsi="宋体" w:cs="宋体"/>
          <w:color w:val="auto"/>
          <w:sz w:val="24"/>
          <w:szCs w:val="24"/>
        </w:rPr>
        <w:t>　　企业类型：</w:t>
      </w:r>
    </w:p>
    <w:p>
      <w:pPr>
        <w:pStyle w:val="26"/>
        <w:spacing w:line="360" w:lineRule="auto"/>
        <w:ind w:firstLine="480" w:firstLineChars="200"/>
        <w:rPr>
          <w:rFonts w:hAnsi="宋体" w:cs="宋体"/>
          <w:color w:val="auto"/>
          <w:sz w:val="24"/>
          <w:szCs w:val="24"/>
          <w:u w:val="single"/>
        </w:rPr>
      </w:pPr>
      <w:r>
        <w:rPr>
          <w:rFonts w:hint="eastAsia" w:hAnsi="宋体" w:cs="宋体"/>
          <w:color w:val="auto"/>
          <w:sz w:val="24"/>
          <w:szCs w:val="24"/>
        </w:rPr>
        <w:t>　　经营范围：</w:t>
      </w:r>
    </w:p>
    <w:p>
      <w:pPr>
        <w:pStyle w:val="26"/>
        <w:spacing w:line="360" w:lineRule="auto"/>
        <w:rPr>
          <w:rFonts w:hAnsi="宋体" w:cs="宋体"/>
          <w:color w:val="auto"/>
          <w:sz w:val="24"/>
          <w:szCs w:val="24"/>
        </w:rPr>
      </w:pPr>
      <w:r>
        <w:rPr>
          <w:rFonts w:hint="eastAsia" w:hAnsi="宋体" w:cs="宋体"/>
          <w:color w:val="auto"/>
          <w:sz w:val="24"/>
          <w:szCs w:val="24"/>
        </w:rPr>
        <w:t>附：被授权人有效身份证正反面或其他身份证明材料复印　　　　　　　</w:t>
      </w:r>
    </w:p>
    <w:p>
      <w:pPr>
        <w:pStyle w:val="27"/>
        <w:spacing w:line="360" w:lineRule="auto"/>
        <w:jc w:val="both"/>
        <w:rPr>
          <w:rFonts w:hAnsi="宋体" w:eastAsia="宋体" w:cs="宋体"/>
          <w:color w:val="auto"/>
          <w:sz w:val="24"/>
          <w:szCs w:val="24"/>
        </w:rPr>
      </w:pPr>
      <w:r>
        <w:rPr>
          <w:rFonts w:hint="eastAsia" w:hAnsi="宋体" w:eastAsia="宋体" w:cs="宋体"/>
          <w:color w:val="auto"/>
          <w:sz w:val="24"/>
          <w:szCs w:val="24"/>
        </w:rPr>
        <w:t>（单位盖章）：</w:t>
      </w:r>
    </w:p>
    <w:p>
      <w:pPr>
        <w:pStyle w:val="27"/>
        <w:spacing w:line="360" w:lineRule="auto"/>
        <w:jc w:val="both"/>
        <w:rPr>
          <w:rFonts w:hAnsi="宋体" w:eastAsia="宋体" w:cs="宋体"/>
          <w:color w:val="auto"/>
          <w:sz w:val="24"/>
          <w:szCs w:val="24"/>
        </w:rPr>
      </w:pPr>
      <w:r>
        <w:rPr>
          <w:rFonts w:hint="eastAsia" w:hAnsi="宋体" w:eastAsia="宋体" w:cs="宋体"/>
          <w:color w:val="auto"/>
          <w:sz w:val="24"/>
          <w:szCs w:val="24"/>
        </w:rPr>
        <w:t>法定代表人（签字或盖章）：</w:t>
      </w:r>
    </w:p>
    <w:p>
      <w:pPr>
        <w:pStyle w:val="27"/>
        <w:spacing w:line="360" w:lineRule="auto"/>
        <w:jc w:val="both"/>
        <w:rPr>
          <w:rFonts w:hAnsi="宋体" w:eastAsia="宋体" w:cs="宋体"/>
          <w:color w:val="auto"/>
          <w:sz w:val="24"/>
          <w:szCs w:val="24"/>
        </w:rPr>
      </w:pPr>
      <w:r>
        <w:rPr>
          <w:rFonts w:hint="eastAsia" w:hAnsi="宋体" w:eastAsia="宋体" w:cs="宋体"/>
          <w:color w:val="auto"/>
          <w:sz w:val="24"/>
          <w:szCs w:val="24"/>
        </w:rPr>
        <w:t>被授权人（签字或盖章）：</w:t>
      </w:r>
    </w:p>
    <w:p>
      <w:pPr>
        <w:pStyle w:val="27"/>
        <w:spacing w:line="360" w:lineRule="auto"/>
        <w:jc w:val="both"/>
        <w:rPr>
          <w:rFonts w:hAnsi="宋体" w:eastAsia="宋体" w:cs="宋体"/>
          <w:color w:val="auto"/>
          <w:sz w:val="24"/>
          <w:szCs w:val="24"/>
        </w:rPr>
      </w:pPr>
      <w:r>
        <w:rPr>
          <w:rFonts w:hint="eastAsia" w:hAnsi="宋体" w:eastAsia="宋体" w:cs="宋体"/>
          <w:color w:val="auto"/>
          <w:sz w:val="24"/>
          <w:szCs w:val="24"/>
        </w:rPr>
        <w:t>日期： 202</w:t>
      </w:r>
      <w:r>
        <w:rPr>
          <w:rFonts w:hint="eastAsia" w:hAnsi="宋体" w:eastAsia="宋体" w:cs="宋体"/>
          <w:color w:val="auto"/>
          <w:sz w:val="24"/>
          <w:szCs w:val="24"/>
          <w:lang w:val="en-US" w:eastAsia="zh-CN"/>
        </w:rPr>
        <w:t>5</w:t>
      </w:r>
      <w:r>
        <w:rPr>
          <w:rFonts w:hint="eastAsia" w:hAnsi="宋体" w:eastAsia="宋体" w:cs="宋体"/>
          <w:color w:val="auto"/>
          <w:sz w:val="24"/>
          <w:szCs w:val="24"/>
        </w:rPr>
        <w:t>年   月  日</w:t>
      </w:r>
    </w:p>
    <w:p>
      <w:pPr>
        <w:rPr>
          <w:rFonts w:ascii="宋体" w:hAnsi="宋体" w:cs="宋体"/>
          <w:color w:val="auto"/>
          <w:sz w:val="24"/>
          <w:lang w:val="zh-CN"/>
        </w:rPr>
      </w:pPr>
      <w:r>
        <w:rPr>
          <w:rFonts w:hint="eastAsia" w:ascii="宋体" w:hAnsi="宋体" w:cs="宋体"/>
          <w:color w:val="auto"/>
          <w:sz w:val="24"/>
          <w:lang w:val="zh-CN"/>
        </w:rPr>
        <w:t>说明：法定代表人亲自办理投标事宜的，无需提交本证明书。</w:t>
      </w:r>
    </w:p>
    <w:tbl>
      <w:tblPr>
        <w:tblStyle w:val="17"/>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30" w:type="dxa"/>
            <w:vAlign w:val="center"/>
          </w:tcPr>
          <w:p>
            <w:pPr>
              <w:pStyle w:val="9"/>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9"/>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4530" w:type="dxa"/>
          </w:tcPr>
          <w:p>
            <w:pPr>
              <w:pStyle w:val="9"/>
              <w:spacing w:line="240" w:lineRule="auto"/>
              <w:ind w:firstLine="0"/>
              <w:jc w:val="center"/>
              <w:rPr>
                <w:rFonts w:ascii="宋体" w:hAnsi="宋体" w:eastAsia="宋体" w:cs="宋体"/>
                <w:color w:val="auto"/>
                <w:sz w:val="24"/>
              </w:rPr>
            </w:pPr>
          </w:p>
        </w:tc>
        <w:tc>
          <w:tcPr>
            <w:tcW w:w="4530" w:type="dxa"/>
          </w:tcPr>
          <w:p>
            <w:pPr>
              <w:pStyle w:val="9"/>
              <w:spacing w:line="240" w:lineRule="auto"/>
              <w:ind w:firstLine="0"/>
              <w:jc w:val="center"/>
              <w:rPr>
                <w:rFonts w:ascii="宋体" w:hAnsi="宋体" w:eastAsia="宋体" w:cs="宋体"/>
                <w:color w:val="auto"/>
                <w:sz w:val="24"/>
              </w:rPr>
            </w:pPr>
          </w:p>
        </w:tc>
      </w:tr>
    </w:tbl>
    <w:p>
      <w:pPr>
        <w:pStyle w:val="2"/>
        <w:ind w:firstLine="480"/>
        <w:rPr>
          <w:rFonts w:ascii="宋体" w:hAnsi="宋体" w:cs="宋体"/>
          <w:color w:val="auto"/>
          <w:sz w:val="24"/>
          <w:szCs w:val="24"/>
          <w:lang w:val="zh-CN"/>
        </w:rPr>
      </w:pPr>
    </w:p>
    <w:p>
      <w:pPr>
        <w:pStyle w:val="2"/>
        <w:ind w:firstLine="480"/>
        <w:rPr>
          <w:rFonts w:ascii="宋体" w:hAnsi="宋体" w:cs="宋体"/>
          <w:color w:val="auto"/>
          <w:sz w:val="24"/>
          <w:szCs w:val="24"/>
          <w:lang w:val="zh-CN"/>
        </w:rPr>
      </w:pPr>
    </w:p>
    <w:p>
      <w:pPr>
        <w:widowControl/>
        <w:jc w:val="left"/>
        <w:rPr>
          <w:rFonts w:hint="eastAsia" w:ascii="宋体" w:hAnsi="宋体"/>
          <w:color w:val="auto"/>
          <w:sz w:val="32"/>
        </w:rPr>
      </w:pPr>
    </w:p>
    <w:p>
      <w:pPr>
        <w:pStyle w:val="4"/>
        <w:rPr>
          <w:rFonts w:hint="eastAsia" w:ascii="宋体" w:hAnsi="宋体"/>
          <w:color w:val="auto"/>
          <w:sz w:val="32"/>
        </w:rPr>
      </w:pPr>
    </w:p>
    <w:p>
      <w:pPr>
        <w:rPr>
          <w:rFonts w:hint="eastAsia" w:ascii="宋体" w:hAnsi="宋体"/>
          <w:color w:val="auto"/>
          <w:sz w:val="32"/>
        </w:rPr>
      </w:pPr>
    </w:p>
    <w:p>
      <w:pPr>
        <w:pStyle w:val="4"/>
        <w:rPr>
          <w:rFonts w:hint="eastAsia"/>
          <w:color w:val="auto"/>
        </w:rPr>
      </w:pPr>
    </w:p>
    <w:p>
      <w:pPr>
        <w:widowControl/>
        <w:jc w:val="left"/>
        <w:rPr>
          <w:rFonts w:ascii="宋体" w:hAnsi="宋体"/>
          <w:color w:val="auto"/>
          <w:sz w:val="32"/>
        </w:rPr>
      </w:pPr>
      <w:r>
        <w:rPr>
          <w:rFonts w:hint="eastAsia" w:ascii="宋体" w:hAnsi="宋体"/>
          <w:color w:val="auto"/>
          <w:sz w:val="32"/>
          <w:lang w:val="en-US" w:eastAsia="zh-CN"/>
        </w:rPr>
        <w:t>2.3格式4</w:t>
      </w:r>
    </w:p>
    <w:p>
      <w:pPr>
        <w:widowControl/>
        <w:jc w:val="right"/>
        <w:rPr>
          <w:rFonts w:ascii="宋体" w:hAnsi="宋体" w:eastAsia="宋体" w:cs="宋体"/>
          <w:color w:val="auto"/>
          <w:kern w:val="0"/>
          <w:szCs w:val="21"/>
        </w:rPr>
      </w:pPr>
      <w:r>
        <w:rPr>
          <w:rFonts w:hint="eastAsia" w:ascii="宋体" w:hAnsi="宋体" w:eastAsia="宋体" w:cs="宋体"/>
          <w:color w:val="auto"/>
          <w:kern w:val="0"/>
          <w:szCs w:val="21"/>
        </w:rPr>
        <w:t>编号：TZ4-23</w:t>
      </w:r>
    </w:p>
    <w:tbl>
      <w:tblPr>
        <w:tblStyle w:val="16"/>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color w:val="auto"/>
                <w:kern w:val="0"/>
                <w:sz w:val="44"/>
                <w:szCs w:val="44"/>
              </w:rPr>
            </w:pPr>
            <w:r>
              <w:rPr>
                <w:rFonts w:hint="eastAsia" w:ascii="黑体" w:hAnsi="黑体" w:eastAsia="黑体" w:cs="宋体"/>
                <w:color w:val="auto"/>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0"/>
              <w:rPr>
                <w:rFonts w:hint="eastAsia" w:ascii="宋体" w:hAnsi="宋体" w:cs="宋体" w:eastAsiaTheme="minorEastAsia"/>
                <w:color w:val="auto"/>
                <w:kern w:val="0"/>
                <w:sz w:val="28"/>
                <w:szCs w:val="28"/>
                <w:lang w:eastAsia="zh-CN"/>
              </w:rPr>
            </w:pPr>
            <w:r>
              <w:rPr>
                <w:rFonts w:hint="eastAsia" w:ascii="宋体" w:hAnsi="宋体" w:cs="宋体"/>
                <w:color w:val="auto"/>
                <w:kern w:val="0"/>
                <w:sz w:val="28"/>
                <w:szCs w:val="28"/>
              </w:rPr>
              <w:t>项目名称：</w:t>
            </w:r>
            <w:r>
              <w:rPr>
                <w:rFonts w:ascii="宋体" w:hAnsi="宋体" w:cs="宋体"/>
                <w:color w:val="auto"/>
                <w:kern w:val="0"/>
                <w:sz w:val="28"/>
                <w:szCs w:val="28"/>
              </w:rPr>
              <w:t xml:space="preserve"> </w:t>
            </w:r>
            <w:r>
              <w:rPr>
                <w:rFonts w:hint="eastAsia" w:ascii="宋体" w:hAnsi="宋体" w:cs="宋体"/>
                <w:color w:val="auto"/>
                <w:kern w:val="0"/>
                <w:sz w:val="24"/>
                <w:lang w:eastAsia="zh-CN"/>
              </w:rPr>
              <w:t>智慧运维与节能降耗的冷站控制系统的数字化研究与开发项目</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rPr>
            </w:pPr>
          </w:p>
          <w:p>
            <w:pPr>
              <w:widowControl/>
              <w:rPr>
                <w:rFonts w:ascii="宋体" w:hAnsi="宋体" w:cs="宋体"/>
                <w:b/>
                <w:bCs/>
                <w:color w:val="auto"/>
                <w:kern w:val="0"/>
                <w:sz w:val="24"/>
              </w:rPr>
            </w:pPr>
          </w:p>
          <w:p>
            <w:pPr>
              <w:widowControl/>
              <w:rPr>
                <w:rFonts w:ascii="宋体" w:hAnsi="宋体" w:cs="宋体"/>
                <w:b/>
                <w:bCs/>
                <w:color w:val="auto"/>
                <w:kern w:val="0"/>
                <w:sz w:val="24"/>
              </w:rPr>
            </w:pPr>
          </w:p>
          <w:p>
            <w:pPr>
              <w:widowControl/>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color w:val="auto"/>
                <w:sz w:val="28"/>
                <w:szCs w:val="28"/>
              </w:rPr>
            </w:pPr>
          </w:p>
          <w:p>
            <w:pPr>
              <w:spacing w:line="400" w:lineRule="exact"/>
              <w:rPr>
                <w:color w:val="auto"/>
                <w:sz w:val="28"/>
                <w:szCs w:val="28"/>
              </w:rPr>
            </w:pPr>
            <w:r>
              <w:rPr>
                <w:rFonts w:hint="eastAsia"/>
                <w:color w:val="auto"/>
                <w:sz w:val="28"/>
                <w:szCs w:val="28"/>
              </w:rPr>
              <w:t>供应商单位（盖章）：</w:t>
            </w:r>
          </w:p>
        </w:tc>
      </w:tr>
    </w:tbl>
    <w:p>
      <w:pPr>
        <w:spacing w:line="400" w:lineRule="exact"/>
        <w:ind w:left="560" w:hanging="560" w:hangingChars="200"/>
        <w:rPr>
          <w:color w:val="auto"/>
          <w:sz w:val="28"/>
          <w:szCs w:val="28"/>
        </w:rPr>
      </w:pPr>
    </w:p>
    <w:p>
      <w:pPr>
        <w:spacing w:line="400" w:lineRule="exact"/>
        <w:ind w:left="560" w:hanging="560" w:hangingChars="200"/>
        <w:rPr>
          <w:color w:val="auto"/>
          <w:sz w:val="28"/>
          <w:szCs w:val="28"/>
        </w:rPr>
      </w:pPr>
      <w:r>
        <w:rPr>
          <w:rFonts w:hint="eastAsia"/>
          <w:color w:val="auto"/>
          <w:sz w:val="28"/>
          <w:szCs w:val="28"/>
        </w:rPr>
        <w:t>日期：202</w:t>
      </w:r>
      <w:r>
        <w:rPr>
          <w:rFonts w:hint="eastAsia"/>
          <w:color w:val="auto"/>
          <w:sz w:val="28"/>
          <w:szCs w:val="28"/>
          <w:lang w:val="en-US" w:eastAsia="zh-CN"/>
        </w:rPr>
        <w:t>5</w:t>
      </w:r>
      <w:r>
        <w:rPr>
          <w:rFonts w:hint="eastAsia"/>
          <w:color w:val="auto"/>
          <w:sz w:val="28"/>
          <w:szCs w:val="28"/>
        </w:rPr>
        <w:t>年  月   日</w:t>
      </w:r>
    </w:p>
    <w:p>
      <w:pPr>
        <w:pStyle w:val="2"/>
        <w:ind w:firstLine="480"/>
        <w:jc w:val="left"/>
        <w:rPr>
          <w:rFonts w:hint="eastAsia" w:ascii="宋体" w:hAnsi="宋体" w:eastAsia="微软雅黑" w:cs="宋体"/>
          <w:color w:val="auto"/>
          <w:sz w:val="24"/>
          <w:szCs w:val="24"/>
          <w:lang w:eastAsia="zh-CN"/>
        </w:rPr>
      </w:pPr>
      <w:r>
        <w:rPr>
          <w:color w:val="auto"/>
          <w:sz w:val="28"/>
          <w:szCs w:val="28"/>
        </w:rPr>
        <w:br w:type="page"/>
      </w:r>
      <w:r>
        <w:rPr>
          <w:rFonts w:hint="eastAsia" w:ascii="宋体" w:hAnsi="宋体" w:cs="宋体"/>
          <w:color w:val="auto"/>
          <w:sz w:val="24"/>
          <w:szCs w:val="24"/>
        </w:rPr>
        <w:t>2.4 投标人未被列入“信用中国”网站(www.creditchina.gov.cn)记录失信被执行人名单,须提供“信用中国”网站(www.creditchina.gov.cn)的信用记录查询结果截图或信用信息报告并打印页面加盖公章</w:t>
      </w:r>
      <w:r>
        <w:rPr>
          <w:rFonts w:hint="eastAsia" w:ascii="宋体" w:hAnsi="宋体" w:cs="宋体"/>
          <w:color w:val="auto"/>
          <w:sz w:val="24"/>
          <w:szCs w:val="24"/>
          <w:lang w:eastAsia="zh-CN"/>
        </w:rPr>
        <w:t>。</w:t>
      </w:r>
    </w:p>
    <w:p>
      <w:pPr>
        <w:adjustRightInd w:val="0"/>
        <w:snapToGrid w:val="0"/>
        <w:ind w:left="-88" w:leftChars="-42"/>
        <w:jc w:val="left"/>
        <w:rPr>
          <w:rFonts w:hint="eastAsia"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eastAsia"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eastAsia"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eastAsia"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eastAsia"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default"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default" w:ascii="方正小标宋简体" w:hAnsi="方正小标宋简体" w:eastAsia="方正小标宋简体" w:cs="Arial"/>
          <w:color w:val="auto"/>
          <w:sz w:val="28"/>
          <w:szCs w:val="28"/>
          <w:lang w:val="en-US" w:eastAsia="zh-CN"/>
        </w:rPr>
      </w:pPr>
    </w:p>
    <w:p>
      <w:pPr>
        <w:ind w:firstLine="480"/>
        <w:jc w:val="left"/>
        <w:rPr>
          <w:rFonts w:hint="eastAsia" w:ascii="宋体" w:hAnsi="宋体" w:cs="宋体"/>
          <w:color w:val="auto"/>
          <w:sz w:val="24"/>
          <w:szCs w:val="24"/>
        </w:rPr>
      </w:pPr>
    </w:p>
    <w:p>
      <w:pPr>
        <w:pStyle w:val="2"/>
        <w:ind w:firstLine="480"/>
        <w:jc w:val="left"/>
        <w:rPr>
          <w:rFonts w:ascii="宋体" w:hAnsi="宋体" w:cs="宋体"/>
          <w:b/>
          <w:bCs/>
          <w:color w:val="auto"/>
          <w:sz w:val="24"/>
          <w:szCs w:val="24"/>
        </w:rPr>
      </w:pPr>
      <w:r>
        <w:rPr>
          <w:rFonts w:hint="eastAsia" w:ascii="宋体" w:hAnsi="宋体" w:cs="宋体"/>
          <w:color w:val="auto"/>
          <w:sz w:val="24"/>
          <w:szCs w:val="24"/>
        </w:rPr>
        <w:t>2.5</w:t>
      </w:r>
      <w:r>
        <w:rPr>
          <w:rFonts w:hint="eastAsia" w:ascii="宋体" w:hAnsi="宋体" w:cs="宋体"/>
          <w:b/>
          <w:bCs/>
          <w:color w:val="auto"/>
          <w:sz w:val="24"/>
          <w:szCs w:val="24"/>
        </w:rPr>
        <w:t>格式5</w:t>
      </w:r>
    </w:p>
    <w:p>
      <w:pPr>
        <w:pStyle w:val="2"/>
        <w:ind w:firstLine="480"/>
        <w:jc w:val="center"/>
        <w:rPr>
          <w:rFonts w:ascii="宋体" w:hAnsi="宋体" w:cs="宋体"/>
          <w:b/>
          <w:color w:val="auto"/>
          <w:sz w:val="24"/>
          <w:szCs w:val="24"/>
        </w:rPr>
      </w:pPr>
      <w:r>
        <w:rPr>
          <w:rFonts w:hint="eastAsia" w:ascii="宋体" w:hAnsi="宋体" w:cs="宋体"/>
          <w:b/>
          <w:bCs/>
          <w:color w:val="auto"/>
          <w:sz w:val="24"/>
          <w:szCs w:val="24"/>
        </w:rPr>
        <w:t>投标单位</w:t>
      </w:r>
      <w:r>
        <w:rPr>
          <w:rFonts w:hint="eastAsia" w:ascii="宋体" w:hAnsi="宋体" w:cs="宋体"/>
          <w:b/>
          <w:color w:val="auto"/>
          <w:sz w:val="24"/>
          <w:szCs w:val="24"/>
        </w:rPr>
        <w:t>声明函</w:t>
      </w:r>
    </w:p>
    <w:p>
      <w:pPr>
        <w:rPr>
          <w:rFonts w:ascii="宋体" w:hAnsi="宋体" w:cs="宋体"/>
          <w:b/>
          <w:color w:val="auto"/>
          <w:sz w:val="24"/>
        </w:rPr>
      </w:pPr>
    </w:p>
    <w:p>
      <w:pPr>
        <w:rPr>
          <w:rFonts w:ascii="宋体" w:hAnsi="宋体" w:cs="宋体"/>
          <w:b/>
          <w:color w:val="auto"/>
          <w:sz w:val="24"/>
        </w:rPr>
      </w:pPr>
      <w:r>
        <w:rPr>
          <w:rFonts w:hint="eastAsia" w:ascii="宋体" w:hAnsi="宋体" w:cs="宋体"/>
          <w:color w:val="auto"/>
          <w:sz w:val="24"/>
          <w:u w:val="single"/>
        </w:rPr>
        <w:t xml:space="preserve"> 广州城投综合能源投资经营管理有限公司</w:t>
      </w:r>
      <w:r>
        <w:rPr>
          <w:rFonts w:hint="eastAsia" w:ascii="宋体" w:hAnsi="宋体" w:cs="宋体"/>
          <w:b/>
          <w:color w:val="auto"/>
          <w:sz w:val="24"/>
        </w:rPr>
        <w:t>：</w:t>
      </w:r>
    </w:p>
    <w:p>
      <w:pPr>
        <w:spacing w:before="156" w:line="360" w:lineRule="auto"/>
        <w:ind w:firstLine="480" w:firstLineChars="200"/>
        <w:rPr>
          <w:rFonts w:ascii="宋体" w:hAnsi="宋体" w:cs="宋体"/>
          <w:color w:val="auto"/>
          <w:sz w:val="24"/>
        </w:rPr>
      </w:pPr>
      <w:r>
        <w:rPr>
          <w:rFonts w:hint="eastAsia" w:ascii="宋体" w:hAnsi="宋体" w:cs="宋体"/>
          <w:color w:val="auto"/>
          <w:sz w:val="24"/>
        </w:rPr>
        <w:t>关于贵公司</w:t>
      </w:r>
      <w:r>
        <w:rPr>
          <w:rFonts w:hint="eastAsia" w:hAnsi="宋体" w:cs="宋体"/>
          <w:color w:val="auto"/>
          <w:sz w:val="24"/>
          <w:lang w:eastAsia="zh-CN"/>
        </w:rPr>
        <w:t>智慧运维与节能降耗的冷站控制系统的数字化研究与开发项目</w:t>
      </w:r>
      <w:r>
        <w:rPr>
          <w:rFonts w:hint="eastAsia" w:ascii="宋体" w:hAnsi="宋体" w:cs="宋体"/>
          <w:color w:val="auto"/>
          <w:sz w:val="24"/>
          <w:u w:val="none"/>
        </w:rPr>
        <w:t>采购项目</w:t>
      </w:r>
      <w:r>
        <w:rPr>
          <w:rFonts w:hint="eastAsia" w:ascii="宋体" w:hAnsi="宋体" w:cs="宋体"/>
          <w:color w:val="auto"/>
          <w:sz w:val="24"/>
        </w:rPr>
        <w:t>，我公司（企业）愿意参加竞选，并声明：</w:t>
      </w:r>
    </w:p>
    <w:p>
      <w:pPr>
        <w:spacing w:line="360" w:lineRule="auto"/>
        <w:ind w:firstLine="480" w:firstLineChars="200"/>
        <w:rPr>
          <w:rFonts w:ascii="宋体" w:hAnsi="宋体" w:cs="宋体"/>
          <w:color w:val="auto"/>
          <w:sz w:val="24"/>
        </w:rPr>
      </w:pPr>
      <w:r>
        <w:rPr>
          <w:rFonts w:hint="eastAsia" w:ascii="宋体" w:hAnsi="宋体" w:cs="宋体"/>
          <w:color w:val="auto"/>
          <w:sz w:val="24"/>
        </w:rPr>
        <w:t>我方承诺在本次采购活动中不存在以下情况：（1）处于被责令停业或破产状态；（2）资产被重组、接管和冻结；（3）在投标活动中3年内有重大违法活动和涉嫌违规行为。</w:t>
      </w:r>
    </w:p>
    <w:p>
      <w:pPr>
        <w:spacing w:line="360" w:lineRule="auto"/>
        <w:ind w:firstLine="480" w:firstLineChars="200"/>
        <w:rPr>
          <w:rFonts w:ascii="宋体" w:hAnsi="宋体" w:cs="宋体"/>
          <w:color w:val="auto"/>
          <w:sz w:val="24"/>
        </w:rPr>
      </w:pPr>
      <w:r>
        <w:rPr>
          <w:rFonts w:hint="eastAsia" w:ascii="宋体" w:hAnsi="宋体" w:cs="宋体"/>
          <w:color w:val="auto"/>
          <w:sz w:val="24"/>
        </w:rPr>
        <w:t>我方承诺在本次采购活动中，如有违法、违规、弄虚作假行为，所造成的损失、不良后果及法律责任，一律由我公司（企业）承担。</w:t>
      </w:r>
    </w:p>
    <w:p>
      <w:pPr>
        <w:spacing w:line="360" w:lineRule="auto"/>
        <w:ind w:firstLine="480" w:firstLineChars="200"/>
        <w:rPr>
          <w:rFonts w:ascii="宋体" w:hAnsi="宋体" w:cs="宋体"/>
          <w:color w:val="auto"/>
          <w:sz w:val="24"/>
        </w:rPr>
      </w:pPr>
      <w:r>
        <w:rPr>
          <w:rFonts w:hint="eastAsia" w:ascii="宋体" w:hAnsi="宋体" w:cs="宋体"/>
          <w:color w:val="auto"/>
          <w:sz w:val="24"/>
        </w:rPr>
        <w:t>特此声明！</w:t>
      </w:r>
    </w:p>
    <w:p>
      <w:pPr>
        <w:spacing w:line="360" w:lineRule="auto"/>
        <w:rPr>
          <w:rFonts w:ascii="宋体" w:hAnsi="宋体" w:cs="宋体"/>
          <w:b/>
          <w:color w:val="auto"/>
          <w:sz w:val="24"/>
        </w:rPr>
      </w:pPr>
      <w:r>
        <w:rPr>
          <w:rFonts w:hint="eastAsia" w:ascii="宋体" w:hAnsi="宋体" w:cs="宋体"/>
          <w:b/>
          <w:color w:val="auto"/>
          <w:sz w:val="24"/>
        </w:rPr>
        <w:t>备注：1.本声明函必须提供且内容不得擅自删改，否则视为无效报价。</w:t>
      </w:r>
    </w:p>
    <w:p>
      <w:pPr>
        <w:spacing w:line="360" w:lineRule="auto"/>
        <w:ind w:firstLine="723" w:firstLineChars="300"/>
        <w:rPr>
          <w:rFonts w:ascii="宋体" w:hAnsi="宋体" w:cs="宋体"/>
          <w:color w:val="auto"/>
          <w:sz w:val="24"/>
        </w:rPr>
      </w:pPr>
      <w:r>
        <w:rPr>
          <w:rFonts w:hint="eastAsia" w:ascii="宋体" w:hAnsi="宋体" w:cs="宋体"/>
          <w:b/>
          <w:color w:val="auto"/>
          <w:sz w:val="24"/>
        </w:rPr>
        <w:t>2.本声明函如有虚假或与事实不符的，作无效报价处理。</w:t>
      </w:r>
    </w:p>
    <w:p>
      <w:pPr>
        <w:spacing w:line="360" w:lineRule="auto"/>
        <w:ind w:firstLine="420"/>
        <w:rPr>
          <w:rFonts w:ascii="宋体" w:hAnsi="宋体" w:cs="宋体"/>
          <w:color w:val="auto"/>
          <w:sz w:val="24"/>
        </w:rPr>
      </w:pPr>
    </w:p>
    <w:p>
      <w:pPr>
        <w:spacing w:line="360" w:lineRule="auto"/>
        <w:ind w:firstLine="420"/>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投标人名称（盖公章）：</w:t>
      </w:r>
    </w:p>
    <w:p>
      <w:pPr>
        <w:rPr>
          <w:rFonts w:ascii="宋体" w:hAnsi="宋体" w:cs="宋体"/>
          <w:color w:val="auto"/>
          <w:sz w:val="24"/>
        </w:rPr>
      </w:pPr>
      <w:r>
        <w:rPr>
          <w:rFonts w:hint="eastAsia" w:ascii="宋体" w:hAnsi="宋体" w:cs="宋体"/>
          <w:color w:val="auto"/>
          <w:sz w:val="24"/>
        </w:rPr>
        <w:t>日期：</w:t>
      </w:r>
    </w:p>
    <w:p>
      <w:pPr>
        <w:ind w:firstLine="480"/>
        <w:jc w:val="left"/>
        <w:rPr>
          <w:rFonts w:hint="eastAsia" w:ascii="宋体" w:hAnsi="宋体" w:cs="宋体"/>
          <w:color w:val="auto"/>
          <w:sz w:val="24"/>
          <w:szCs w:val="24"/>
        </w:rPr>
      </w:pPr>
      <w:r>
        <w:rPr>
          <w:rFonts w:hint="eastAsia" w:ascii="宋体" w:hAnsi="宋体" w:cs="宋体"/>
          <w:color w:val="auto"/>
          <w:sz w:val="24"/>
          <w:szCs w:val="24"/>
        </w:rPr>
        <w:br w:type="page"/>
      </w:r>
    </w:p>
    <w:p>
      <w:pPr>
        <w:rPr>
          <w:rFonts w:ascii="宋体" w:hAnsi="宋体" w:cs="宋体"/>
          <w:b/>
          <w:bCs/>
          <w:color w:val="auto"/>
          <w:sz w:val="24"/>
        </w:rPr>
      </w:pPr>
      <w:r>
        <w:rPr>
          <w:rFonts w:hint="eastAsia" w:ascii="宋体" w:hAnsi="宋体" w:cs="宋体"/>
          <w:b/>
          <w:bCs/>
          <w:color w:val="auto"/>
          <w:sz w:val="24"/>
        </w:rPr>
        <w:t>2.6   格式6.拟投入本项目的</w:t>
      </w:r>
      <w:r>
        <w:rPr>
          <w:rFonts w:hint="eastAsia" w:ascii="宋体" w:hAnsi="宋体" w:cs="宋体"/>
          <w:b/>
          <w:bCs/>
          <w:color w:val="auto"/>
          <w:sz w:val="24"/>
          <w:lang w:val="en-US" w:eastAsia="zh-CN"/>
        </w:rPr>
        <w:t>团队成员</w:t>
      </w:r>
      <w:r>
        <w:rPr>
          <w:rFonts w:hint="eastAsia" w:ascii="宋体" w:hAnsi="宋体" w:cs="宋体"/>
          <w:b/>
          <w:bCs/>
          <w:color w:val="auto"/>
          <w:sz w:val="24"/>
        </w:rPr>
        <w:t>情况表</w:t>
      </w:r>
    </w:p>
    <w:tbl>
      <w:tblPr>
        <w:tblStyle w:val="16"/>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jc w:val="center"/>
              <w:rPr>
                <w:rFonts w:ascii="宋体" w:hAnsi="宋体" w:cs="宋体"/>
                <w:bCs/>
                <w:color w:val="auto"/>
                <w:sz w:val="24"/>
              </w:rPr>
            </w:pPr>
            <w:r>
              <w:rPr>
                <w:rFonts w:hint="eastAsia" w:ascii="宋体" w:hAnsi="宋体" w:cs="宋体"/>
                <w:bCs/>
                <w:color w:val="auto"/>
                <w:sz w:val="24"/>
              </w:rPr>
              <w:t>姓名</w:t>
            </w:r>
          </w:p>
        </w:tc>
        <w:tc>
          <w:tcPr>
            <w:tcW w:w="1497" w:type="dxa"/>
            <w:gridSpan w:val="2"/>
            <w:vAlign w:val="center"/>
          </w:tcPr>
          <w:p>
            <w:pPr>
              <w:jc w:val="center"/>
              <w:rPr>
                <w:rFonts w:ascii="宋体" w:hAnsi="宋体" w:cs="宋体"/>
                <w:bCs/>
                <w:color w:val="auto"/>
                <w:sz w:val="24"/>
              </w:rPr>
            </w:pPr>
          </w:p>
        </w:tc>
        <w:tc>
          <w:tcPr>
            <w:tcW w:w="1613" w:type="dxa"/>
            <w:gridSpan w:val="2"/>
            <w:vAlign w:val="center"/>
          </w:tcPr>
          <w:p>
            <w:pPr>
              <w:jc w:val="center"/>
              <w:rPr>
                <w:rFonts w:ascii="宋体" w:hAnsi="宋体" w:cs="宋体"/>
                <w:bCs/>
                <w:color w:val="auto"/>
                <w:sz w:val="24"/>
              </w:rPr>
            </w:pPr>
            <w:r>
              <w:rPr>
                <w:rFonts w:hint="eastAsia" w:ascii="宋体" w:hAnsi="宋体" w:cs="宋体"/>
                <w:bCs/>
                <w:color w:val="auto"/>
                <w:sz w:val="24"/>
              </w:rPr>
              <w:t>出生年月</w:t>
            </w:r>
          </w:p>
        </w:tc>
        <w:tc>
          <w:tcPr>
            <w:tcW w:w="1337" w:type="dxa"/>
            <w:gridSpan w:val="2"/>
            <w:vAlign w:val="center"/>
          </w:tcPr>
          <w:p>
            <w:pPr>
              <w:jc w:val="center"/>
              <w:rPr>
                <w:rFonts w:ascii="宋体" w:hAnsi="宋体" w:cs="宋体"/>
                <w:bCs/>
                <w:color w:val="auto"/>
                <w:sz w:val="24"/>
              </w:rPr>
            </w:pPr>
          </w:p>
        </w:tc>
        <w:tc>
          <w:tcPr>
            <w:tcW w:w="2198" w:type="dxa"/>
            <w:gridSpan w:val="2"/>
            <w:vAlign w:val="center"/>
          </w:tcPr>
          <w:p>
            <w:pPr>
              <w:jc w:val="center"/>
              <w:rPr>
                <w:rFonts w:ascii="宋体" w:hAnsi="宋体" w:cs="宋体"/>
                <w:bCs/>
                <w:color w:val="auto"/>
                <w:sz w:val="24"/>
              </w:rPr>
            </w:pPr>
            <w:r>
              <w:rPr>
                <w:rFonts w:hint="eastAsia" w:ascii="宋体" w:hAnsi="宋体" w:cs="宋体"/>
                <w:bCs/>
                <w:color w:val="auto"/>
                <w:sz w:val="24"/>
              </w:rPr>
              <w:t>学历</w:t>
            </w:r>
          </w:p>
        </w:tc>
        <w:tc>
          <w:tcPr>
            <w:tcW w:w="1351" w:type="dxa"/>
            <w:vAlign w:val="center"/>
          </w:tcPr>
          <w:p>
            <w:pPr>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职称</w:t>
            </w:r>
          </w:p>
        </w:tc>
        <w:tc>
          <w:tcPr>
            <w:tcW w:w="1497" w:type="dxa"/>
            <w:gridSpan w:val="2"/>
            <w:vAlign w:val="center"/>
          </w:tcPr>
          <w:p>
            <w:pPr>
              <w:spacing w:line="360" w:lineRule="exact"/>
              <w:jc w:val="center"/>
              <w:rPr>
                <w:rFonts w:ascii="宋体" w:hAnsi="宋体" w:cs="宋体"/>
                <w:bCs/>
                <w:color w:val="auto"/>
                <w:sz w:val="24"/>
              </w:rPr>
            </w:pPr>
          </w:p>
        </w:tc>
        <w:tc>
          <w:tcPr>
            <w:tcW w:w="1613"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职务</w:t>
            </w:r>
          </w:p>
        </w:tc>
        <w:tc>
          <w:tcPr>
            <w:tcW w:w="1337" w:type="dxa"/>
            <w:gridSpan w:val="2"/>
            <w:vAlign w:val="center"/>
          </w:tcPr>
          <w:p>
            <w:pPr>
              <w:spacing w:line="360" w:lineRule="exact"/>
              <w:jc w:val="center"/>
              <w:rPr>
                <w:rFonts w:ascii="宋体" w:hAnsi="宋体" w:cs="宋体"/>
                <w:bCs/>
                <w:color w:val="auto"/>
                <w:sz w:val="24"/>
              </w:rPr>
            </w:pPr>
          </w:p>
        </w:tc>
        <w:tc>
          <w:tcPr>
            <w:tcW w:w="2198"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从事本工作时间</w:t>
            </w:r>
          </w:p>
        </w:tc>
        <w:tc>
          <w:tcPr>
            <w:tcW w:w="1351" w:type="dxa"/>
            <w:vAlign w:val="center"/>
          </w:tcPr>
          <w:p>
            <w:pPr>
              <w:spacing w:line="36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毕业院校</w:t>
            </w:r>
          </w:p>
        </w:tc>
        <w:tc>
          <w:tcPr>
            <w:tcW w:w="1497" w:type="dxa"/>
            <w:gridSpan w:val="2"/>
            <w:vAlign w:val="center"/>
          </w:tcPr>
          <w:p>
            <w:pPr>
              <w:spacing w:line="360" w:lineRule="exact"/>
              <w:jc w:val="center"/>
              <w:rPr>
                <w:rFonts w:ascii="宋体" w:hAnsi="宋体" w:cs="宋体"/>
                <w:bCs/>
                <w:color w:val="auto"/>
                <w:sz w:val="24"/>
              </w:rPr>
            </w:pPr>
          </w:p>
        </w:tc>
        <w:tc>
          <w:tcPr>
            <w:tcW w:w="1613"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毕业时间</w:t>
            </w:r>
          </w:p>
        </w:tc>
        <w:tc>
          <w:tcPr>
            <w:tcW w:w="1337" w:type="dxa"/>
            <w:gridSpan w:val="2"/>
            <w:vAlign w:val="center"/>
          </w:tcPr>
          <w:p>
            <w:pPr>
              <w:spacing w:line="360" w:lineRule="exact"/>
              <w:jc w:val="center"/>
              <w:rPr>
                <w:rFonts w:ascii="宋体" w:hAnsi="宋体" w:cs="宋体"/>
                <w:bCs/>
                <w:color w:val="auto"/>
                <w:sz w:val="24"/>
              </w:rPr>
            </w:pPr>
          </w:p>
        </w:tc>
        <w:tc>
          <w:tcPr>
            <w:tcW w:w="2198"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专业</w:t>
            </w:r>
          </w:p>
        </w:tc>
        <w:tc>
          <w:tcPr>
            <w:tcW w:w="1351" w:type="dxa"/>
            <w:vAlign w:val="center"/>
          </w:tcPr>
          <w:p>
            <w:pPr>
              <w:spacing w:line="36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宋体" w:hAnsi="宋体" w:cs="宋体"/>
                <w:bCs/>
                <w:color w:val="auto"/>
                <w:sz w:val="24"/>
              </w:rPr>
            </w:pPr>
            <w:r>
              <w:rPr>
                <w:rFonts w:hint="eastAsia" w:ascii="宋体" w:hAnsi="宋体" w:cs="宋体"/>
                <w:bCs/>
                <w:color w:val="auto"/>
                <w:sz w:val="24"/>
              </w:rPr>
              <w:t>注册证书等级</w:t>
            </w:r>
          </w:p>
          <w:p>
            <w:pPr>
              <w:spacing w:line="360" w:lineRule="exact"/>
              <w:jc w:val="center"/>
              <w:rPr>
                <w:rFonts w:ascii="宋体" w:hAnsi="宋体" w:cs="宋体"/>
                <w:bCs/>
                <w:color w:val="auto"/>
                <w:sz w:val="24"/>
              </w:rPr>
            </w:pPr>
            <w:r>
              <w:rPr>
                <w:rFonts w:hint="eastAsia" w:ascii="宋体" w:hAnsi="宋体" w:cs="宋体"/>
                <w:bCs/>
                <w:color w:val="auto"/>
                <w:sz w:val="24"/>
              </w:rPr>
              <w:t>和专业</w:t>
            </w:r>
          </w:p>
        </w:tc>
        <w:tc>
          <w:tcPr>
            <w:tcW w:w="2950" w:type="dxa"/>
            <w:gridSpan w:val="4"/>
            <w:vAlign w:val="center"/>
          </w:tcPr>
          <w:p>
            <w:pPr>
              <w:spacing w:line="360" w:lineRule="exact"/>
              <w:jc w:val="center"/>
              <w:rPr>
                <w:rFonts w:ascii="宋体" w:hAnsi="宋体" w:cs="宋体"/>
                <w:bCs/>
                <w:color w:val="auto"/>
                <w:sz w:val="24"/>
              </w:rPr>
            </w:pPr>
          </w:p>
        </w:tc>
        <w:tc>
          <w:tcPr>
            <w:tcW w:w="2198"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证书编号</w:t>
            </w:r>
          </w:p>
        </w:tc>
        <w:tc>
          <w:tcPr>
            <w:tcW w:w="1351" w:type="dxa"/>
            <w:vAlign w:val="center"/>
          </w:tcPr>
          <w:p>
            <w:pPr>
              <w:spacing w:line="36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jc w:val="center"/>
              <w:rPr>
                <w:rFonts w:ascii="宋体" w:hAnsi="宋体" w:cs="宋体"/>
                <w:bCs/>
                <w:color w:val="auto"/>
                <w:sz w:val="24"/>
              </w:rPr>
            </w:pPr>
            <w:r>
              <w:rPr>
                <w:rFonts w:hint="eastAsia" w:ascii="宋体" w:hAnsi="宋体" w:cs="宋体"/>
                <w:bCs/>
                <w:color w:val="auto"/>
                <w:sz w:val="24"/>
              </w:rPr>
              <w:t>职称证专业</w:t>
            </w:r>
          </w:p>
        </w:tc>
        <w:tc>
          <w:tcPr>
            <w:tcW w:w="2950" w:type="dxa"/>
            <w:gridSpan w:val="4"/>
            <w:vAlign w:val="center"/>
          </w:tcPr>
          <w:p>
            <w:pPr>
              <w:jc w:val="center"/>
              <w:rPr>
                <w:rFonts w:ascii="宋体" w:hAnsi="宋体" w:cs="宋体"/>
                <w:bCs/>
                <w:color w:val="auto"/>
                <w:sz w:val="24"/>
              </w:rPr>
            </w:pPr>
          </w:p>
        </w:tc>
        <w:tc>
          <w:tcPr>
            <w:tcW w:w="2198" w:type="dxa"/>
            <w:gridSpan w:val="2"/>
            <w:vAlign w:val="center"/>
          </w:tcPr>
          <w:p>
            <w:pPr>
              <w:jc w:val="center"/>
              <w:rPr>
                <w:rFonts w:ascii="宋体" w:hAnsi="宋体" w:cs="宋体"/>
                <w:bCs/>
                <w:color w:val="auto"/>
                <w:sz w:val="24"/>
              </w:rPr>
            </w:pPr>
            <w:r>
              <w:rPr>
                <w:rFonts w:hint="eastAsia" w:ascii="宋体" w:hAnsi="宋体" w:cs="宋体"/>
                <w:bCs/>
                <w:color w:val="auto"/>
                <w:sz w:val="24"/>
              </w:rPr>
              <w:t>证书编号</w:t>
            </w:r>
          </w:p>
        </w:tc>
        <w:tc>
          <w:tcPr>
            <w:tcW w:w="1351" w:type="dxa"/>
            <w:vAlign w:val="center"/>
          </w:tcPr>
          <w:p>
            <w:pPr>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57" w:type="dxa"/>
            <w:gridSpan w:val="10"/>
          </w:tcPr>
          <w:p>
            <w:pPr>
              <w:jc w:val="center"/>
              <w:rPr>
                <w:rFonts w:ascii="宋体" w:hAnsi="宋体" w:cs="宋体"/>
                <w:bCs/>
                <w:color w:val="auto"/>
                <w:sz w:val="24"/>
              </w:rPr>
            </w:pPr>
            <w:r>
              <w:rPr>
                <w:rFonts w:hint="eastAsia" w:ascii="宋体" w:hAnsi="宋体" w:cs="宋体"/>
                <w:bCs/>
                <w:color w:val="auto"/>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项目名称</w:t>
            </w:r>
          </w:p>
        </w:tc>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合同金额</w:t>
            </w:r>
          </w:p>
        </w:tc>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开、竣工时间</w:t>
            </w:r>
          </w:p>
        </w:tc>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担任职务</w:t>
            </w:r>
          </w:p>
        </w:tc>
        <w:tc>
          <w:tcPr>
            <w:tcW w:w="1685" w:type="dxa"/>
            <w:gridSpan w:val="2"/>
            <w:vAlign w:val="center"/>
          </w:tcPr>
          <w:p>
            <w:pPr>
              <w:jc w:val="center"/>
              <w:rPr>
                <w:rFonts w:ascii="宋体" w:hAnsi="宋体" w:cs="宋体"/>
                <w:bCs/>
                <w:color w:val="auto"/>
                <w:sz w:val="24"/>
              </w:rPr>
            </w:pPr>
            <w:r>
              <w:rPr>
                <w:rFonts w:hint="eastAsia" w:ascii="宋体" w:hAnsi="宋体" w:cs="宋体"/>
                <w:bCs/>
                <w:color w:val="auto"/>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685" w:type="dxa"/>
            <w:gridSpan w:val="2"/>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685" w:type="dxa"/>
            <w:gridSpan w:val="2"/>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685" w:type="dxa"/>
            <w:gridSpan w:val="2"/>
          </w:tcPr>
          <w:p>
            <w:pPr>
              <w:jc w:val="center"/>
              <w:rPr>
                <w:rFonts w:ascii="宋体" w:hAnsi="宋体" w:cs="宋体"/>
                <w:b/>
                <w:color w:val="auto"/>
                <w:sz w:val="24"/>
              </w:rPr>
            </w:pPr>
          </w:p>
        </w:tc>
      </w:tr>
    </w:tbl>
    <w:p>
      <w:pPr>
        <w:pStyle w:val="9"/>
        <w:rPr>
          <w:rFonts w:ascii="宋体" w:hAnsi="宋体" w:eastAsia="宋体" w:cs="宋体"/>
          <w:color w:val="auto"/>
          <w:sz w:val="24"/>
        </w:rPr>
      </w:pPr>
    </w:p>
    <w:p>
      <w:pPr>
        <w:pStyle w:val="9"/>
        <w:rPr>
          <w:rFonts w:ascii="宋体" w:hAnsi="宋体" w:eastAsia="宋体" w:cs="宋体"/>
          <w:color w:val="auto"/>
          <w:sz w:val="24"/>
        </w:rPr>
      </w:pPr>
    </w:p>
    <w:p>
      <w:pPr>
        <w:adjustRightInd w:val="0"/>
        <w:snapToGrid w:val="0"/>
        <w:spacing w:line="360" w:lineRule="auto"/>
        <w:jc w:val="right"/>
        <w:rPr>
          <w:rFonts w:ascii="宋体" w:hAnsi="宋体" w:cs="宋体"/>
          <w:color w:val="auto"/>
          <w:sz w:val="24"/>
          <w:lang w:val="en-GB"/>
        </w:rPr>
      </w:pPr>
      <w:r>
        <w:rPr>
          <w:rFonts w:hint="eastAsia" w:ascii="宋体" w:hAnsi="宋体" w:cs="宋体"/>
          <w:color w:val="auto"/>
          <w:sz w:val="24"/>
          <w:lang w:val="en-GB"/>
        </w:rPr>
        <w:t xml:space="preserve">供应商名称（加盖公章）： </w:t>
      </w:r>
    </w:p>
    <w:p>
      <w:pPr>
        <w:adjustRightInd w:val="0"/>
        <w:snapToGrid w:val="0"/>
        <w:spacing w:line="360" w:lineRule="auto"/>
        <w:jc w:val="right"/>
        <w:rPr>
          <w:rFonts w:ascii="宋体" w:hAnsi="宋体" w:cs="宋体"/>
          <w:color w:val="auto"/>
          <w:sz w:val="24"/>
          <w:lang w:val="en-GB"/>
        </w:rPr>
      </w:pPr>
      <w:r>
        <w:rPr>
          <w:rFonts w:hint="eastAsia" w:ascii="宋体" w:hAnsi="宋体" w:cs="宋体"/>
          <w:color w:val="auto"/>
          <w:sz w:val="24"/>
          <w:lang w:val="en-GB"/>
        </w:rPr>
        <w:t>年  月  日</w:t>
      </w:r>
    </w:p>
    <w:p>
      <w:pPr>
        <w:jc w:val="center"/>
        <w:rPr>
          <w:rFonts w:ascii="宋体" w:hAnsi="宋体" w:cs="宋体"/>
          <w:b/>
          <w:color w:val="auto"/>
          <w:sz w:val="24"/>
        </w:rPr>
      </w:pPr>
      <w:r>
        <w:rPr>
          <w:rFonts w:hint="eastAsia" w:ascii="宋体" w:hAnsi="宋体" w:cs="宋体"/>
          <w:color w:val="auto"/>
          <w:sz w:val="24"/>
          <w:szCs w:val="24"/>
        </w:rPr>
        <w:br w:type="page"/>
      </w:r>
    </w:p>
    <w:p>
      <w:pPr>
        <w:rPr>
          <w:rFonts w:hint="eastAsia"/>
          <w:color w:val="auto"/>
          <w:sz w:val="24"/>
          <w:szCs w:val="24"/>
        </w:rPr>
      </w:pPr>
    </w:p>
    <w:p>
      <w:pPr>
        <w:pStyle w:val="21"/>
        <w:numPr>
          <w:ilvl w:val="0"/>
          <w:numId w:val="0"/>
        </w:numPr>
        <w:spacing w:line="360" w:lineRule="auto"/>
        <w:rPr>
          <w:rFonts w:hint="eastAsia"/>
          <w:color w:val="auto"/>
          <w:sz w:val="24"/>
          <w:szCs w:val="24"/>
          <w:highlight w:val="none"/>
        </w:rPr>
      </w:pPr>
      <w:r>
        <w:rPr>
          <w:rFonts w:hint="eastAsia"/>
          <w:color w:val="auto"/>
          <w:sz w:val="24"/>
          <w:szCs w:val="24"/>
        </w:rPr>
        <w:t>2.</w:t>
      </w:r>
      <w:r>
        <w:rPr>
          <w:color w:val="auto"/>
          <w:sz w:val="24"/>
          <w:szCs w:val="24"/>
        </w:rPr>
        <w:t>7</w:t>
      </w:r>
      <w:r>
        <w:rPr>
          <w:rFonts w:hint="eastAsia"/>
          <w:color w:val="auto"/>
          <w:sz w:val="24"/>
          <w:szCs w:val="24"/>
          <w:highlight w:val="none"/>
        </w:rPr>
        <w:t>.类似项目业绩复印件：</w:t>
      </w:r>
    </w:p>
    <w:p>
      <w:pPr>
        <w:pStyle w:val="21"/>
        <w:numPr>
          <w:ilvl w:val="0"/>
          <w:numId w:val="0"/>
        </w:numPr>
        <w:spacing w:line="360" w:lineRule="auto"/>
        <w:rPr>
          <w:rFonts w:hint="eastAsia" w:asciiTheme="minorEastAsia" w:hAnsiTheme="minorEastAsia"/>
          <w:color w:val="auto"/>
          <w:sz w:val="24"/>
          <w:szCs w:val="24"/>
          <w:highlight w:val="none"/>
        </w:rPr>
      </w:pPr>
      <w:r>
        <w:rPr>
          <w:rFonts w:hint="eastAsia"/>
          <w:color w:val="auto"/>
          <w:sz w:val="24"/>
          <w:szCs w:val="24"/>
          <w:highlight w:val="none"/>
          <w:lang w:val="en-US" w:eastAsia="zh-CN"/>
        </w:rPr>
        <w:t>1、</w:t>
      </w:r>
      <w:r>
        <w:rPr>
          <w:rFonts w:hint="eastAsia" w:asciiTheme="minorEastAsia" w:hAnsiTheme="minorEastAsia"/>
          <w:color w:val="auto"/>
          <w:sz w:val="24"/>
          <w:szCs w:val="24"/>
          <w:highlight w:val="none"/>
        </w:rPr>
        <w:t>投标人具有完成</w:t>
      </w:r>
      <w:r>
        <w:rPr>
          <w:rFonts w:hint="eastAsia" w:asciiTheme="minorEastAsia" w:hAnsiTheme="minorEastAsia"/>
          <w:color w:val="auto"/>
          <w:sz w:val="24"/>
          <w:szCs w:val="24"/>
          <w:highlight w:val="none"/>
          <w:lang w:val="en-US" w:eastAsia="zh-CN"/>
        </w:rPr>
        <w:t>过</w:t>
      </w:r>
      <w:r>
        <w:rPr>
          <w:rFonts w:hint="eastAsia" w:asciiTheme="minorEastAsia" w:hAnsiTheme="minorEastAsia"/>
          <w:color w:val="auto"/>
          <w:sz w:val="24"/>
          <w:szCs w:val="24"/>
          <w:highlight w:val="none"/>
        </w:rPr>
        <w:t>区域供冷或集中供冷或蓄冷项目中央空调自控工程项目业绩，提供合同关键页复印件，包括但不限于项目名称、金额及实施内容、合同盖章、签订日期，加盖单位公章。</w:t>
      </w:r>
    </w:p>
    <w:p>
      <w:pPr>
        <w:pStyle w:val="21"/>
        <w:numPr>
          <w:ilvl w:val="0"/>
          <w:numId w:val="0"/>
        </w:numPr>
        <w:spacing w:line="360" w:lineRule="auto"/>
        <w:rPr>
          <w:rFonts w:hint="eastAsia" w:asciiTheme="minorEastAsia" w:hAnsiTheme="minorEastAsia"/>
          <w:color w:val="auto"/>
          <w:sz w:val="24"/>
          <w:szCs w:val="24"/>
          <w:highlight w:val="yellow"/>
        </w:rPr>
      </w:pP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highlight w:val="none"/>
        </w:rPr>
        <w:t>投标人具有完成</w:t>
      </w:r>
      <w:r>
        <w:rPr>
          <w:rFonts w:hint="eastAsia" w:asciiTheme="minorEastAsia" w:hAnsiTheme="minorEastAsia"/>
          <w:color w:val="auto"/>
          <w:sz w:val="24"/>
          <w:highlight w:val="none"/>
          <w:lang w:val="en-US" w:eastAsia="zh-CN"/>
        </w:rPr>
        <w:t>过</w:t>
      </w:r>
      <w:r>
        <w:rPr>
          <w:rFonts w:hint="eastAsia" w:asciiTheme="minorEastAsia" w:hAnsiTheme="minorEastAsia"/>
          <w:color w:val="auto"/>
          <w:sz w:val="24"/>
          <w:highlight w:val="none"/>
        </w:rPr>
        <w:t>区域供冷或集中供冷或蓄冷项目业绩，且为大型PLC冗余系统（I/0 点数为1万点及以上）</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rPr>
        <w:t>I/0 点数为1万点及以上可提供说明文件作为支撑证明。提供合同关键页复印件，包括但不限于项目名称、金额及实施内容、合同盖章、签订日期，加盖单位公章。</w:t>
      </w:r>
    </w:p>
    <w:p>
      <w:pPr>
        <w:rPr>
          <w:rFonts w:hint="eastAsia"/>
          <w:color w:val="auto"/>
          <w:sz w:val="24"/>
          <w:szCs w:val="28"/>
        </w:rPr>
      </w:pPr>
      <w:r>
        <w:rPr>
          <w:rFonts w:hint="eastAsia"/>
          <w:color w:val="auto"/>
          <w:sz w:val="24"/>
          <w:szCs w:val="28"/>
        </w:rPr>
        <w:br w:type="page"/>
      </w:r>
    </w:p>
    <w:p>
      <w:pPr>
        <w:pStyle w:val="2"/>
        <w:ind w:firstLine="480"/>
        <w:jc w:val="left"/>
        <w:rPr>
          <w:rFonts w:hint="eastAsia" w:eastAsia="微软雅黑"/>
          <w:color w:val="auto"/>
          <w:sz w:val="24"/>
          <w:szCs w:val="24"/>
          <w:highlight w:val="yellow"/>
          <w:lang w:eastAsia="zh-CN"/>
        </w:rPr>
      </w:pPr>
      <w:r>
        <w:rPr>
          <w:rFonts w:hint="eastAsia"/>
          <w:color w:val="auto"/>
          <w:sz w:val="24"/>
          <w:szCs w:val="24"/>
          <w:highlight w:val="none"/>
        </w:rPr>
        <w:t>2.8</w:t>
      </w:r>
      <w:r>
        <w:rPr>
          <w:rFonts w:hint="eastAsia" w:asciiTheme="minorEastAsia" w:hAnsiTheme="minorEastAsia"/>
          <w:color w:val="auto"/>
          <w:sz w:val="24"/>
          <w:szCs w:val="28"/>
          <w:highlight w:val="none"/>
        </w:rPr>
        <w:t>投标人具有有效期内电子与智能化工程专业承包贰级及以上资质</w:t>
      </w:r>
      <w:r>
        <w:rPr>
          <w:rFonts w:hint="eastAsia" w:asciiTheme="minorEastAsia" w:hAnsiTheme="minorEastAsia"/>
          <w:color w:val="auto"/>
          <w:sz w:val="24"/>
          <w:szCs w:val="28"/>
          <w:highlight w:val="none"/>
          <w:lang w:eastAsia="zh-CN"/>
        </w:rPr>
        <w:t>，</w:t>
      </w:r>
      <w:r>
        <w:rPr>
          <w:rFonts w:hint="eastAsia" w:asciiTheme="minorEastAsia" w:hAnsiTheme="minorEastAsia"/>
          <w:color w:val="auto"/>
          <w:sz w:val="24"/>
          <w:szCs w:val="28"/>
          <w:highlight w:val="none"/>
          <w:lang w:val="en-US" w:eastAsia="zh-CN"/>
        </w:rPr>
        <w:t>提供证书复印件</w:t>
      </w:r>
      <w:r>
        <w:rPr>
          <w:rFonts w:hint="eastAsia" w:asciiTheme="minorEastAsia" w:hAnsiTheme="minorEastAsia"/>
          <w:color w:val="auto"/>
          <w:sz w:val="24"/>
          <w:szCs w:val="28"/>
          <w:lang w:eastAsia="zh-CN"/>
        </w:rPr>
        <w:t>。</w:t>
      </w:r>
    </w:p>
    <w:p>
      <w:pPr>
        <w:ind w:firstLine="480"/>
        <w:jc w:val="left"/>
        <w:rPr>
          <w:rFonts w:hint="eastAsia" w:hAnsi="Calibri" w:eastAsia="微软雅黑" w:asciiTheme="minorHAnsi" w:cstheme="minorBidi"/>
          <w:color w:val="auto"/>
          <w:sz w:val="24"/>
          <w:szCs w:val="24"/>
          <w:highlight w:val="yellow"/>
          <w:lang w:eastAsia="zh-CN"/>
        </w:rPr>
      </w:pPr>
      <w:r>
        <w:rPr>
          <w:rFonts w:hint="eastAsia" w:hAnsi="Calibri" w:eastAsia="微软雅黑" w:asciiTheme="minorHAnsi" w:cstheme="minorBidi"/>
          <w:color w:val="auto"/>
          <w:sz w:val="24"/>
          <w:szCs w:val="24"/>
          <w:highlight w:val="yellow"/>
          <w:lang w:eastAsia="zh-CN"/>
        </w:rPr>
        <w:br w:type="page"/>
      </w:r>
    </w:p>
    <w:p>
      <w:pPr>
        <w:spacing w:line="360" w:lineRule="auto"/>
        <w:rPr>
          <w:color w:val="auto"/>
          <w:sz w:val="24"/>
          <w:szCs w:val="24"/>
        </w:rPr>
      </w:pPr>
      <w:r>
        <w:rPr>
          <w:rFonts w:hint="eastAsia"/>
          <w:color w:val="auto"/>
          <w:sz w:val="24"/>
          <w:szCs w:val="24"/>
        </w:rPr>
        <w:t>2.9.其他资料</w:t>
      </w:r>
    </w:p>
    <w:p>
      <w:pPr>
        <w:spacing w:line="320" w:lineRule="exact"/>
        <w:ind w:firstLine="480"/>
        <w:contextualSpacing/>
        <w:jc w:val="center"/>
        <w:rPr>
          <w:rFonts w:hint="eastAsia" w:hAnsi="Calibri" w:eastAsia="微软雅黑" w:asciiTheme="minorHAnsi" w:cstheme="minorBidi"/>
          <w:color w:val="auto"/>
          <w:sz w:val="24"/>
          <w:szCs w:val="24"/>
          <w:highlight w:val="yellow"/>
          <w:lang w:eastAsia="zh-CN"/>
        </w:rPr>
      </w:pPr>
      <w:r>
        <w:rPr>
          <w:rFonts w:hint="eastAsia"/>
          <w:color w:val="auto"/>
          <w:sz w:val="24"/>
          <w:szCs w:val="24"/>
        </w:rPr>
        <w:t>供应商提交的其他资料。</w:t>
      </w:r>
      <w:r>
        <w:rPr>
          <w:rFonts w:hint="eastAsia"/>
          <w:color w:val="auto"/>
          <w:sz w:val="24"/>
          <w:szCs w:val="24"/>
          <w:lang w:eastAsia="zh-CN"/>
        </w:rPr>
        <w:t>（</w:t>
      </w:r>
      <w:r>
        <w:rPr>
          <w:rFonts w:hint="eastAsia"/>
          <w:color w:val="auto"/>
          <w:sz w:val="24"/>
          <w:szCs w:val="24"/>
          <w:lang w:val="en-US" w:eastAsia="zh-CN"/>
        </w:rPr>
        <w:t>如</w:t>
      </w:r>
      <w:r>
        <w:rPr>
          <w:rFonts w:hint="eastAsia" w:ascii="宋体" w:hAnsi="宋体"/>
          <w:color w:val="auto"/>
          <w:sz w:val="21"/>
          <w:szCs w:val="21"/>
        </w:rPr>
        <w:t>A级纳税人称号</w:t>
      </w:r>
      <w:r>
        <w:rPr>
          <w:rFonts w:hint="eastAsia" w:ascii="宋体" w:hAnsi="宋体"/>
          <w:color w:val="auto"/>
          <w:sz w:val="21"/>
          <w:szCs w:val="21"/>
          <w:lang w:val="en-US" w:eastAsia="zh-CN"/>
        </w:rPr>
        <w:t>证明</w:t>
      </w:r>
      <w:r>
        <w:rPr>
          <w:rFonts w:hint="eastAsia" w:ascii="宋体" w:hAnsi="宋体"/>
          <w:color w:val="auto"/>
          <w:sz w:val="21"/>
          <w:szCs w:val="21"/>
          <w:lang w:eastAsia="zh-CN"/>
        </w:rPr>
        <w:t>、</w:t>
      </w:r>
      <w:r>
        <w:rPr>
          <w:rFonts w:hint="eastAsia" w:ascii="宋体" w:hAnsi="宋体"/>
          <w:color w:val="auto"/>
          <w:sz w:val="21"/>
          <w:szCs w:val="21"/>
          <w:lang w:val="en-US" w:eastAsia="zh-CN"/>
        </w:rPr>
        <w:t>西门子集成授权商证明、科研能力证明等</w:t>
      </w:r>
      <w:r>
        <w:rPr>
          <w:rFonts w:hint="eastAsia"/>
          <w:color w:val="auto"/>
          <w:sz w:val="24"/>
          <w:szCs w:val="24"/>
          <w:lang w:eastAsia="zh-CN"/>
        </w:rPr>
        <w:t>）</w:t>
      </w:r>
    </w:p>
    <w:p>
      <w:pPr>
        <w:widowControl/>
        <w:jc w:val="left"/>
        <w:rPr>
          <w:rFonts w:hint="eastAsia" w:ascii="宋体" w:hAnsi="宋体"/>
          <w:color w:val="auto"/>
          <w:sz w:val="32"/>
        </w:rPr>
      </w:pPr>
      <w:r>
        <w:rPr>
          <w:rFonts w:hint="eastAsia" w:ascii="宋体" w:hAnsi="宋体"/>
          <w:color w:val="auto"/>
          <w:sz w:val="32"/>
        </w:rPr>
        <w:br w:type="page"/>
      </w:r>
    </w:p>
    <w:p>
      <w:pPr>
        <w:spacing w:line="360" w:lineRule="auto"/>
        <w:ind w:firstLine="484" w:firstLineChars="202"/>
        <w:rPr>
          <w:color w:val="auto"/>
          <w:sz w:val="24"/>
          <w:szCs w:val="24"/>
        </w:rPr>
      </w:pPr>
      <w:r>
        <w:rPr>
          <w:rFonts w:hint="eastAsia"/>
          <w:color w:val="auto"/>
          <w:sz w:val="24"/>
          <w:szCs w:val="24"/>
        </w:rPr>
        <w:t>附件</w:t>
      </w:r>
      <w:r>
        <w:rPr>
          <w:rFonts w:hint="eastAsia"/>
          <w:color w:val="auto"/>
          <w:sz w:val="24"/>
          <w:szCs w:val="24"/>
          <w:lang w:val="en-US" w:eastAsia="zh-CN"/>
        </w:rPr>
        <w:t>3</w:t>
      </w:r>
      <w:r>
        <w:rPr>
          <w:rFonts w:hint="eastAsia"/>
          <w:color w:val="auto"/>
          <w:sz w:val="24"/>
          <w:szCs w:val="24"/>
        </w:rPr>
        <w:t>：评审办法</w:t>
      </w:r>
    </w:p>
    <w:p>
      <w:pPr>
        <w:ind w:firstLine="484" w:firstLineChars="202"/>
        <w:rPr>
          <w:rFonts w:ascii="宋体" w:hAnsi="宋体" w:cs="宋体"/>
          <w:color w:val="auto"/>
          <w:sz w:val="24"/>
        </w:rPr>
      </w:pPr>
      <w:r>
        <w:rPr>
          <w:rFonts w:hint="eastAsia" w:ascii="宋体" w:hAnsi="宋体" w:cs="宋体"/>
          <w:color w:val="auto"/>
          <w:sz w:val="24"/>
        </w:rPr>
        <w:t>一、评审委员会</w:t>
      </w:r>
    </w:p>
    <w:p>
      <w:pPr>
        <w:ind w:firstLine="484" w:firstLineChars="202"/>
        <w:rPr>
          <w:rFonts w:ascii="宋体" w:hAnsi="宋体" w:cs="宋体"/>
          <w:color w:val="auto"/>
          <w:sz w:val="24"/>
        </w:rPr>
      </w:pPr>
      <w:r>
        <w:rPr>
          <w:rFonts w:hint="eastAsia" w:ascii="宋体" w:hAnsi="宋体" w:cs="宋体"/>
          <w:color w:val="auto"/>
          <w:sz w:val="24"/>
        </w:rPr>
        <w:t>本次采购由采购人自行组建评审小组，评审小组成员由广州城投综合能源投资经营管理有限公司人员组成，确定5人的评审小组。</w:t>
      </w:r>
    </w:p>
    <w:p>
      <w:pPr>
        <w:ind w:firstLine="484" w:firstLineChars="202"/>
        <w:rPr>
          <w:rFonts w:ascii="宋体" w:hAnsi="宋体" w:cs="宋体"/>
          <w:color w:val="auto"/>
          <w:sz w:val="24"/>
        </w:rPr>
      </w:pPr>
      <w:r>
        <w:rPr>
          <w:rFonts w:hint="eastAsia" w:ascii="宋体" w:hAnsi="宋体" w:cs="宋体"/>
          <w:color w:val="auto"/>
          <w:sz w:val="24"/>
        </w:rPr>
        <w:t>二、评审标准及程序</w:t>
      </w:r>
    </w:p>
    <w:p>
      <w:pPr>
        <w:ind w:firstLine="484" w:firstLineChars="202"/>
        <w:rPr>
          <w:rFonts w:ascii="宋体" w:hAnsi="宋体" w:cs="宋体"/>
          <w:color w:val="auto"/>
          <w:sz w:val="24"/>
        </w:rPr>
      </w:pPr>
      <w:r>
        <w:rPr>
          <w:rFonts w:hint="eastAsia" w:ascii="宋体" w:hAnsi="宋体" w:cs="宋体"/>
          <w:color w:val="auto"/>
          <w:sz w:val="24"/>
        </w:rPr>
        <w:t>（一）投标文件资格性、有效性审查</w:t>
      </w:r>
    </w:p>
    <w:p>
      <w:pPr>
        <w:ind w:firstLine="484" w:firstLineChars="202"/>
        <w:rPr>
          <w:rFonts w:ascii="宋体" w:hAnsi="宋体" w:cs="宋体"/>
          <w:color w:val="auto"/>
          <w:sz w:val="24"/>
        </w:rPr>
      </w:pPr>
      <w:r>
        <w:rPr>
          <w:rFonts w:hint="eastAsia" w:ascii="宋体" w:hAnsi="宋体" w:cs="宋体"/>
          <w:color w:val="auto"/>
          <w:sz w:val="24"/>
        </w:rPr>
        <w:t>评审小组对各投标文件进行评审，评审包括资格性审查和有效性审查，出现不符合下列情形之一时，作无效投标处理。《资格性及有效性性审查表》如下：</w:t>
      </w:r>
    </w:p>
    <w:p>
      <w:pPr>
        <w:pStyle w:val="4"/>
        <w:ind w:firstLine="484" w:firstLineChars="202"/>
        <w:rPr>
          <w:color w:val="auto"/>
          <w:sz w:val="24"/>
        </w:rPr>
      </w:pPr>
    </w:p>
    <w:p>
      <w:pPr>
        <w:ind w:firstLine="482" w:firstLineChars="200"/>
        <w:jc w:val="center"/>
        <w:rPr>
          <w:b/>
          <w:bCs/>
          <w:color w:val="auto"/>
          <w:sz w:val="24"/>
          <w:szCs w:val="24"/>
        </w:rPr>
      </w:pPr>
      <w:r>
        <w:rPr>
          <w:rFonts w:hint="eastAsia"/>
          <w:b/>
          <w:bCs/>
          <w:color w:val="auto"/>
          <w:sz w:val="24"/>
          <w:szCs w:val="24"/>
        </w:rPr>
        <w:t>投标人资格性及有效性审查表</w:t>
      </w:r>
    </w:p>
    <w:p>
      <w:pPr>
        <w:spacing w:line="360" w:lineRule="auto"/>
        <w:ind w:firstLine="480" w:firstLineChars="200"/>
        <w:rPr>
          <w:rFonts w:ascii="宋体" w:hAnsi="宋体"/>
          <w:bCs/>
          <w:color w:val="auto"/>
          <w:sz w:val="24"/>
        </w:rPr>
      </w:pPr>
      <w:r>
        <w:rPr>
          <w:rFonts w:hint="eastAsia" w:ascii="宋体" w:hAnsi="宋体"/>
          <w:color w:val="auto"/>
          <w:sz w:val="24"/>
        </w:rPr>
        <w:t>项目名称：</w:t>
      </w:r>
    </w:p>
    <w:tbl>
      <w:tblPr>
        <w:tblStyle w:val="16"/>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662"/>
        <w:gridCol w:w="7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b/>
                <w:color w:val="auto"/>
                <w:sz w:val="24"/>
                <w:szCs w:val="24"/>
              </w:rPr>
            </w:pPr>
            <w:r>
              <w:rPr>
                <w:rFonts w:hint="eastAsia" w:ascii="宋体" w:hAnsi="宋体" w:cs="宋体"/>
                <w:b/>
                <w:bCs/>
                <w:color w:val="auto"/>
                <w:sz w:val="24"/>
                <w:szCs w:val="24"/>
              </w:rPr>
              <w:t>序号</w:t>
            </w:r>
          </w:p>
        </w:tc>
        <w:tc>
          <w:tcPr>
            <w:tcW w:w="6662" w:type="dxa"/>
            <w:vAlign w:val="center"/>
          </w:tcPr>
          <w:p>
            <w:pPr>
              <w:ind w:firstLine="440"/>
              <w:jc w:val="center"/>
              <w:rPr>
                <w:rFonts w:ascii="宋体" w:hAnsi="宋体"/>
                <w:b/>
                <w:color w:val="auto"/>
                <w:sz w:val="24"/>
                <w:szCs w:val="24"/>
              </w:rPr>
            </w:pPr>
            <w:r>
              <w:rPr>
                <w:rFonts w:hint="eastAsia" w:ascii="宋体" w:hAnsi="宋体" w:cs="宋体"/>
                <w:b/>
                <w:bCs/>
                <w:color w:val="auto"/>
                <w:sz w:val="24"/>
                <w:szCs w:val="24"/>
              </w:rPr>
              <w:t>评审内容</w:t>
            </w:r>
          </w:p>
        </w:tc>
        <w:tc>
          <w:tcPr>
            <w:tcW w:w="746" w:type="dxa"/>
            <w:vAlign w:val="center"/>
          </w:tcPr>
          <w:p>
            <w:pPr>
              <w:ind w:firstLine="236" w:firstLineChars="98"/>
              <w:jc w:val="left"/>
              <w:rPr>
                <w:rFonts w:ascii="宋体" w:hAnsi="宋体"/>
                <w:b/>
                <w:color w:val="auto"/>
                <w:sz w:val="24"/>
                <w:szCs w:val="24"/>
              </w:rPr>
            </w:pPr>
            <w:r>
              <w:rPr>
                <w:rFonts w:hint="eastAsia" w:ascii="宋体" w:hAnsi="宋体" w:cs="宋体"/>
                <w:b/>
                <w:bCs/>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52" w:type="dxa"/>
            <w:vAlign w:val="center"/>
          </w:tcPr>
          <w:p>
            <w:pPr>
              <w:pStyle w:val="4"/>
              <w:jc w:val="center"/>
              <w:rPr>
                <w:color w:val="auto"/>
                <w:sz w:val="24"/>
              </w:rPr>
            </w:pPr>
            <w:r>
              <w:rPr>
                <w:rFonts w:hint="eastAsia"/>
                <w:color w:val="auto"/>
                <w:sz w:val="24"/>
              </w:rPr>
              <w:t>1</w:t>
            </w:r>
          </w:p>
        </w:tc>
        <w:tc>
          <w:tcPr>
            <w:tcW w:w="6662" w:type="dxa"/>
            <w:vAlign w:val="center"/>
          </w:tcPr>
          <w:p>
            <w:pPr>
              <w:widowControl/>
              <w:jc w:val="left"/>
              <w:textAlignment w:val="center"/>
              <w:rPr>
                <w:rFonts w:ascii="宋体" w:hAnsi="宋体"/>
                <w:color w:val="auto"/>
                <w:sz w:val="24"/>
                <w:szCs w:val="24"/>
              </w:rPr>
            </w:pPr>
            <w:r>
              <w:rPr>
                <w:rFonts w:hint="eastAsia" w:ascii="宋体" w:hAnsi="宋体" w:cs="宋体"/>
                <w:color w:val="auto"/>
                <w:kern w:val="0"/>
                <w:sz w:val="24"/>
                <w:lang w:bidi="ar"/>
              </w:rPr>
              <w:t>投标单位必须是具有独立承担民事责任能力的在中华人民共和国境内注册的法人或其他组织，提供营业执照或法人证书或民办非企业单位登记证书的盖章扫描件证明；</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color w:val="auto"/>
                <w:sz w:val="24"/>
                <w:szCs w:val="24"/>
              </w:rPr>
            </w:pPr>
            <w:r>
              <w:rPr>
                <w:rFonts w:hint="eastAsia" w:ascii="宋体" w:hAnsi="宋体" w:cs="宋体"/>
                <w:color w:val="auto"/>
                <w:sz w:val="24"/>
                <w:szCs w:val="24"/>
              </w:rPr>
              <w:t>2</w:t>
            </w:r>
          </w:p>
        </w:tc>
        <w:tc>
          <w:tcPr>
            <w:tcW w:w="6662" w:type="dxa"/>
            <w:vAlign w:val="center"/>
          </w:tcPr>
          <w:p>
            <w:pPr>
              <w:widowControl/>
              <w:jc w:val="left"/>
              <w:textAlignment w:val="center"/>
              <w:rPr>
                <w:rFonts w:ascii="宋体" w:hAnsi="宋体"/>
                <w:color w:val="auto"/>
                <w:sz w:val="24"/>
                <w:szCs w:val="24"/>
              </w:rPr>
            </w:pPr>
            <w:r>
              <w:rPr>
                <w:rFonts w:hint="eastAsia" w:ascii="宋体" w:hAnsi="宋体" w:cs="宋体"/>
                <w:color w:val="auto"/>
                <w:kern w:val="0"/>
                <w:sz w:val="24"/>
                <w:lang w:bidi="ar"/>
              </w:rPr>
              <w:t>投标人未被列入“信用中国”网站(www.creditchina.gov.cn)记录失信被执行人名单,须提供“信用中国”网站(www.creditchina.gov.cn)的信用记录查询结果截图或信用信息报告并打印页面加盖公章</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color w:val="auto"/>
                <w:sz w:val="24"/>
                <w:szCs w:val="24"/>
              </w:rPr>
            </w:pPr>
            <w:r>
              <w:rPr>
                <w:rFonts w:hint="eastAsia" w:ascii="宋体" w:hAnsi="宋体" w:cs="宋体"/>
                <w:color w:val="auto"/>
                <w:sz w:val="24"/>
                <w:szCs w:val="24"/>
              </w:rPr>
              <w:t>3</w:t>
            </w:r>
          </w:p>
        </w:tc>
        <w:tc>
          <w:tcPr>
            <w:tcW w:w="6662" w:type="dxa"/>
            <w:vAlign w:val="center"/>
          </w:tcPr>
          <w:p>
            <w:pPr>
              <w:widowControl/>
              <w:jc w:val="left"/>
              <w:textAlignment w:val="center"/>
              <w:rPr>
                <w:rFonts w:ascii="宋体" w:hAnsi="宋体"/>
                <w:color w:val="auto"/>
                <w:sz w:val="24"/>
                <w:szCs w:val="24"/>
                <w:highlight w:val="yellow"/>
              </w:rPr>
            </w:pPr>
            <w:r>
              <w:rPr>
                <w:rFonts w:hint="eastAsia" w:ascii="宋体" w:hAnsi="宋体"/>
                <w:color w:val="auto"/>
                <w:sz w:val="24"/>
              </w:rPr>
              <w:t>投标人没有处于被责令停业或破产状态，且资产未被重组、接管和冻结，声明在投标活动中3年内没有重大违法活动和涉嫌违规行为（附投标声明函）</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4</w:t>
            </w:r>
          </w:p>
        </w:tc>
        <w:tc>
          <w:tcPr>
            <w:tcW w:w="6662" w:type="dxa"/>
            <w:vAlign w:val="center"/>
          </w:tcPr>
          <w:p>
            <w:pPr>
              <w:widowControl/>
              <w:jc w:val="left"/>
              <w:textAlignment w:val="center"/>
              <w:rPr>
                <w:rFonts w:hint="eastAsia" w:ascii="宋体" w:hAnsi="宋体" w:eastAsiaTheme="minorEastAsia"/>
                <w:color w:val="auto"/>
                <w:sz w:val="24"/>
                <w:lang w:eastAsia="zh-CN"/>
              </w:rPr>
            </w:pPr>
            <w:r>
              <w:rPr>
                <w:rFonts w:hint="eastAsia" w:asciiTheme="minorEastAsia" w:hAnsiTheme="minorEastAsia"/>
                <w:color w:val="auto"/>
                <w:sz w:val="24"/>
                <w:szCs w:val="28"/>
              </w:rPr>
              <w:t>投标人具有有效期内电子与智能化工程专业承包贰级</w:t>
            </w:r>
            <w:r>
              <w:rPr>
                <w:rFonts w:hint="eastAsia" w:asciiTheme="minorEastAsia" w:hAnsiTheme="minorEastAsia"/>
                <w:color w:val="auto"/>
                <w:sz w:val="24"/>
                <w:szCs w:val="28"/>
                <w:lang w:val="en-US" w:eastAsia="zh-CN"/>
              </w:rPr>
              <w:t>或</w:t>
            </w:r>
            <w:r>
              <w:rPr>
                <w:rFonts w:hint="eastAsia" w:asciiTheme="minorEastAsia" w:hAnsiTheme="minorEastAsia"/>
                <w:color w:val="auto"/>
                <w:sz w:val="24"/>
                <w:szCs w:val="28"/>
              </w:rPr>
              <w:t>以上资质</w:t>
            </w:r>
            <w:r>
              <w:rPr>
                <w:rFonts w:hint="eastAsia" w:asciiTheme="minorEastAsia" w:hAnsiTheme="minorEastAsia"/>
                <w:color w:val="auto"/>
                <w:sz w:val="24"/>
                <w:szCs w:val="28"/>
                <w:lang w:eastAsia="zh-CN"/>
              </w:rPr>
              <w:t>，</w:t>
            </w:r>
            <w:r>
              <w:rPr>
                <w:rFonts w:hint="eastAsia" w:asciiTheme="minorEastAsia" w:hAnsiTheme="minorEastAsia"/>
                <w:color w:val="auto"/>
                <w:sz w:val="24"/>
                <w:szCs w:val="28"/>
                <w:lang w:val="en-US" w:eastAsia="zh-CN"/>
              </w:rPr>
              <w:t>提供</w:t>
            </w:r>
            <w:r>
              <w:rPr>
                <w:rFonts w:hint="eastAsia" w:asciiTheme="minorEastAsia" w:hAnsiTheme="minorEastAsia"/>
                <w:color w:val="auto"/>
                <w:sz w:val="24"/>
                <w:szCs w:val="28"/>
              </w:rPr>
              <w:t>证书复印件作为证明材料；</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val="en-US" w:eastAsia="zh-CN"/>
              </w:rPr>
              <w:t>5</w:t>
            </w:r>
          </w:p>
        </w:tc>
        <w:tc>
          <w:tcPr>
            <w:tcW w:w="6662" w:type="dxa"/>
            <w:vAlign w:val="center"/>
          </w:tcPr>
          <w:p>
            <w:pPr>
              <w:pStyle w:val="21"/>
              <w:widowControl/>
              <w:numPr>
                <w:ilvl w:val="0"/>
                <w:numId w:val="0"/>
              </w:numPr>
              <w:spacing w:line="360" w:lineRule="auto"/>
              <w:jc w:val="left"/>
              <w:textAlignment w:val="center"/>
              <w:rPr>
                <w:rFonts w:ascii="宋体" w:hAnsi="宋体"/>
                <w:color w:val="auto"/>
                <w:sz w:val="24"/>
                <w:szCs w:val="24"/>
                <w:highlight w:val="yellow"/>
              </w:rPr>
            </w:pPr>
            <w:r>
              <w:rPr>
                <w:rFonts w:hint="eastAsia" w:asciiTheme="minorEastAsia" w:hAnsiTheme="minorEastAsia"/>
                <w:color w:val="auto"/>
                <w:sz w:val="24"/>
                <w:highlight w:val="none"/>
              </w:rPr>
              <w:t>投标人具有完成</w:t>
            </w:r>
            <w:r>
              <w:rPr>
                <w:rFonts w:hint="eastAsia" w:asciiTheme="minorEastAsia" w:hAnsiTheme="minorEastAsia"/>
                <w:color w:val="auto"/>
                <w:sz w:val="24"/>
                <w:highlight w:val="none"/>
                <w:lang w:val="en-US" w:eastAsia="zh-CN"/>
              </w:rPr>
              <w:t>过</w:t>
            </w:r>
            <w:r>
              <w:rPr>
                <w:rFonts w:hint="eastAsia" w:asciiTheme="minorEastAsia" w:hAnsiTheme="minorEastAsia"/>
                <w:color w:val="auto"/>
                <w:sz w:val="24"/>
                <w:highlight w:val="none"/>
              </w:rPr>
              <w:t>区域供冷或集中供冷或蓄冷项目中央空调自控工程项目业绩，提供合同关键页复印件，包括但不限于项目名称、金额及实施内容、合同盖章、签订日期，加盖单位公章。</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val="en-US" w:eastAsia="zh-CN"/>
              </w:rPr>
              <w:t>6</w:t>
            </w:r>
          </w:p>
        </w:tc>
        <w:tc>
          <w:tcPr>
            <w:tcW w:w="6662" w:type="dxa"/>
            <w:vAlign w:val="center"/>
          </w:tcPr>
          <w:p>
            <w:pPr>
              <w:widowControl/>
              <w:jc w:val="left"/>
              <w:textAlignment w:val="center"/>
              <w:rPr>
                <w:rFonts w:ascii="宋体" w:hAnsi="宋体"/>
                <w:color w:val="auto"/>
                <w:sz w:val="24"/>
                <w:szCs w:val="24"/>
              </w:rPr>
            </w:pPr>
            <w:r>
              <w:rPr>
                <w:rFonts w:hint="eastAsia" w:ascii="宋体" w:hAnsi="宋体" w:cs="宋体"/>
                <w:color w:val="auto"/>
                <w:kern w:val="0"/>
                <w:sz w:val="24"/>
                <w:lang w:bidi="ar"/>
              </w:rPr>
              <w:t>投标文件按竞选文件的规定密封、盖章和签署；</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eastAsiaTheme="minorEastAsia"/>
                <w:bCs/>
                <w:color w:val="auto"/>
                <w:sz w:val="24"/>
                <w:szCs w:val="24"/>
                <w:lang w:eastAsia="zh-CN"/>
              </w:rPr>
            </w:pPr>
            <w:r>
              <w:rPr>
                <w:rFonts w:hint="eastAsia" w:ascii="宋体" w:hAnsi="宋体" w:cs="宋体"/>
                <w:color w:val="auto"/>
                <w:sz w:val="24"/>
                <w:szCs w:val="24"/>
                <w:lang w:val="en-US" w:eastAsia="zh-CN"/>
              </w:rPr>
              <w:t>7</w:t>
            </w:r>
          </w:p>
        </w:tc>
        <w:tc>
          <w:tcPr>
            <w:tcW w:w="6662" w:type="dxa"/>
            <w:vAlign w:val="center"/>
          </w:tcPr>
          <w:p>
            <w:pPr>
              <w:widowControl/>
              <w:jc w:val="left"/>
              <w:textAlignment w:val="center"/>
              <w:rPr>
                <w:rFonts w:ascii="宋体" w:hAnsi="宋体"/>
                <w:color w:val="auto"/>
                <w:sz w:val="24"/>
                <w:szCs w:val="24"/>
              </w:rPr>
            </w:pPr>
            <w:r>
              <w:rPr>
                <w:rFonts w:hint="eastAsia" w:ascii="宋体" w:hAnsi="宋体" w:cs="宋体"/>
                <w:color w:val="auto"/>
                <w:kern w:val="0"/>
                <w:sz w:val="24"/>
                <w:lang w:bidi="ar"/>
              </w:rPr>
              <w:t>投标文件按竞选文件规定的格式填写，内容无不全或关键字迹模糊、无法辩认情形；</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val="en-US" w:eastAsia="zh-CN"/>
              </w:rPr>
              <w:t>8</w:t>
            </w:r>
          </w:p>
        </w:tc>
        <w:tc>
          <w:tcPr>
            <w:tcW w:w="6662" w:type="dxa"/>
            <w:vAlign w:val="center"/>
          </w:tcPr>
          <w:p>
            <w:pPr>
              <w:widowControl/>
              <w:jc w:val="left"/>
              <w:textAlignment w:val="center"/>
              <w:rPr>
                <w:rFonts w:ascii="宋体" w:hAnsi="宋体" w:cs="宋体"/>
                <w:color w:val="auto"/>
                <w:sz w:val="24"/>
                <w:szCs w:val="24"/>
                <w:highlight w:val="yellow"/>
              </w:rPr>
            </w:pPr>
            <w:r>
              <w:rPr>
                <w:rFonts w:hint="eastAsia" w:ascii="宋体" w:hAnsi="宋体" w:cs="宋体"/>
                <w:color w:val="auto"/>
                <w:kern w:val="0"/>
                <w:sz w:val="24"/>
                <w:lang w:bidi="ar"/>
              </w:rPr>
              <w:t>对同一竞选项目未出现两个或以上的投标报价，且没声明哪个有效；</w:t>
            </w:r>
          </w:p>
        </w:tc>
        <w:tc>
          <w:tcPr>
            <w:tcW w:w="746" w:type="dxa"/>
            <w:vAlign w:val="center"/>
          </w:tcPr>
          <w:p>
            <w:pPr>
              <w:jc w:val="left"/>
              <w:rPr>
                <w:rFonts w:ascii="宋体" w:hAnsi="宋体" w:cs="宋体"/>
                <w:color w:val="auto"/>
                <w:sz w:val="24"/>
                <w:szCs w:val="24"/>
              </w:rPr>
            </w:pPr>
            <w:r>
              <w:rPr>
                <w:rFonts w:ascii="宋体" w:hAnsi="宋体" w:cs="宋体"/>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6662" w:type="dxa"/>
            <w:vAlign w:val="center"/>
          </w:tcPr>
          <w:p>
            <w:pPr>
              <w:widowControl/>
              <w:jc w:val="left"/>
              <w:textAlignment w:val="center"/>
              <w:rPr>
                <w:rFonts w:hint="eastAsia" w:ascii="宋体" w:hAnsi="宋体" w:cs="宋体"/>
                <w:color w:val="auto"/>
                <w:kern w:val="0"/>
                <w:sz w:val="24"/>
                <w:lang w:val="en-US" w:eastAsia="zh-CN" w:bidi="ar"/>
              </w:rPr>
            </w:pPr>
            <w:r>
              <w:rPr>
                <w:rFonts w:hint="eastAsia" w:ascii="宋体" w:hAnsi="宋体" w:cs="宋体"/>
                <w:szCs w:val="21"/>
                <w:highlight w:val="none"/>
              </w:rPr>
              <w:t>工期不满足竞选文件要求的；</w:t>
            </w:r>
          </w:p>
        </w:tc>
        <w:tc>
          <w:tcPr>
            <w:tcW w:w="746" w:type="dxa"/>
            <w:vAlign w:val="center"/>
          </w:tcPr>
          <w:p>
            <w:pPr>
              <w:jc w:val="lef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9</w:t>
            </w:r>
          </w:p>
        </w:tc>
        <w:tc>
          <w:tcPr>
            <w:tcW w:w="6662" w:type="dxa"/>
            <w:vAlign w:val="center"/>
          </w:tcPr>
          <w:p>
            <w:pPr>
              <w:widowControl/>
              <w:jc w:val="left"/>
              <w:textAlignment w:val="center"/>
              <w:rPr>
                <w:rFonts w:hint="default" w:ascii="宋体" w:hAnsi="宋体" w:cs="宋体" w:eastAsiaTheme="minorEastAsia"/>
                <w:color w:val="auto"/>
                <w:kern w:val="0"/>
                <w:sz w:val="24"/>
                <w:lang w:val="en-US" w:eastAsia="zh-CN" w:bidi="ar"/>
              </w:rPr>
            </w:pPr>
            <w:r>
              <w:rPr>
                <w:rFonts w:hint="eastAsia" w:ascii="宋体" w:hAnsi="宋体" w:cs="宋体"/>
                <w:color w:val="auto"/>
                <w:kern w:val="0"/>
                <w:sz w:val="24"/>
                <w:lang w:val="en-US" w:eastAsia="zh-CN" w:bidi="ar"/>
              </w:rPr>
              <w:t>投标报价不超过投标限价；</w:t>
            </w:r>
          </w:p>
        </w:tc>
        <w:tc>
          <w:tcPr>
            <w:tcW w:w="746" w:type="dxa"/>
            <w:vAlign w:val="center"/>
          </w:tcPr>
          <w:p>
            <w:pPr>
              <w:jc w:val="lef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10</w:t>
            </w:r>
          </w:p>
        </w:tc>
        <w:tc>
          <w:tcPr>
            <w:tcW w:w="6662" w:type="dxa"/>
            <w:vAlign w:val="center"/>
          </w:tcPr>
          <w:p>
            <w:pPr>
              <w:widowControl/>
              <w:jc w:val="left"/>
              <w:textAlignment w:val="center"/>
              <w:rPr>
                <w:rFonts w:ascii="宋体" w:hAnsi="宋体" w:cs="宋体"/>
                <w:color w:val="auto"/>
                <w:kern w:val="0"/>
                <w:sz w:val="24"/>
                <w:lang w:bidi="ar"/>
              </w:rPr>
            </w:pPr>
            <w:r>
              <w:rPr>
                <w:rFonts w:hint="eastAsia" w:ascii="宋体" w:hAnsi="宋体" w:cs="宋体"/>
                <w:color w:val="auto"/>
                <w:kern w:val="0"/>
                <w:sz w:val="24"/>
                <w:lang w:bidi="ar"/>
              </w:rPr>
              <w:t>投标总报价不低于企业自身成本；</w:t>
            </w:r>
          </w:p>
        </w:tc>
        <w:tc>
          <w:tcPr>
            <w:tcW w:w="746" w:type="dxa"/>
            <w:vAlign w:val="center"/>
          </w:tcPr>
          <w:p>
            <w:pPr>
              <w:jc w:val="lef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11</w:t>
            </w:r>
          </w:p>
        </w:tc>
        <w:tc>
          <w:tcPr>
            <w:tcW w:w="6662" w:type="dxa"/>
            <w:vAlign w:val="center"/>
          </w:tcPr>
          <w:p>
            <w:pPr>
              <w:widowControl/>
              <w:jc w:val="left"/>
              <w:textAlignment w:val="center"/>
              <w:rPr>
                <w:rFonts w:ascii="宋体" w:hAnsi="宋体" w:cs="宋体"/>
                <w:color w:val="auto"/>
                <w:kern w:val="0"/>
                <w:sz w:val="24"/>
                <w:lang w:bidi="ar"/>
              </w:rPr>
            </w:pPr>
            <w:r>
              <w:rPr>
                <w:rFonts w:hint="eastAsia" w:ascii="宋体" w:hAnsi="宋体" w:cs="宋体"/>
                <w:color w:val="auto"/>
                <w:kern w:val="0"/>
                <w:sz w:val="24"/>
                <w:lang w:bidi="ar"/>
              </w:rPr>
              <w:t>投标文件未附有采购人不能接受的条件；</w:t>
            </w:r>
          </w:p>
        </w:tc>
        <w:tc>
          <w:tcPr>
            <w:tcW w:w="746" w:type="dxa"/>
            <w:vAlign w:val="center"/>
          </w:tcPr>
          <w:p>
            <w:pPr>
              <w:jc w:val="lef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ind w:firstLine="440"/>
              <w:jc w:val="center"/>
              <w:rPr>
                <w:rFonts w:ascii="宋体" w:hAnsi="宋体"/>
                <w:bCs/>
                <w:color w:val="auto"/>
                <w:sz w:val="24"/>
                <w:szCs w:val="24"/>
              </w:rPr>
            </w:pPr>
          </w:p>
        </w:tc>
        <w:tc>
          <w:tcPr>
            <w:tcW w:w="6662" w:type="dxa"/>
            <w:vAlign w:val="center"/>
          </w:tcPr>
          <w:p>
            <w:pPr>
              <w:ind w:firstLine="440"/>
              <w:jc w:val="center"/>
              <w:rPr>
                <w:rFonts w:ascii="宋体" w:hAnsi="宋体"/>
                <w:color w:val="auto"/>
                <w:sz w:val="24"/>
                <w:szCs w:val="24"/>
              </w:rPr>
            </w:pPr>
            <w:r>
              <w:rPr>
                <w:rFonts w:hint="eastAsia" w:ascii="宋体" w:hAnsi="宋体" w:cs="宋体"/>
                <w:b/>
                <w:bCs/>
                <w:color w:val="auto"/>
                <w:sz w:val="24"/>
                <w:szCs w:val="24"/>
              </w:rPr>
              <w:t>评审结论（</w:t>
            </w:r>
            <w:r>
              <w:rPr>
                <w:rFonts w:hint="eastAsia" w:ascii="宋体" w:hAnsi="宋体"/>
                <w:color w:val="auto"/>
                <w:sz w:val="24"/>
                <w:szCs w:val="24"/>
              </w:rPr>
              <w:t>通过/不通过</w:t>
            </w:r>
            <w:r>
              <w:rPr>
                <w:rFonts w:hint="eastAsia" w:ascii="宋体" w:hAnsi="宋体" w:cs="宋体"/>
                <w:b/>
                <w:bCs/>
                <w:color w:val="auto"/>
                <w:sz w:val="24"/>
                <w:szCs w:val="24"/>
              </w:rPr>
              <w:t>）</w:t>
            </w:r>
          </w:p>
        </w:tc>
        <w:tc>
          <w:tcPr>
            <w:tcW w:w="746" w:type="dxa"/>
            <w:vAlign w:val="center"/>
          </w:tcPr>
          <w:p>
            <w:pPr>
              <w:spacing w:line="360" w:lineRule="auto"/>
              <w:ind w:firstLine="440"/>
              <w:rPr>
                <w:rFonts w:ascii="宋体" w:hAnsi="宋体"/>
                <w:b/>
                <w:color w:val="auto"/>
                <w:sz w:val="24"/>
                <w:szCs w:val="24"/>
              </w:rPr>
            </w:pPr>
          </w:p>
        </w:tc>
      </w:tr>
    </w:tbl>
    <w:p>
      <w:pPr>
        <w:spacing w:line="400" w:lineRule="exact"/>
        <w:ind w:firstLine="440"/>
        <w:rPr>
          <w:rFonts w:ascii="宋体" w:hAnsi="宋体"/>
          <w:color w:val="auto"/>
          <w:sz w:val="24"/>
          <w:szCs w:val="24"/>
        </w:rPr>
      </w:pPr>
      <w:r>
        <w:rPr>
          <w:rFonts w:hint="eastAsia" w:ascii="宋体" w:hAnsi="宋体"/>
          <w:color w:val="auto"/>
          <w:sz w:val="24"/>
          <w:szCs w:val="24"/>
        </w:rPr>
        <w:t>注：</w:t>
      </w:r>
    </w:p>
    <w:p>
      <w:pPr>
        <w:numPr>
          <w:ilvl w:val="0"/>
          <w:numId w:val="36"/>
        </w:numPr>
        <w:adjustRightInd w:val="0"/>
        <w:snapToGrid w:val="0"/>
        <w:spacing w:line="400" w:lineRule="exact"/>
        <w:rPr>
          <w:rFonts w:ascii="宋体" w:hAnsi="宋体"/>
          <w:color w:val="auto"/>
          <w:sz w:val="24"/>
          <w:szCs w:val="24"/>
        </w:rPr>
      </w:pPr>
      <w:r>
        <w:rPr>
          <w:rFonts w:hint="eastAsia" w:ascii="宋体" w:hAnsi="宋体"/>
          <w:color w:val="auto"/>
          <w:sz w:val="24"/>
          <w:szCs w:val="24"/>
        </w:rPr>
        <w:t>投标人分栏中填写“√”表示该项符合招标文件要求，“×”表示该项不符合招标文件要求，“○”表示无该项内容；</w:t>
      </w:r>
    </w:p>
    <w:p>
      <w:pPr>
        <w:numPr>
          <w:ilvl w:val="0"/>
          <w:numId w:val="36"/>
        </w:numPr>
        <w:adjustRightInd w:val="0"/>
        <w:snapToGrid w:val="0"/>
        <w:spacing w:line="400" w:lineRule="exact"/>
        <w:rPr>
          <w:rFonts w:ascii="宋体" w:hAnsi="宋体"/>
          <w:color w:val="auto"/>
          <w:sz w:val="24"/>
          <w:szCs w:val="24"/>
        </w:rPr>
      </w:pPr>
      <w:r>
        <w:rPr>
          <w:rFonts w:hint="eastAsia" w:ascii="宋体" w:hAnsi="宋体"/>
          <w:color w:val="auto"/>
          <w:sz w:val="24"/>
          <w:szCs w:val="24"/>
        </w:rPr>
        <w:t>经评标委员会审核后，出现一个“×”的结论为“不通过”，即按废标处理。</w:t>
      </w:r>
    </w:p>
    <w:p>
      <w:pPr>
        <w:numPr>
          <w:ilvl w:val="0"/>
          <w:numId w:val="36"/>
        </w:numPr>
        <w:adjustRightInd w:val="0"/>
        <w:snapToGrid w:val="0"/>
        <w:spacing w:line="400" w:lineRule="exact"/>
        <w:rPr>
          <w:rFonts w:ascii="宋体" w:hAnsi="宋体"/>
          <w:color w:val="auto"/>
          <w:sz w:val="24"/>
          <w:szCs w:val="24"/>
        </w:rPr>
      </w:pPr>
      <w:r>
        <w:rPr>
          <w:rFonts w:hint="eastAsia" w:ascii="宋体" w:hAnsi="宋体"/>
          <w:color w:val="auto"/>
          <w:sz w:val="24"/>
          <w:szCs w:val="24"/>
        </w:rPr>
        <w:t>表中全部条件满足为“通过”，同意进入下一阶段评审。</w:t>
      </w:r>
    </w:p>
    <w:p>
      <w:pPr>
        <w:numPr>
          <w:ilvl w:val="0"/>
          <w:numId w:val="36"/>
        </w:numPr>
        <w:adjustRightInd w:val="0"/>
        <w:snapToGrid w:val="0"/>
        <w:spacing w:line="400" w:lineRule="exact"/>
        <w:rPr>
          <w:rFonts w:ascii="宋体" w:hAnsi="宋体"/>
          <w:color w:val="auto"/>
          <w:sz w:val="24"/>
          <w:szCs w:val="24"/>
        </w:rPr>
      </w:pPr>
      <w:r>
        <w:rPr>
          <w:rFonts w:hint="eastAsia"/>
          <w:color w:val="auto"/>
          <w:sz w:val="24"/>
          <w:szCs w:val="24"/>
        </w:rPr>
        <w:t>如对本表中某种情形的</w:t>
      </w:r>
      <w:r>
        <w:rPr>
          <w:rFonts w:hint="eastAsia" w:ascii="宋体" w:hAnsi="宋体"/>
          <w:color w:val="auto"/>
          <w:sz w:val="24"/>
          <w:szCs w:val="24"/>
        </w:rPr>
        <w:t>评委意见不一致时，</w:t>
      </w:r>
      <w:r>
        <w:rPr>
          <w:rFonts w:hint="eastAsia"/>
          <w:color w:val="auto"/>
          <w:sz w:val="24"/>
          <w:szCs w:val="24"/>
        </w:rPr>
        <w:t xml:space="preserve">以评标委员会过半数成员的意见作为评标委员会对该情形的认定结论。 </w:t>
      </w:r>
    </w:p>
    <w:p>
      <w:pPr>
        <w:adjustRightInd w:val="0"/>
        <w:snapToGrid w:val="0"/>
        <w:spacing w:line="400" w:lineRule="exact"/>
        <w:rPr>
          <w:rFonts w:ascii="宋体" w:hAnsi="宋体"/>
          <w:color w:val="auto"/>
          <w:sz w:val="24"/>
          <w:szCs w:val="24"/>
        </w:rPr>
      </w:pPr>
    </w:p>
    <w:p>
      <w:pPr>
        <w:spacing w:before="72" w:beforeLines="30" w:line="400" w:lineRule="exact"/>
        <w:ind w:left="480" w:hanging="480" w:hangingChars="200"/>
        <w:rPr>
          <w:rFonts w:ascii="宋体" w:hAnsi="宋体"/>
          <w:bCs/>
          <w:color w:val="auto"/>
          <w:sz w:val="24"/>
          <w:szCs w:val="24"/>
        </w:rPr>
      </w:pPr>
      <w:r>
        <w:rPr>
          <w:rFonts w:hint="eastAsia" w:ascii="宋体" w:hAnsi="宋体"/>
          <w:bCs/>
          <w:color w:val="auto"/>
          <w:sz w:val="24"/>
          <w:szCs w:val="24"/>
        </w:rPr>
        <w:t xml:space="preserve">评委签名：                                                                                </w:t>
      </w:r>
    </w:p>
    <w:p>
      <w:pPr>
        <w:spacing w:before="72" w:beforeLines="30" w:line="400" w:lineRule="exact"/>
        <w:ind w:left="480" w:hanging="480" w:hangingChars="200"/>
        <w:rPr>
          <w:rFonts w:ascii="宋体" w:hAnsi="宋体"/>
          <w:color w:val="auto"/>
          <w:sz w:val="24"/>
          <w:szCs w:val="24"/>
        </w:rPr>
      </w:pPr>
      <w:r>
        <w:rPr>
          <w:rFonts w:hint="eastAsia" w:ascii="宋体" w:hAnsi="宋体"/>
          <w:bCs/>
          <w:color w:val="auto"/>
          <w:sz w:val="24"/>
          <w:szCs w:val="24"/>
        </w:rPr>
        <w:t>日 期：</w:t>
      </w:r>
      <w:r>
        <w:rPr>
          <w:rFonts w:hint="eastAsia" w:ascii="宋体" w:hAnsi="宋体"/>
          <w:color w:val="auto"/>
          <w:sz w:val="24"/>
          <w:szCs w:val="24"/>
        </w:rPr>
        <w:t xml:space="preserve">    年   月   日</w:t>
      </w:r>
    </w:p>
    <w:p>
      <w:pPr>
        <w:pStyle w:val="4"/>
        <w:rPr>
          <w:color w:val="auto"/>
          <w:sz w:val="24"/>
        </w:rPr>
      </w:pPr>
    </w:p>
    <w:p>
      <w:pPr>
        <w:pStyle w:val="4"/>
        <w:numPr>
          <w:ilvl w:val="255"/>
          <w:numId w:val="0"/>
        </w:numPr>
        <w:spacing w:line="360" w:lineRule="auto"/>
        <w:rPr>
          <w:rFonts w:ascii="宋体" w:hAnsi="宋体" w:cs="宋体"/>
          <w:color w:val="auto"/>
          <w:sz w:val="24"/>
          <w:szCs w:val="24"/>
        </w:rPr>
      </w:pPr>
    </w:p>
    <w:p>
      <w:pPr>
        <w:spacing w:line="360" w:lineRule="auto"/>
        <w:ind w:firstLine="480" w:firstLineChars="200"/>
        <w:rPr>
          <w:rFonts w:ascii="宋体" w:hAnsi="宋体"/>
          <w:color w:val="auto"/>
          <w:sz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评标方法</w:t>
      </w:r>
      <w:r>
        <w:rPr>
          <w:rFonts w:hint="eastAsia" w:ascii="宋体" w:hAnsi="宋体" w:eastAsia="宋体" w:cs="宋体"/>
          <w:color w:val="auto"/>
          <w:sz w:val="24"/>
          <w:szCs w:val="24"/>
        </w:rPr>
        <w:t>：</w:t>
      </w:r>
      <w:r>
        <w:rPr>
          <w:rFonts w:hint="eastAsia" w:ascii="宋体" w:hAnsi="宋体"/>
          <w:color w:val="auto"/>
          <w:sz w:val="24"/>
        </w:rPr>
        <w:t>本项目采用综合评</w:t>
      </w:r>
      <w:r>
        <w:rPr>
          <w:rFonts w:hint="eastAsia" w:ascii="宋体" w:hAnsi="宋体"/>
          <w:color w:val="auto"/>
          <w:sz w:val="24"/>
          <w:lang w:val="en-US" w:eastAsia="zh-CN"/>
        </w:rPr>
        <w:t>分</w:t>
      </w:r>
      <w:r>
        <w:rPr>
          <w:rFonts w:hint="eastAsia" w:ascii="宋体" w:hAnsi="宋体"/>
          <w:color w:val="auto"/>
          <w:sz w:val="24"/>
        </w:rPr>
        <w:t>法，对投标人进行价格、商务</w:t>
      </w:r>
      <w:r>
        <w:rPr>
          <w:rFonts w:hint="eastAsia" w:ascii="宋体" w:hAnsi="宋体"/>
          <w:color w:val="auto"/>
          <w:sz w:val="24"/>
          <w:lang w:val="en-US" w:eastAsia="zh-CN"/>
        </w:rPr>
        <w:t>和</w:t>
      </w:r>
      <w:r>
        <w:rPr>
          <w:rFonts w:hint="eastAsia" w:ascii="宋体" w:hAnsi="宋体"/>
          <w:color w:val="auto"/>
          <w:sz w:val="24"/>
        </w:rPr>
        <w:t>技术</w:t>
      </w:r>
      <w:r>
        <w:rPr>
          <w:rFonts w:hint="eastAsia" w:ascii="宋体" w:hAnsi="宋体"/>
          <w:color w:val="auto"/>
          <w:sz w:val="24"/>
          <w:highlight w:val="none"/>
        </w:rPr>
        <w:t>评审，其中价格评审部分占</w:t>
      </w:r>
      <w:r>
        <w:rPr>
          <w:rFonts w:hint="eastAsia" w:ascii="宋体" w:hAnsi="宋体"/>
          <w:color w:val="auto"/>
          <w:sz w:val="24"/>
          <w:highlight w:val="none"/>
          <w:lang w:val="en-US" w:eastAsia="zh-CN"/>
        </w:rPr>
        <w:t>5</w:t>
      </w:r>
      <w:r>
        <w:rPr>
          <w:rFonts w:hint="eastAsia" w:ascii="宋体" w:hAnsi="宋体"/>
          <w:color w:val="auto"/>
          <w:sz w:val="24"/>
          <w:highlight w:val="none"/>
        </w:rPr>
        <w:t>0%，商务评审部分占</w:t>
      </w:r>
      <w:r>
        <w:rPr>
          <w:rFonts w:hint="eastAsia" w:ascii="宋体" w:hAnsi="宋体"/>
          <w:color w:val="auto"/>
          <w:sz w:val="24"/>
          <w:highlight w:val="none"/>
          <w:lang w:val="en-US" w:eastAsia="zh-CN"/>
        </w:rPr>
        <w:t>3</w:t>
      </w:r>
      <w:r>
        <w:rPr>
          <w:rFonts w:hint="eastAsia" w:ascii="宋体" w:hAnsi="宋体"/>
          <w:color w:val="auto"/>
          <w:sz w:val="24"/>
          <w:highlight w:val="none"/>
        </w:rPr>
        <w:t>0%，技术评审占</w:t>
      </w:r>
      <w:r>
        <w:rPr>
          <w:rFonts w:hint="eastAsia" w:ascii="宋体" w:hAnsi="宋体"/>
          <w:color w:val="auto"/>
          <w:sz w:val="24"/>
          <w:highlight w:val="none"/>
          <w:lang w:val="en-US" w:eastAsia="zh-CN"/>
        </w:rPr>
        <w:t>2</w:t>
      </w:r>
      <w:r>
        <w:rPr>
          <w:rFonts w:hint="eastAsia" w:ascii="宋体" w:hAnsi="宋体"/>
          <w:color w:val="auto"/>
          <w:sz w:val="24"/>
          <w:highlight w:val="none"/>
        </w:rPr>
        <w:t>0%，投</w:t>
      </w:r>
      <w:r>
        <w:rPr>
          <w:rFonts w:hint="eastAsia" w:ascii="宋体" w:hAnsi="宋体"/>
          <w:color w:val="auto"/>
          <w:sz w:val="24"/>
        </w:rPr>
        <w:t>标人评审得分=价格得分+商务得分+技术得分，评分标准见</w:t>
      </w:r>
      <w:r>
        <w:rPr>
          <w:rFonts w:hint="eastAsia" w:ascii="宋体" w:hAnsi="宋体"/>
          <w:color w:val="auto"/>
          <w:sz w:val="24"/>
          <w:lang w:val="en-US" w:eastAsia="zh-CN"/>
        </w:rPr>
        <w:t>下表</w:t>
      </w:r>
      <w:r>
        <w:rPr>
          <w:rFonts w:hint="eastAsia" w:ascii="宋体" w:hAnsi="宋体"/>
          <w:color w:val="auto"/>
          <w:sz w:val="24"/>
        </w:rPr>
        <w:t>。同时通过投标人资格及有效性审查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ind w:firstLine="2891" w:firstLineChars="800"/>
        <w:jc w:val="left"/>
        <w:rPr>
          <w:rFonts w:ascii="宋体" w:hAnsi="宋体" w:cs="宋体"/>
          <w:b/>
          <w:bCs/>
          <w:color w:val="auto"/>
          <w:sz w:val="36"/>
          <w:szCs w:val="36"/>
        </w:rPr>
      </w:pPr>
      <w:r>
        <w:rPr>
          <w:rFonts w:hint="eastAsia" w:ascii="宋体" w:hAnsi="宋体" w:cs="宋体"/>
          <w:b/>
          <w:bCs/>
          <w:color w:val="auto"/>
          <w:sz w:val="36"/>
          <w:szCs w:val="36"/>
        </w:rPr>
        <w:t>综合评分细则</w:t>
      </w:r>
    </w:p>
    <w:tbl>
      <w:tblPr>
        <w:tblStyle w:val="16"/>
        <w:tblW w:w="9356" w:type="dxa"/>
        <w:tblInd w:w="0" w:type="dxa"/>
        <w:tblLayout w:type="fixed"/>
        <w:tblCellMar>
          <w:top w:w="0" w:type="dxa"/>
          <w:left w:w="108" w:type="dxa"/>
          <w:bottom w:w="0" w:type="dxa"/>
          <w:right w:w="108" w:type="dxa"/>
        </w:tblCellMar>
      </w:tblPr>
      <w:tblGrid>
        <w:gridCol w:w="1101"/>
        <w:gridCol w:w="1701"/>
        <w:gridCol w:w="567"/>
        <w:gridCol w:w="5987"/>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rPr>
            </w:pPr>
            <w:bookmarkStart w:id="1" w:name="_Hlk4405241"/>
            <w:r>
              <w:rPr>
                <w:rFonts w:hint="eastAsia" w:ascii="宋体" w:hAnsi="宋体" w:eastAsia="宋体" w:cs="宋体"/>
                <w:b/>
                <w:color w:val="auto"/>
                <w:kern w:val="0"/>
                <w:sz w:val="18"/>
                <w:szCs w:val="18"/>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评审内容</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分值</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评分标准</w:t>
            </w:r>
          </w:p>
        </w:tc>
      </w:tr>
      <w:tr>
        <w:tblPrEx>
          <w:tblLayout w:type="fixed"/>
          <w:tblCellMar>
            <w:top w:w="0" w:type="dxa"/>
            <w:left w:w="108" w:type="dxa"/>
            <w:bottom w:w="0" w:type="dxa"/>
            <w:right w:w="108" w:type="dxa"/>
          </w:tblCellMar>
        </w:tblPrEx>
        <w:trPr>
          <w:trHeight w:val="512" w:hRule="atLeast"/>
        </w:trPr>
        <w:tc>
          <w:tcPr>
            <w:tcW w:w="1101" w:type="dxa"/>
            <w:vMerge w:val="restart"/>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商务部分（30）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类似业绩</w:t>
            </w:r>
          </w:p>
        </w:tc>
        <w:tc>
          <w:tcPr>
            <w:tcW w:w="56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5987" w:type="dxa"/>
            <w:tcBorders>
              <w:top w:val="nil"/>
              <w:left w:val="nil"/>
              <w:bottom w:val="single" w:color="auto" w:sz="4" w:space="0"/>
              <w:right w:val="single" w:color="auto" w:sz="4" w:space="0"/>
            </w:tcBorders>
            <w:vAlign w:val="center"/>
          </w:tcPr>
          <w:p>
            <w:pPr>
              <w:widowControl/>
              <w:ind w:firstLine="420" w:firstLineChars="200"/>
              <w:jc w:val="left"/>
              <w:rPr>
                <w:color w:val="auto"/>
              </w:rPr>
            </w:pPr>
            <w:r>
              <w:rPr>
                <w:rFonts w:hint="eastAsia" w:ascii="宋体" w:hAnsi="宋体" w:eastAsia="宋体"/>
                <w:bCs/>
                <w:color w:val="auto"/>
                <w:kern w:val="0"/>
                <w:sz w:val="21"/>
                <w:szCs w:val="21"/>
                <w:highlight w:val="none"/>
                <w:lang w:val="en-US" w:eastAsia="zh-CN" w:bidi="en-US"/>
              </w:rPr>
              <w:t>投标人</w:t>
            </w:r>
            <w:r>
              <w:rPr>
                <w:rFonts w:hint="eastAsia" w:ascii="宋体" w:hAnsi="宋体" w:eastAsia="宋体"/>
                <w:bCs/>
                <w:color w:val="auto"/>
                <w:kern w:val="0"/>
                <w:sz w:val="21"/>
                <w:szCs w:val="21"/>
                <w:highlight w:val="none"/>
                <w:lang w:bidi="en-US"/>
              </w:rPr>
              <w:t>具有完成</w:t>
            </w:r>
            <w:r>
              <w:rPr>
                <w:rFonts w:hint="eastAsia" w:ascii="宋体" w:hAnsi="宋体" w:eastAsia="宋体"/>
                <w:bCs/>
                <w:color w:val="auto"/>
                <w:kern w:val="0"/>
                <w:sz w:val="21"/>
                <w:szCs w:val="21"/>
                <w:highlight w:val="none"/>
                <w:lang w:val="en-US" w:eastAsia="zh-CN" w:bidi="en-US"/>
              </w:rPr>
              <w:t>过</w:t>
            </w:r>
            <w:r>
              <w:rPr>
                <w:rFonts w:hint="eastAsia" w:ascii="宋体" w:hAnsi="宋体" w:eastAsia="宋体"/>
                <w:bCs/>
                <w:color w:val="auto"/>
                <w:kern w:val="0"/>
                <w:sz w:val="21"/>
                <w:szCs w:val="21"/>
                <w:highlight w:val="none"/>
                <w:lang w:bidi="en-US"/>
              </w:rPr>
              <w:t>区域供冷或集中供冷或蓄冷项目</w:t>
            </w:r>
            <w:r>
              <w:rPr>
                <w:rFonts w:hint="eastAsia" w:ascii="宋体" w:hAnsi="宋体" w:eastAsia="宋体"/>
                <w:bCs/>
                <w:color w:val="auto"/>
                <w:kern w:val="0"/>
                <w:sz w:val="21"/>
                <w:szCs w:val="21"/>
                <w:highlight w:val="none"/>
                <w:lang w:val="en-US" w:eastAsia="zh-CN" w:bidi="en-US"/>
              </w:rPr>
              <w:t>业绩</w:t>
            </w:r>
            <w:r>
              <w:rPr>
                <w:rFonts w:hint="eastAsia" w:ascii="宋体" w:hAnsi="宋体" w:eastAsia="宋体"/>
                <w:bCs/>
                <w:color w:val="auto"/>
                <w:kern w:val="0"/>
                <w:sz w:val="21"/>
                <w:szCs w:val="21"/>
                <w:highlight w:val="none"/>
                <w:lang w:eastAsia="zh-CN" w:bidi="en-US"/>
              </w:rPr>
              <w:t>，</w:t>
            </w:r>
            <w:r>
              <w:rPr>
                <w:rFonts w:hint="eastAsia" w:ascii="宋体" w:hAnsi="宋体" w:eastAsia="宋体"/>
                <w:bCs/>
                <w:color w:val="auto"/>
                <w:kern w:val="0"/>
                <w:sz w:val="21"/>
                <w:szCs w:val="21"/>
                <w:highlight w:val="none"/>
                <w:lang w:val="en-US" w:eastAsia="zh-CN" w:bidi="en-US"/>
              </w:rPr>
              <w:t>且为大型PLC冗余系统（I/0 点数为1万点及以上）每个项目得2分，此项最高得10分。</w:t>
            </w:r>
          </w:p>
          <w:p>
            <w:pPr>
              <w:pStyle w:val="4"/>
              <w:widowControl/>
              <w:ind w:firstLine="420" w:firstLineChars="200"/>
              <w:jc w:val="left"/>
              <w:rPr>
                <w:rFonts w:ascii="宋体" w:hAnsi="宋体" w:eastAsia="宋体"/>
                <w:bCs/>
                <w:color w:val="auto"/>
                <w:kern w:val="0"/>
                <w:sz w:val="21"/>
                <w:szCs w:val="21"/>
                <w:highlight w:val="none"/>
                <w:lang w:bidi="en-US"/>
              </w:rPr>
            </w:pPr>
            <w:r>
              <w:rPr>
                <w:rFonts w:hint="eastAsia" w:ascii="宋体" w:hAnsi="宋体" w:eastAsia="宋体"/>
                <w:bCs/>
                <w:color w:val="auto"/>
                <w:kern w:val="0"/>
                <w:sz w:val="21"/>
                <w:szCs w:val="21"/>
                <w:highlight w:val="none"/>
                <w:lang w:bidi="en-US"/>
              </w:rPr>
              <w:t>本项累计最高得</w:t>
            </w:r>
            <w:r>
              <w:rPr>
                <w:rFonts w:hint="eastAsia" w:ascii="宋体" w:hAnsi="宋体" w:eastAsia="宋体"/>
                <w:bCs/>
                <w:color w:val="auto"/>
                <w:kern w:val="0"/>
                <w:sz w:val="21"/>
                <w:szCs w:val="21"/>
                <w:highlight w:val="none"/>
                <w:lang w:val="en-US" w:eastAsia="zh-CN" w:bidi="en-US"/>
              </w:rPr>
              <w:t>10</w:t>
            </w:r>
            <w:r>
              <w:rPr>
                <w:rFonts w:hint="eastAsia" w:ascii="宋体" w:hAnsi="宋体" w:eastAsia="宋体"/>
                <w:bCs/>
                <w:color w:val="auto"/>
                <w:kern w:val="0"/>
                <w:sz w:val="21"/>
                <w:szCs w:val="21"/>
                <w:highlight w:val="none"/>
                <w:lang w:bidi="en-US"/>
              </w:rPr>
              <w:t>分。</w:t>
            </w:r>
          </w:p>
          <w:p>
            <w:pPr>
              <w:widowControl/>
              <w:ind w:firstLine="420" w:firstLineChars="200"/>
              <w:jc w:val="left"/>
              <w:rPr>
                <w:rFonts w:hint="eastAsia" w:ascii="宋体" w:hAnsi="宋体" w:eastAsiaTheme="minorEastAsia"/>
                <w:bCs/>
                <w:color w:val="auto"/>
                <w:kern w:val="0"/>
                <w:sz w:val="18"/>
                <w:szCs w:val="18"/>
                <w:highlight w:val="none"/>
                <w:lang w:eastAsia="zh-CN" w:bidi="en-US"/>
              </w:rPr>
            </w:pPr>
            <w:r>
              <w:rPr>
                <w:rFonts w:hint="eastAsia" w:ascii="宋体" w:hAnsi="宋体" w:eastAsia="宋体"/>
                <w:bCs/>
                <w:color w:val="auto"/>
                <w:kern w:val="0"/>
                <w:sz w:val="21"/>
                <w:szCs w:val="21"/>
                <w:highlight w:val="none"/>
                <w:lang w:bidi="en-US"/>
              </w:rPr>
              <w:t>提交证明资料中，项目合同中</w:t>
            </w:r>
            <w:r>
              <w:rPr>
                <w:rFonts w:hint="eastAsia" w:ascii="宋体" w:hAnsi="宋体" w:eastAsia="宋体"/>
                <w:bCs/>
                <w:color w:val="auto"/>
                <w:kern w:val="0"/>
                <w:sz w:val="21"/>
                <w:szCs w:val="21"/>
                <w:highlight w:val="none"/>
                <w:lang w:val="en-US" w:eastAsia="zh-CN" w:bidi="en-US"/>
              </w:rPr>
              <w:t>能体现为：</w:t>
            </w:r>
            <w:r>
              <w:rPr>
                <w:rFonts w:hint="eastAsia" w:ascii="宋体" w:hAnsi="宋体" w:eastAsia="宋体"/>
                <w:bCs/>
                <w:color w:val="auto"/>
                <w:kern w:val="0"/>
                <w:sz w:val="21"/>
                <w:szCs w:val="21"/>
                <w:highlight w:val="none"/>
                <w:lang w:bidi="en-US"/>
              </w:rPr>
              <w:t>区域供冷或集中供冷或蓄冷项目</w:t>
            </w:r>
            <w:r>
              <w:rPr>
                <w:rFonts w:hint="eastAsia" w:ascii="宋体" w:hAnsi="宋体" w:eastAsia="宋体"/>
                <w:bCs/>
                <w:color w:val="auto"/>
                <w:kern w:val="0"/>
                <w:sz w:val="21"/>
                <w:szCs w:val="21"/>
                <w:highlight w:val="none"/>
                <w:lang w:val="en-US" w:eastAsia="zh-CN" w:bidi="en-US"/>
              </w:rPr>
              <w:t>业绩</w:t>
            </w:r>
            <w:r>
              <w:rPr>
                <w:rFonts w:hint="eastAsia" w:ascii="宋体" w:hAnsi="宋体" w:eastAsia="宋体"/>
                <w:bCs/>
                <w:color w:val="auto"/>
                <w:kern w:val="0"/>
                <w:sz w:val="21"/>
                <w:szCs w:val="21"/>
                <w:highlight w:val="none"/>
                <w:lang w:eastAsia="zh-CN" w:bidi="en-US"/>
              </w:rPr>
              <w:t>，</w:t>
            </w:r>
            <w:r>
              <w:rPr>
                <w:rFonts w:hint="eastAsia" w:ascii="宋体" w:hAnsi="宋体" w:eastAsia="宋体"/>
                <w:bCs/>
                <w:color w:val="auto"/>
                <w:kern w:val="0"/>
                <w:sz w:val="21"/>
                <w:szCs w:val="21"/>
                <w:highlight w:val="none"/>
                <w:lang w:val="en-US" w:eastAsia="zh-CN" w:bidi="en-US"/>
              </w:rPr>
              <w:t>大型PLC冗余系统（I/0 点数为1万点及以上）可提供说明文件作为支撑证明。</w:t>
            </w:r>
            <w:r>
              <w:rPr>
                <w:rFonts w:hint="eastAsia" w:asciiTheme="minorEastAsia" w:hAnsiTheme="minorEastAsia"/>
                <w:color w:val="auto"/>
                <w:sz w:val="24"/>
                <w:szCs w:val="24"/>
                <w:highlight w:val="none"/>
              </w:rPr>
              <w:t>提供合同关键页复印件，包括但不限于项目名称、金额及实施内容、合同盖章、签订日期，加盖单位公章</w:t>
            </w:r>
            <w:r>
              <w:rPr>
                <w:rFonts w:hint="eastAsia" w:asciiTheme="minorEastAsia" w:hAnsiTheme="minorEastAsia"/>
                <w:color w:val="auto"/>
                <w:sz w:val="24"/>
                <w:szCs w:val="24"/>
                <w:highlight w:val="none"/>
                <w:lang w:eastAsia="zh-CN"/>
              </w:rPr>
              <w:t>。</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hint="default" w:ascii="宋体" w:hAnsi="宋体" w:eastAsia="宋体"/>
                <w:color w:val="auto"/>
                <w:kern w:val="0"/>
                <w:sz w:val="18"/>
                <w:szCs w:val="18"/>
                <w:lang w:val="en-US" w:eastAsia="zh-CN" w:bidi="en-US"/>
              </w:rPr>
            </w:pPr>
            <w:r>
              <w:rPr>
                <w:rFonts w:hint="eastAsia" w:ascii="宋体" w:hAnsi="宋体" w:eastAsia="宋体"/>
                <w:color w:val="auto"/>
                <w:kern w:val="0"/>
                <w:sz w:val="18"/>
                <w:szCs w:val="18"/>
                <w:lang w:val="en-US" w:eastAsia="zh-CN" w:bidi="en-US"/>
              </w:rPr>
              <w:t>科研能力情况</w:t>
            </w:r>
          </w:p>
        </w:tc>
        <w:tc>
          <w:tcPr>
            <w:tcW w:w="567" w:type="dxa"/>
            <w:tcBorders>
              <w:top w:val="nil"/>
              <w:left w:val="nil"/>
              <w:bottom w:val="single" w:color="auto" w:sz="4" w:space="0"/>
              <w:right w:val="single" w:color="auto" w:sz="4" w:space="0"/>
            </w:tcBorders>
            <w:vAlign w:val="center"/>
          </w:tcPr>
          <w:p>
            <w:pPr>
              <w:adjustRightInd w:val="0"/>
              <w:snapToGrid w:val="0"/>
              <w:jc w:val="center"/>
              <w:rPr>
                <w:rFonts w:hint="default" w:ascii="宋体" w:hAnsi="宋体" w:eastAsia="宋体"/>
                <w:color w:val="auto"/>
                <w:kern w:val="0"/>
                <w:sz w:val="18"/>
                <w:szCs w:val="18"/>
                <w:lang w:val="en-US" w:eastAsia="zh-CN" w:bidi="en-US"/>
              </w:rPr>
            </w:pPr>
            <w:r>
              <w:rPr>
                <w:rFonts w:hint="eastAsia" w:ascii="宋体" w:hAnsi="宋体" w:eastAsia="宋体"/>
                <w:color w:val="auto"/>
                <w:kern w:val="0"/>
                <w:sz w:val="18"/>
                <w:szCs w:val="18"/>
                <w:lang w:val="en-US" w:eastAsia="zh-CN" w:bidi="en-US"/>
              </w:rPr>
              <w:t>10</w:t>
            </w:r>
          </w:p>
        </w:tc>
        <w:tc>
          <w:tcPr>
            <w:tcW w:w="5987" w:type="dxa"/>
            <w:tcBorders>
              <w:top w:val="nil"/>
              <w:left w:val="nil"/>
              <w:bottom w:val="single" w:color="auto" w:sz="4" w:space="0"/>
              <w:right w:val="single" w:color="auto" w:sz="4" w:space="0"/>
            </w:tcBorders>
            <w:vAlign w:val="center"/>
          </w:tcPr>
          <w:p>
            <w:pPr>
              <w:widowControl/>
              <w:numPr>
                <w:ilvl w:val="0"/>
                <w:numId w:val="37"/>
              </w:numPr>
              <w:adjustRightInd/>
              <w:snapToGrid/>
              <w:ind w:firstLine="420" w:firstLineChars="200"/>
              <w:jc w:val="left"/>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自2020年1月1日至今，投标人具有自控系统升级相关算法软件著作权，每提供1项得1.5分，提供证书复印件。</w:t>
            </w:r>
          </w:p>
          <w:p>
            <w:pPr>
              <w:widowControl/>
              <w:numPr>
                <w:ilvl w:val="0"/>
                <w:numId w:val="37"/>
              </w:numPr>
              <w:adjustRightInd/>
              <w:snapToGrid/>
              <w:ind w:firstLine="420" w:firstLineChars="200"/>
              <w:jc w:val="left"/>
              <w:rPr>
                <w:rFonts w:hint="eastAsia" w:ascii="Times New Roman" w:hAnsi="Times New Roman" w:eastAsia="宋体" w:cs="Times New Roman"/>
                <w:color w:val="auto"/>
                <w:szCs w:val="24"/>
                <w:highlight w:val="yellow"/>
                <w:lang w:val="en-US" w:eastAsia="zh-CN"/>
              </w:rPr>
            </w:pPr>
            <w:r>
              <w:rPr>
                <w:rFonts w:hint="eastAsia" w:ascii="Times New Roman" w:hAnsi="Times New Roman" w:eastAsia="宋体" w:cs="Times New Roman"/>
                <w:color w:val="auto"/>
                <w:szCs w:val="24"/>
                <w:highlight w:val="none"/>
                <w:lang w:val="en-US" w:eastAsia="zh-CN"/>
              </w:rPr>
              <w:t>自2020年1月1日至今，投标人具有自控系统升级相关算法发明专利，每提供1项得2.5分，提供证书复印件。</w:t>
            </w:r>
          </w:p>
          <w:p>
            <w:pPr>
              <w:widowControl/>
              <w:numPr>
                <w:ilvl w:val="-1"/>
                <w:numId w:val="0"/>
              </w:numPr>
              <w:adjustRightInd/>
              <w:snapToGrid/>
              <w:ind w:firstLine="0" w:firstLineChars="0"/>
              <w:jc w:val="left"/>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highlight w:val="none"/>
                <w:lang w:val="en-US" w:eastAsia="zh-CN"/>
              </w:rPr>
              <w:t>本项最高得分10分。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spacing w:line="240" w:lineRule="auto"/>
              <w:contextualSpacing w:val="0"/>
              <w:jc w:val="center"/>
              <w:rPr>
                <w:rFonts w:hint="eastAsia" w:ascii="宋体" w:hAnsi="宋体" w:eastAsia="宋体"/>
                <w:color w:val="auto"/>
                <w:kern w:val="0"/>
                <w:sz w:val="18"/>
                <w:szCs w:val="18"/>
                <w:lang w:bidi="en-US"/>
              </w:rPr>
            </w:pPr>
            <w:r>
              <w:rPr>
                <w:rFonts w:hint="eastAsia" w:ascii="宋体" w:hAnsi="宋体" w:eastAsia="宋体"/>
                <w:color w:val="auto"/>
                <w:kern w:val="0"/>
                <w:sz w:val="18"/>
                <w:szCs w:val="18"/>
                <w:lang w:bidi="en-US"/>
              </w:rPr>
              <w:t>A级纳税人称号</w:t>
            </w:r>
          </w:p>
          <w:p>
            <w:pPr>
              <w:adjustRightInd w:val="0"/>
              <w:snapToGrid w:val="0"/>
              <w:jc w:val="center"/>
              <w:rPr>
                <w:rFonts w:hint="eastAsia" w:ascii="宋体" w:hAnsi="宋体" w:eastAsia="宋体"/>
                <w:color w:val="auto"/>
                <w:kern w:val="0"/>
                <w:sz w:val="18"/>
                <w:szCs w:val="18"/>
                <w:lang w:bidi="en-US"/>
              </w:rPr>
            </w:pPr>
          </w:p>
        </w:tc>
        <w:tc>
          <w:tcPr>
            <w:tcW w:w="567"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olor w:val="auto"/>
                <w:kern w:val="0"/>
                <w:sz w:val="18"/>
                <w:szCs w:val="18"/>
                <w:lang w:val="en-US" w:eastAsia="zh-CN" w:bidi="en-US"/>
              </w:rPr>
            </w:pPr>
            <w:r>
              <w:rPr>
                <w:rFonts w:hint="eastAsia" w:ascii="宋体" w:hAnsi="宋体" w:eastAsia="宋体"/>
                <w:color w:val="auto"/>
                <w:kern w:val="0"/>
                <w:sz w:val="18"/>
                <w:szCs w:val="18"/>
                <w:lang w:val="en-US" w:eastAsia="zh-CN" w:bidi="en-US"/>
              </w:rPr>
              <w:t>5</w:t>
            </w:r>
          </w:p>
        </w:tc>
        <w:tc>
          <w:tcPr>
            <w:tcW w:w="5987" w:type="dxa"/>
            <w:tcBorders>
              <w:top w:val="nil"/>
              <w:left w:val="nil"/>
              <w:bottom w:val="single" w:color="auto" w:sz="4" w:space="0"/>
              <w:right w:val="single" w:color="auto" w:sz="4" w:space="0"/>
            </w:tcBorders>
            <w:vAlign w:val="center"/>
          </w:tcPr>
          <w:p>
            <w:pPr>
              <w:autoSpaceDE/>
              <w:autoSpaceDN/>
              <w:adjustRightInd/>
              <w:spacing w:line="240" w:lineRule="auto"/>
              <w:rPr>
                <w:rFonts w:hint="eastAsia" w:ascii="Times New Roman" w:hAnsi="Times New Roman" w:eastAsia="宋体" w:cs="Times New Roman"/>
                <w:color w:val="auto"/>
                <w:szCs w:val="24"/>
                <w:lang w:val="zh-CN"/>
              </w:rPr>
            </w:pPr>
            <w:r>
              <w:rPr>
                <w:rFonts w:hint="eastAsia" w:ascii="Times New Roman" w:hAnsi="Times New Roman" w:eastAsia="宋体" w:cs="Times New Roman"/>
                <w:color w:val="auto"/>
                <w:szCs w:val="24"/>
                <w:lang w:val="zh-CN"/>
              </w:rPr>
              <w:t>投标人</w:t>
            </w:r>
            <w:r>
              <w:rPr>
                <w:rFonts w:hint="eastAsia" w:ascii="Times New Roman" w:hAnsi="Times New Roman" w:eastAsia="宋体" w:cs="Times New Roman"/>
                <w:color w:val="auto"/>
                <w:szCs w:val="24"/>
                <w:highlight w:val="none"/>
                <w:lang w:val="zh-CN"/>
              </w:rPr>
              <w:t>连续</w:t>
            </w:r>
            <w:r>
              <w:rPr>
                <w:rFonts w:hint="eastAsia" w:ascii="Times New Roman" w:hAnsi="Times New Roman" w:eastAsia="宋体" w:cs="Times New Roman"/>
                <w:color w:val="auto"/>
                <w:szCs w:val="24"/>
                <w:highlight w:val="none"/>
                <w:lang w:val="en-US" w:eastAsia="zh-CN"/>
              </w:rPr>
              <w:t>5</w:t>
            </w:r>
            <w:r>
              <w:rPr>
                <w:rFonts w:hint="eastAsia" w:ascii="Times New Roman" w:hAnsi="Times New Roman" w:eastAsia="宋体" w:cs="Times New Roman"/>
                <w:color w:val="auto"/>
                <w:szCs w:val="24"/>
                <w:highlight w:val="none"/>
                <w:lang w:val="zh-CN"/>
              </w:rPr>
              <w:t>年及</w:t>
            </w:r>
            <w:r>
              <w:rPr>
                <w:rFonts w:hint="eastAsia" w:ascii="Times New Roman" w:hAnsi="Times New Roman" w:eastAsia="宋体" w:cs="Times New Roman"/>
                <w:color w:val="auto"/>
                <w:szCs w:val="24"/>
                <w:lang w:val="zh-CN"/>
              </w:rPr>
              <w:t>以上被评定“A级纳税人”为得</w:t>
            </w:r>
            <w:r>
              <w:rPr>
                <w:rFonts w:hint="eastAsia" w:ascii="Times New Roman" w:hAnsi="Times New Roman" w:eastAsia="宋体" w:cs="Times New Roman"/>
                <w:color w:val="auto"/>
                <w:szCs w:val="24"/>
                <w:lang w:val="en-US" w:eastAsia="zh-CN"/>
              </w:rPr>
              <w:t>5</w:t>
            </w:r>
            <w:r>
              <w:rPr>
                <w:rFonts w:hint="eastAsia" w:ascii="Times New Roman" w:hAnsi="Times New Roman" w:eastAsia="宋体" w:cs="Times New Roman"/>
                <w:color w:val="auto"/>
                <w:szCs w:val="24"/>
                <w:lang w:val="zh-CN"/>
              </w:rPr>
              <w:t>分，连续</w:t>
            </w:r>
            <w:r>
              <w:rPr>
                <w:rFonts w:hint="eastAsia" w:ascii="Times New Roman" w:hAnsi="Times New Roman" w:eastAsia="宋体" w:cs="Times New Roman"/>
                <w:color w:val="auto"/>
                <w:szCs w:val="24"/>
                <w:lang w:val="en-US" w:eastAsia="zh-CN"/>
              </w:rPr>
              <w:t>3</w:t>
            </w:r>
            <w:r>
              <w:rPr>
                <w:rFonts w:hint="eastAsia" w:ascii="Times New Roman" w:hAnsi="Times New Roman" w:eastAsia="宋体" w:cs="Times New Roman"/>
                <w:color w:val="auto"/>
                <w:szCs w:val="24"/>
                <w:lang w:val="zh-CN"/>
              </w:rPr>
              <w:t>年被评定为评定“A级纳税人”为得</w:t>
            </w:r>
            <w:r>
              <w:rPr>
                <w:rFonts w:hint="eastAsia" w:ascii="Times New Roman" w:hAnsi="Times New Roman" w:eastAsia="宋体" w:cs="Times New Roman"/>
                <w:color w:val="auto"/>
                <w:szCs w:val="24"/>
                <w:lang w:val="en-US" w:eastAsia="zh-CN"/>
              </w:rPr>
              <w:t>3</w:t>
            </w:r>
            <w:r>
              <w:rPr>
                <w:rFonts w:hint="eastAsia" w:ascii="Times New Roman" w:hAnsi="Times New Roman" w:eastAsia="宋体" w:cs="Times New Roman"/>
                <w:color w:val="auto"/>
                <w:szCs w:val="24"/>
                <w:lang w:val="zh-CN"/>
              </w:rPr>
              <w:t>分，连续</w:t>
            </w:r>
            <w:r>
              <w:rPr>
                <w:rFonts w:hint="eastAsia" w:ascii="Times New Roman" w:hAnsi="Times New Roman" w:eastAsia="宋体" w:cs="Times New Roman"/>
                <w:color w:val="auto"/>
                <w:szCs w:val="24"/>
                <w:lang w:val="en-US" w:eastAsia="zh-CN"/>
              </w:rPr>
              <w:t>2</w:t>
            </w:r>
            <w:r>
              <w:rPr>
                <w:rFonts w:hint="eastAsia" w:ascii="Times New Roman" w:hAnsi="Times New Roman" w:eastAsia="宋体" w:cs="Times New Roman"/>
                <w:color w:val="auto"/>
                <w:szCs w:val="24"/>
                <w:lang w:val="zh-CN"/>
              </w:rPr>
              <w:t>年被评定为评定“A级纳税人”为得</w:t>
            </w:r>
            <w:r>
              <w:rPr>
                <w:rFonts w:hint="eastAsia" w:ascii="Times New Roman" w:hAnsi="Times New Roman" w:eastAsia="宋体" w:cs="Times New Roman"/>
                <w:color w:val="auto"/>
                <w:szCs w:val="24"/>
                <w:lang w:val="en-US" w:eastAsia="zh-CN"/>
              </w:rPr>
              <w:t>1</w:t>
            </w:r>
            <w:r>
              <w:rPr>
                <w:rFonts w:hint="eastAsia" w:ascii="Times New Roman" w:hAnsi="Times New Roman" w:eastAsia="宋体" w:cs="Times New Roman"/>
                <w:color w:val="auto"/>
                <w:szCs w:val="24"/>
                <w:lang w:val="zh-CN"/>
              </w:rPr>
              <w:t>分，其余不得分。</w:t>
            </w:r>
          </w:p>
          <w:p>
            <w:pPr>
              <w:widowControl/>
              <w:adjustRightInd/>
              <w:snapToGrid/>
              <w:ind w:firstLine="420" w:firstLineChars="200"/>
              <w:jc w:val="left"/>
              <w:rPr>
                <w:rFonts w:hint="eastAsia" w:ascii="宋体" w:hAnsi="宋体" w:eastAsia="宋体" w:cs="宋体"/>
                <w:color w:val="auto"/>
                <w:kern w:val="0"/>
                <w:sz w:val="18"/>
                <w:szCs w:val="18"/>
              </w:rPr>
            </w:pPr>
            <w:r>
              <w:rPr>
                <w:rFonts w:hint="eastAsia" w:ascii="Times New Roman" w:hAnsi="Times New Roman" w:eastAsia="宋体" w:cs="Times New Roman"/>
                <w:color w:val="auto"/>
                <w:szCs w:val="24"/>
                <w:lang w:val="zh-CN"/>
              </w:rPr>
              <w:t>说明：不计算子公司和分公司；A级纳税人以“国家税务总局”官网 （http://www.chinatax.gov.cn）查询结果为准，应提交在上述官网的查询结果截图，否则不得分。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hint="default" w:ascii="宋体" w:hAnsi="宋体" w:eastAsia="宋体"/>
                <w:color w:val="auto"/>
                <w:sz w:val="18"/>
                <w:szCs w:val="18"/>
                <w:lang w:val="en-US" w:eastAsia="zh-CN"/>
              </w:rPr>
            </w:pPr>
            <w:r>
              <w:rPr>
                <w:rFonts w:hint="eastAsia" w:ascii="宋体" w:hAnsi="宋体" w:eastAsia="宋体"/>
                <w:color w:val="auto"/>
                <w:kern w:val="0"/>
                <w:sz w:val="18"/>
                <w:szCs w:val="18"/>
                <w:lang w:val="en-US" w:eastAsia="zh-CN" w:bidi="en-US"/>
              </w:rPr>
              <w:t>投标人服务能力</w:t>
            </w:r>
          </w:p>
        </w:tc>
        <w:tc>
          <w:tcPr>
            <w:tcW w:w="567"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olor w:val="auto"/>
                <w:sz w:val="18"/>
                <w:szCs w:val="18"/>
                <w:lang w:eastAsia="zh-CN"/>
              </w:rPr>
            </w:pPr>
            <w:r>
              <w:rPr>
                <w:rFonts w:hint="eastAsia" w:ascii="宋体" w:hAnsi="宋体" w:eastAsia="宋体"/>
                <w:color w:val="auto"/>
                <w:kern w:val="0"/>
                <w:sz w:val="18"/>
                <w:szCs w:val="18"/>
                <w:lang w:val="en-US" w:eastAsia="zh-CN" w:bidi="en-US"/>
              </w:rPr>
              <w:t>5</w:t>
            </w:r>
          </w:p>
        </w:tc>
        <w:tc>
          <w:tcPr>
            <w:tcW w:w="5987" w:type="dxa"/>
            <w:tcBorders>
              <w:top w:val="nil"/>
              <w:left w:val="nil"/>
              <w:bottom w:val="single" w:color="auto" w:sz="4" w:space="0"/>
              <w:right w:val="single" w:color="auto" w:sz="4" w:space="0"/>
            </w:tcBorders>
            <w:vAlign w:val="center"/>
          </w:tcPr>
          <w:p>
            <w:pPr>
              <w:widowControl/>
              <w:adjustRightInd/>
              <w:snapToGrid/>
              <w:ind w:firstLine="0" w:firstLineChars="0"/>
              <w:jc w:val="left"/>
              <w:rPr>
                <w:rFonts w:ascii="宋体" w:hAnsi="宋体" w:eastAsia="宋体" w:cs="宋体"/>
                <w:color w:val="auto"/>
                <w:sz w:val="18"/>
                <w:szCs w:val="18"/>
              </w:rPr>
            </w:pPr>
            <w:r>
              <w:rPr>
                <w:rFonts w:hint="eastAsia" w:ascii="宋体" w:hAnsi="宋体" w:eastAsia="宋体" w:cs="宋体"/>
                <w:bCs w:val="0"/>
                <w:color w:val="auto"/>
                <w:kern w:val="0"/>
                <w:sz w:val="21"/>
                <w:szCs w:val="21"/>
                <w:lang w:val="en-US" w:eastAsia="zh-CN" w:bidi="ar-SA"/>
              </w:rPr>
              <w:t>投标人具有有效期内西门子系统集成商授权证书，得5分</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bCs w:val="0"/>
                <w:color w:val="auto"/>
                <w:kern w:val="0"/>
                <w:sz w:val="21"/>
                <w:szCs w:val="21"/>
                <w:lang w:val="en-US" w:eastAsia="zh-CN" w:bidi="ar-SA"/>
              </w:rPr>
              <w:t xml:space="preserve"> </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技术部分</w:t>
            </w:r>
          </w:p>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2</w:t>
            </w:r>
            <w:r>
              <w:rPr>
                <w:rFonts w:ascii="宋体" w:hAnsi="宋体" w:eastAsia="宋体" w:cs="宋体"/>
                <w:color w:val="auto"/>
                <w:kern w:val="0"/>
                <w:sz w:val="18"/>
                <w:szCs w:val="18"/>
                <w:highlight w:val="none"/>
              </w:rPr>
              <w:t>0</w:t>
            </w:r>
            <w:r>
              <w:rPr>
                <w:rFonts w:hint="eastAsia" w:ascii="宋体" w:hAnsi="宋体" w:eastAsia="宋体" w:cs="宋体"/>
                <w:color w:val="auto"/>
                <w:kern w:val="0"/>
                <w:sz w:val="18"/>
                <w:szCs w:val="18"/>
                <w:highlight w:val="none"/>
              </w:rPr>
              <w:t>分）</w:t>
            </w:r>
          </w:p>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总体方案评审</w:t>
            </w:r>
          </w:p>
        </w:tc>
        <w:tc>
          <w:tcPr>
            <w:tcW w:w="567" w:type="dxa"/>
            <w:tcBorders>
              <w:top w:val="nil"/>
              <w:left w:val="nil"/>
              <w:bottom w:val="single" w:color="auto" w:sz="4" w:space="0"/>
              <w:right w:val="single" w:color="auto" w:sz="4" w:space="0"/>
            </w:tcBorders>
            <w:vAlign w:val="center"/>
          </w:tcPr>
          <w:p>
            <w:pPr>
              <w:pStyle w:val="29"/>
              <w:spacing w:line="24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6</w:t>
            </w:r>
          </w:p>
        </w:tc>
        <w:tc>
          <w:tcPr>
            <w:tcW w:w="5987" w:type="dxa"/>
            <w:tcBorders>
              <w:top w:val="nil"/>
              <w:left w:val="nil"/>
              <w:bottom w:val="single" w:color="auto" w:sz="4" w:space="0"/>
              <w:right w:val="single" w:color="auto" w:sz="4" w:space="0"/>
            </w:tcBorders>
            <w:vAlign w:val="center"/>
          </w:tcPr>
          <w:p>
            <w:pPr>
              <w:pStyle w:val="29"/>
              <w:spacing w:line="24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ascii="宋体" w:hAnsi="宋体" w:cs="宋体"/>
                <w:color w:val="auto"/>
                <w:kern w:val="0"/>
                <w:sz w:val="21"/>
                <w:szCs w:val="21"/>
                <w:highlight w:val="none"/>
              </w:rPr>
              <w:t>A.</w:t>
            </w:r>
            <w:r>
              <w:rPr>
                <w:rFonts w:hint="eastAsia" w:ascii="宋体" w:hAnsi="宋体" w:cs="宋体"/>
                <w:color w:val="auto"/>
                <w:kern w:val="0"/>
                <w:sz w:val="21"/>
                <w:szCs w:val="21"/>
                <w:highlight w:val="none"/>
              </w:rPr>
              <w:t>对项目</w:t>
            </w:r>
            <w:r>
              <w:rPr>
                <w:rFonts w:hint="eastAsia" w:ascii="宋体" w:hAnsi="宋体" w:cs="宋体"/>
                <w:color w:val="auto"/>
                <w:kern w:val="0"/>
                <w:sz w:val="21"/>
                <w:szCs w:val="21"/>
                <w:highlight w:val="none"/>
                <w:lang w:val="en-US" w:eastAsia="zh-CN"/>
              </w:rPr>
              <w:t>有</w:t>
            </w:r>
            <w:r>
              <w:rPr>
                <w:rFonts w:hint="eastAsia" w:ascii="宋体" w:hAnsi="宋体" w:cs="宋体"/>
                <w:color w:val="auto"/>
                <w:kern w:val="0"/>
                <w:sz w:val="21"/>
                <w:szCs w:val="21"/>
                <w:highlight w:val="none"/>
              </w:rPr>
              <w:t>深入研究熟悉，总体方案具有针对性，符合项目特点，</w:t>
            </w:r>
            <w:r>
              <w:rPr>
                <w:rFonts w:hint="eastAsia" w:ascii="宋体" w:hAnsi="宋体" w:cs="宋体"/>
                <w:color w:val="auto"/>
                <w:kern w:val="0"/>
                <w:sz w:val="21"/>
                <w:szCs w:val="21"/>
                <w:highlight w:val="none"/>
                <w:lang w:val="en-US" w:eastAsia="zh-CN"/>
              </w:rPr>
              <w:t>配置</w:t>
            </w:r>
            <w:r>
              <w:rPr>
                <w:rFonts w:hint="eastAsia" w:ascii="宋体" w:hAnsi="宋体" w:cs="宋体"/>
                <w:color w:val="auto"/>
                <w:kern w:val="0"/>
                <w:sz w:val="21"/>
                <w:szCs w:val="21"/>
                <w:highlight w:val="none"/>
              </w:rPr>
              <w:t>合理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先进</w:t>
            </w:r>
            <w:r>
              <w:rPr>
                <w:rFonts w:hint="eastAsia" w:ascii="宋体" w:hAnsi="宋体" w:cs="宋体"/>
                <w:color w:val="auto"/>
                <w:kern w:val="0"/>
                <w:sz w:val="21"/>
                <w:szCs w:val="21"/>
                <w:highlight w:val="none"/>
              </w:rPr>
              <w:t>且可操作性强，构思方案优良，得</w:t>
            </w:r>
            <w:r>
              <w:rPr>
                <w:rFonts w:hint="eastAsia" w:ascii="宋体" w:hAnsi="宋体" w:cs="宋体"/>
                <w:color w:val="auto"/>
                <w:kern w:val="0"/>
                <w:sz w:val="21"/>
                <w:szCs w:val="21"/>
                <w:highlight w:val="none"/>
                <w:lang w:val="en-US" w:eastAsia="zh-CN"/>
              </w:rPr>
              <w:t>5-6</w:t>
            </w:r>
            <w:r>
              <w:rPr>
                <w:rFonts w:hint="eastAsia" w:ascii="宋体" w:hAnsi="宋体" w:cs="宋体"/>
                <w:color w:val="auto"/>
                <w:kern w:val="0"/>
                <w:sz w:val="21"/>
                <w:szCs w:val="21"/>
                <w:highlight w:val="none"/>
              </w:rPr>
              <w:t>分。</w:t>
            </w:r>
          </w:p>
          <w:p>
            <w:pPr>
              <w:pStyle w:val="29"/>
              <w:spacing w:line="24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ascii="宋体" w:hAnsi="宋体" w:cs="宋体"/>
                <w:color w:val="auto"/>
                <w:kern w:val="0"/>
                <w:sz w:val="21"/>
                <w:szCs w:val="21"/>
                <w:highlight w:val="none"/>
              </w:rPr>
              <w:t>B.</w:t>
            </w:r>
            <w:r>
              <w:rPr>
                <w:rFonts w:hint="eastAsia" w:ascii="宋体" w:hAnsi="宋体" w:cs="宋体"/>
                <w:color w:val="auto"/>
                <w:kern w:val="0"/>
                <w:sz w:val="21"/>
                <w:szCs w:val="21"/>
                <w:highlight w:val="none"/>
              </w:rPr>
              <w:t xml:space="preserve"> 对项目较为了解，总体案有一定的针对性，基本符合项目特点，基本合理，可操作性一般，构思方案一般，得3-</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pStyle w:val="29"/>
              <w:spacing w:line="24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ascii="宋体" w:hAnsi="宋体" w:cs="宋体"/>
                <w:color w:val="auto"/>
                <w:kern w:val="0"/>
                <w:sz w:val="21"/>
                <w:szCs w:val="21"/>
                <w:highlight w:val="none"/>
              </w:rPr>
              <w:t>C.</w:t>
            </w:r>
            <w:r>
              <w:rPr>
                <w:rFonts w:hint="eastAsia" w:ascii="宋体" w:hAnsi="宋体" w:cs="宋体"/>
                <w:color w:val="auto"/>
                <w:kern w:val="0"/>
                <w:sz w:val="21"/>
                <w:szCs w:val="21"/>
                <w:highlight w:val="none"/>
              </w:rPr>
              <w:t xml:space="preserve"> 不了解项目情况，总体方案泛泛没有针对性，不符合项目或不合理，可操作性差，构思方案差，得</w:t>
            </w:r>
            <w:r>
              <w:rPr>
                <w:rFonts w:ascii="宋体" w:hAnsi="宋体" w:cs="宋体"/>
                <w:color w:val="auto"/>
                <w:kern w:val="0"/>
                <w:sz w:val="21"/>
                <w:szCs w:val="21"/>
                <w:highlight w:val="none"/>
              </w:rPr>
              <w:t>0</w:t>
            </w:r>
            <w:r>
              <w:rPr>
                <w:rFonts w:hint="eastAsia" w:ascii="宋体" w:hAnsi="宋体" w:cs="宋体"/>
                <w:color w:val="auto"/>
                <w:kern w:val="0"/>
                <w:sz w:val="21"/>
                <w:szCs w:val="21"/>
                <w:highlight w:val="none"/>
              </w:rPr>
              <w:t>-2分。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p>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项目的重点和难点分析</w:t>
            </w:r>
          </w:p>
        </w:tc>
        <w:tc>
          <w:tcPr>
            <w:tcW w:w="5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6</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ascii="宋体" w:hAnsi="宋体" w:eastAsia="宋体" w:cs="宋体"/>
                <w:color w:val="auto"/>
                <w:kern w:val="0"/>
                <w:sz w:val="21"/>
                <w:szCs w:val="21"/>
                <w:highlight w:val="none"/>
              </w:rPr>
              <w:t xml:space="preserve">A. </w:t>
            </w:r>
            <w:r>
              <w:rPr>
                <w:rFonts w:hint="eastAsia" w:ascii="宋体" w:hAnsi="宋体" w:eastAsia="宋体" w:cs="宋体"/>
                <w:color w:val="auto"/>
                <w:kern w:val="0"/>
                <w:sz w:val="21"/>
                <w:szCs w:val="21"/>
                <w:highlight w:val="none"/>
              </w:rPr>
              <w:t>技术理念先进，叙述全面，且简明扼要，重点突出，经济可行。项目难点的分析透彻，并提出实际可行的针对措施，得</w:t>
            </w:r>
            <w:r>
              <w:rPr>
                <w:rFonts w:hint="eastAsia" w:ascii="宋体" w:hAnsi="宋体" w:eastAsia="宋体" w:cs="宋体"/>
                <w:color w:val="auto"/>
                <w:kern w:val="0"/>
                <w:sz w:val="21"/>
                <w:szCs w:val="21"/>
                <w:highlight w:val="none"/>
                <w:lang w:val="en-US" w:eastAsia="zh-CN"/>
              </w:rPr>
              <w:t>5-6</w:t>
            </w:r>
            <w:r>
              <w:rPr>
                <w:rFonts w:hint="eastAsia" w:ascii="宋体" w:hAnsi="宋体" w:eastAsia="宋体" w:cs="宋体"/>
                <w:color w:val="auto"/>
                <w:kern w:val="0"/>
                <w:sz w:val="21"/>
                <w:szCs w:val="21"/>
                <w:highlight w:val="none"/>
              </w:rPr>
              <w:t>分。</w:t>
            </w:r>
          </w:p>
          <w:p>
            <w:pPr>
              <w:widowControl/>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ascii="宋体" w:hAnsi="宋体" w:eastAsia="宋体" w:cs="宋体"/>
                <w:color w:val="auto"/>
                <w:kern w:val="0"/>
                <w:sz w:val="21"/>
                <w:szCs w:val="21"/>
                <w:highlight w:val="none"/>
              </w:rPr>
              <w:t xml:space="preserve">B. </w:t>
            </w:r>
            <w:r>
              <w:rPr>
                <w:rFonts w:hint="eastAsia" w:ascii="宋体" w:hAnsi="宋体" w:eastAsia="宋体" w:cs="宋体"/>
                <w:color w:val="auto"/>
                <w:kern w:val="0"/>
                <w:sz w:val="21"/>
                <w:szCs w:val="21"/>
                <w:highlight w:val="none"/>
              </w:rPr>
              <w:t>技术理念有</w:t>
            </w:r>
            <w:r>
              <w:rPr>
                <w:rFonts w:hint="eastAsia" w:ascii="宋体" w:hAnsi="宋体" w:eastAsia="宋体" w:cs="宋体"/>
                <w:color w:val="auto"/>
                <w:kern w:val="0"/>
                <w:sz w:val="21"/>
                <w:szCs w:val="21"/>
                <w:highlight w:val="none"/>
                <w:lang w:val="en-US" w:eastAsia="zh-CN"/>
              </w:rPr>
              <w:t>合理</w:t>
            </w:r>
            <w:r>
              <w:rPr>
                <w:rFonts w:hint="eastAsia" w:ascii="宋体" w:hAnsi="宋体" w:eastAsia="宋体" w:cs="宋体"/>
                <w:color w:val="auto"/>
                <w:kern w:val="0"/>
                <w:sz w:val="21"/>
                <w:szCs w:val="21"/>
                <w:highlight w:val="none"/>
              </w:rPr>
              <w:t>，叙述较为全面，可操作性一般，重点基本突出。项目难点分析欠透彻，解决措施可行性一般，得</w:t>
            </w: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w:t>
            </w:r>
            <w:r>
              <w:rPr>
                <w:rFonts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rPr>
              <w:t>分。</w:t>
            </w:r>
          </w:p>
          <w:p>
            <w:pPr>
              <w:widowControl/>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C. 技术理念无新意，可操作性差，重点不突出；项目重点、难点的分析不透彻，解决措施差或不可行，得</w:t>
            </w:r>
            <w:r>
              <w:rPr>
                <w:rFonts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技术深度及硬指标（方案中关于系统架构与设计深度、控制系统安全性及可靠性、参数相应与符合度的要求）</w:t>
            </w:r>
          </w:p>
        </w:tc>
        <w:tc>
          <w:tcPr>
            <w:tcW w:w="5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6</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 xml:space="preserve">A. </w:t>
            </w:r>
            <w:r>
              <w:rPr>
                <w:rFonts w:hint="eastAsia" w:ascii="宋体" w:hAnsi="宋体" w:eastAsia="宋体" w:cs="宋体"/>
                <w:color w:val="auto"/>
                <w:kern w:val="0"/>
                <w:sz w:val="21"/>
                <w:szCs w:val="21"/>
                <w:highlight w:val="none"/>
                <w:lang w:val="en-US" w:eastAsia="zh-CN"/>
              </w:rPr>
              <w:t>有完善的硬件配置、网络设计、接口方案，软件功能齐全，有功能安全、网络安全及冗余设计，并且对招标文件钟技术调控的逐条相应与证明</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5-6</w:t>
            </w:r>
            <w:r>
              <w:rPr>
                <w:rFonts w:hint="eastAsia" w:ascii="宋体" w:hAnsi="宋体" w:eastAsia="宋体" w:cs="宋体"/>
                <w:color w:val="auto"/>
                <w:kern w:val="0"/>
                <w:sz w:val="21"/>
                <w:szCs w:val="21"/>
                <w:highlight w:val="none"/>
              </w:rPr>
              <w:t>分。</w:t>
            </w:r>
          </w:p>
          <w:p>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 xml:space="preserve">    </w:t>
            </w:r>
            <w:r>
              <w:rPr>
                <w:rFonts w:ascii="宋体" w:hAnsi="宋体" w:eastAsia="宋体" w:cs="宋体"/>
                <w:color w:val="auto"/>
                <w:kern w:val="0"/>
                <w:sz w:val="21"/>
                <w:szCs w:val="21"/>
                <w:highlight w:val="none"/>
              </w:rPr>
              <w:t xml:space="preserve">B. </w:t>
            </w:r>
            <w:r>
              <w:rPr>
                <w:rFonts w:hint="eastAsia" w:ascii="宋体" w:hAnsi="宋体" w:eastAsia="宋体" w:cs="宋体"/>
                <w:color w:val="auto"/>
                <w:kern w:val="0"/>
                <w:sz w:val="21"/>
                <w:szCs w:val="21"/>
                <w:highlight w:val="none"/>
                <w:lang w:val="en-US" w:eastAsia="zh-CN"/>
              </w:rPr>
              <w:t>有硬件配置、网络设计、接口方案，软件功能一般，有描述功能安全、网络安全及冗余设计的方案，但不太全面及详尽，</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3-4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pPr>
              <w:widowControl/>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C. </w:t>
            </w:r>
            <w:r>
              <w:rPr>
                <w:rFonts w:hint="eastAsia" w:ascii="宋体" w:hAnsi="宋体" w:eastAsia="宋体" w:cs="宋体"/>
                <w:color w:val="auto"/>
                <w:kern w:val="0"/>
                <w:sz w:val="21"/>
                <w:szCs w:val="21"/>
                <w:highlight w:val="none"/>
                <w:lang w:val="en-US" w:eastAsia="zh-CN"/>
              </w:rPr>
              <w:t>硬件配置、网络设计、接口方案有缺失，软件功能不满足要求，功能安全、网络安全及冗余设计的方案不详尽或缺失</w:t>
            </w:r>
            <w:r>
              <w:rPr>
                <w:rFonts w:hint="eastAsia" w:ascii="宋体" w:hAnsi="宋体" w:eastAsia="宋体" w:cs="宋体"/>
                <w:color w:val="auto"/>
                <w:kern w:val="0"/>
                <w:sz w:val="21"/>
                <w:szCs w:val="21"/>
                <w:highlight w:val="none"/>
              </w:rPr>
              <w:t>，得</w:t>
            </w:r>
            <w:r>
              <w:rPr>
                <w:rFonts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服务的质量与进度保证措施（提出针对本项目提供优质的服务计划及技术支持，其他措施自拟）</w:t>
            </w:r>
          </w:p>
        </w:tc>
        <w:tc>
          <w:tcPr>
            <w:tcW w:w="567"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ascii="宋体" w:hAnsi="宋体" w:eastAsia="宋体" w:cs="宋体"/>
                <w:color w:val="auto"/>
                <w:kern w:val="0"/>
                <w:sz w:val="21"/>
                <w:szCs w:val="21"/>
                <w:highlight w:val="none"/>
              </w:rPr>
              <w:t>A.</w:t>
            </w:r>
            <w:r>
              <w:rPr>
                <w:rFonts w:hint="eastAsia" w:ascii="宋体" w:hAnsi="宋体" w:eastAsia="宋体" w:cs="宋体"/>
                <w:color w:val="auto"/>
                <w:kern w:val="0"/>
                <w:sz w:val="21"/>
                <w:szCs w:val="21"/>
                <w:highlight w:val="none"/>
              </w:rPr>
              <w:t>措施合理、具体可行，可操作性强，工期安排较优，完全满足各阶段的服务要求，人员配置合理、分工明确、架构科学，能及时回应采购人有关诉求得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B.措施较为合理，基本可行，可操作性一般，工期基本满足采购人需求。人员配置及构架基本合理，基本满是采购人需求，得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widowControl/>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其余不得分。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价格部分</w:t>
            </w:r>
          </w:p>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5</w:t>
            </w:r>
            <w:r>
              <w:rPr>
                <w:rFonts w:ascii="宋体" w:hAnsi="宋体" w:eastAsia="宋体" w:cs="宋体"/>
                <w:color w:val="auto"/>
                <w:kern w:val="0"/>
                <w:sz w:val="18"/>
                <w:szCs w:val="18"/>
              </w:rPr>
              <w:t>0</w:t>
            </w:r>
            <w:r>
              <w:rPr>
                <w:rFonts w:hint="eastAsia" w:ascii="宋体" w:hAnsi="宋体" w:eastAsia="宋体" w:cs="宋体"/>
                <w:color w:val="auto"/>
                <w:kern w:val="0"/>
                <w:sz w:val="18"/>
                <w:szCs w:val="18"/>
              </w:rPr>
              <w:t>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报价</w:t>
            </w: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5</w:t>
            </w:r>
            <w:r>
              <w:rPr>
                <w:rFonts w:ascii="宋体" w:hAnsi="宋体" w:eastAsia="宋体" w:cs="宋体"/>
                <w:color w:val="auto"/>
                <w:kern w:val="0"/>
                <w:sz w:val="18"/>
                <w:szCs w:val="18"/>
              </w:rPr>
              <w:t>0</w:t>
            </w:r>
          </w:p>
        </w:tc>
        <w:tc>
          <w:tcPr>
            <w:tcW w:w="5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通过</w:t>
            </w:r>
            <w:r>
              <w:rPr>
                <w:rFonts w:hint="eastAsia" w:ascii="宋体" w:hAnsi="宋体" w:eastAsia="宋体" w:cs="宋体"/>
                <w:color w:val="auto"/>
                <w:kern w:val="0"/>
                <w:sz w:val="21"/>
                <w:szCs w:val="21"/>
                <w:lang w:val="en-US" w:eastAsia="zh-CN"/>
              </w:rPr>
              <w:t>资格性和有效性审查</w:t>
            </w:r>
            <w:r>
              <w:rPr>
                <w:rFonts w:hint="eastAsia" w:ascii="宋体" w:hAnsi="宋体" w:eastAsia="宋体" w:cs="宋体"/>
                <w:color w:val="auto"/>
                <w:kern w:val="0"/>
                <w:sz w:val="21"/>
                <w:szCs w:val="21"/>
              </w:rPr>
              <w:t>的投标人中，</w:t>
            </w:r>
            <w:r>
              <w:rPr>
                <w:rFonts w:hint="eastAsia" w:ascii="宋体" w:hAnsi="宋体" w:eastAsia="宋体" w:cs="宋体"/>
                <w:color w:val="auto"/>
                <w:kern w:val="0"/>
                <w:sz w:val="21"/>
                <w:szCs w:val="21"/>
                <w:lang w:val="en-US" w:eastAsia="zh-CN"/>
              </w:rPr>
              <w:t>以</w:t>
            </w:r>
            <w:r>
              <w:rPr>
                <w:rFonts w:hint="eastAsia" w:ascii="宋体" w:hAnsi="宋体" w:eastAsia="宋体" w:cs="宋体"/>
                <w:color w:val="auto"/>
                <w:kern w:val="0"/>
                <w:sz w:val="21"/>
                <w:szCs w:val="21"/>
              </w:rPr>
              <w:t>投标人报价的最低价为评标基准价，通过</w:t>
            </w:r>
            <w:r>
              <w:rPr>
                <w:rFonts w:hint="eastAsia" w:ascii="宋体" w:hAnsi="宋体" w:eastAsia="宋体" w:cs="宋体"/>
                <w:color w:val="auto"/>
                <w:kern w:val="0"/>
                <w:sz w:val="21"/>
                <w:szCs w:val="21"/>
                <w:lang w:val="en-US" w:eastAsia="zh-CN"/>
              </w:rPr>
              <w:t>资格性和有效性审查</w:t>
            </w:r>
            <w:r>
              <w:rPr>
                <w:rFonts w:hint="eastAsia" w:ascii="宋体" w:hAnsi="宋体" w:eastAsia="宋体" w:cs="宋体"/>
                <w:color w:val="auto"/>
                <w:kern w:val="0"/>
                <w:sz w:val="21"/>
                <w:szCs w:val="21"/>
              </w:rPr>
              <w:t>的各投标人的价格评分统一按照下列公式计算：</w:t>
            </w:r>
          </w:p>
          <w:p>
            <w:pPr>
              <w:adjustRightInd w:val="0"/>
              <w:snapToGrid w:val="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价格</w:t>
            </w:r>
            <w:r>
              <w:rPr>
                <w:rFonts w:hint="eastAsia" w:ascii="宋体" w:hAnsi="宋体" w:eastAsia="宋体" w:cs="宋体"/>
                <w:color w:val="auto"/>
                <w:kern w:val="0"/>
                <w:sz w:val="21"/>
                <w:szCs w:val="21"/>
                <w:highlight w:val="none"/>
              </w:rPr>
              <w:t>评分＝评标基准价÷投标人</w:t>
            </w:r>
            <w:r>
              <w:rPr>
                <w:rFonts w:hint="eastAsia" w:ascii="宋体" w:hAnsi="宋体" w:eastAsia="宋体" w:cs="宋体"/>
                <w:color w:val="auto"/>
                <w:kern w:val="0"/>
                <w:sz w:val="21"/>
                <w:szCs w:val="21"/>
                <w:highlight w:val="none"/>
                <w:lang w:val="en-US" w:eastAsia="zh-CN"/>
              </w:rPr>
              <w:t>投</w:t>
            </w:r>
            <w:r>
              <w:rPr>
                <w:rFonts w:hint="eastAsia" w:ascii="宋体" w:hAnsi="宋体" w:eastAsia="宋体" w:cs="宋体"/>
                <w:color w:val="auto"/>
                <w:kern w:val="0"/>
                <w:sz w:val="21"/>
                <w:szCs w:val="21"/>
                <w:highlight w:val="none"/>
              </w:rPr>
              <w:t>标报价×</w:t>
            </w:r>
            <w:r>
              <w:rPr>
                <w:rFonts w:hint="eastAsia" w:eastAsia="宋体"/>
                <w:color w:val="auto"/>
                <w:szCs w:val="21"/>
                <w:highlight w:val="none"/>
                <w:lang w:val="en-US" w:eastAsia="zh-CN"/>
              </w:rPr>
              <w:t>5</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w:t>
            </w:r>
          </w:p>
        </w:tc>
      </w:tr>
      <w:bookmarkEnd w:id="1"/>
    </w:tbl>
    <w:p>
      <w:pPr>
        <w:ind w:firstLine="1680" w:firstLineChars="800"/>
        <w:jc w:val="left"/>
        <w:rPr>
          <w:color w:val="auto"/>
        </w:rPr>
      </w:pPr>
    </w:p>
    <w:sectPr>
      <w:footerReference r:id="rId3" w:type="default"/>
      <w:pgSz w:w="11906" w:h="16838"/>
      <w:pgMar w:top="1440" w:right="1800"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fldChar w:fldCharType="begin"/>
    </w:r>
    <w:r>
      <w:instrText xml:space="preserve"> PAGE   \* MERGEFORMAT </w:instrText>
    </w:r>
    <w:r>
      <w:fldChar w:fldCharType="separate"/>
    </w:r>
    <w:r>
      <w:rPr>
        <w:lang w:val="zh-CN"/>
      </w:rPr>
      <w:t>15</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0D657"/>
    <w:multiLevelType w:val="singleLevel"/>
    <w:tmpl w:val="8420D657"/>
    <w:lvl w:ilvl="0" w:tentative="0">
      <w:start w:val="1"/>
      <w:numFmt w:val="decimal"/>
      <w:suff w:val="nothing"/>
      <w:lvlText w:val="%1、"/>
      <w:lvlJc w:val="left"/>
    </w:lvl>
  </w:abstractNum>
  <w:abstractNum w:abstractNumId="1">
    <w:nsid w:val="890BAC6C"/>
    <w:multiLevelType w:val="multilevel"/>
    <w:tmpl w:val="890BAC6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98369CE5"/>
    <w:multiLevelType w:val="singleLevel"/>
    <w:tmpl w:val="98369CE5"/>
    <w:lvl w:ilvl="0" w:tentative="0">
      <w:start w:val="2"/>
      <w:numFmt w:val="chineseCounting"/>
      <w:suff w:val="nothing"/>
      <w:lvlText w:val="%1、"/>
      <w:lvlJc w:val="left"/>
      <w:rPr>
        <w:rFonts w:hint="eastAsia"/>
      </w:rPr>
    </w:lvl>
  </w:abstractNum>
  <w:abstractNum w:abstractNumId="3">
    <w:nsid w:val="E71FE263"/>
    <w:multiLevelType w:val="singleLevel"/>
    <w:tmpl w:val="E71FE263"/>
    <w:lvl w:ilvl="0" w:tentative="0">
      <w:start w:val="1"/>
      <w:numFmt w:val="chineseCounting"/>
      <w:suff w:val="nothing"/>
      <w:lvlText w:val="（%1）"/>
      <w:lvlJc w:val="left"/>
      <w:rPr>
        <w:rFonts w:hint="eastAsia"/>
      </w:rPr>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11506C65"/>
    <w:multiLevelType w:val="multilevel"/>
    <w:tmpl w:val="11506C65"/>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7">
    <w:nsid w:val="12504AD9"/>
    <w:multiLevelType w:val="multilevel"/>
    <w:tmpl w:val="12504AD9"/>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19271C44"/>
    <w:multiLevelType w:val="multilevel"/>
    <w:tmpl w:val="19271C44"/>
    <w:lvl w:ilvl="0" w:tentative="0">
      <w:start w:val="1"/>
      <w:numFmt w:val="bullet"/>
      <w:suff w:val="nothing"/>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10">
    <w:nsid w:val="1C4B2183"/>
    <w:multiLevelType w:val="multilevel"/>
    <w:tmpl w:val="1C4B2183"/>
    <w:lvl w:ilvl="0" w:tentative="0">
      <w:start w:val="1"/>
      <w:numFmt w:val="bullet"/>
      <w:suff w:val="nothing"/>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DA32CD7"/>
    <w:multiLevelType w:val="multilevel"/>
    <w:tmpl w:val="1DA32C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3D27A3D"/>
    <w:multiLevelType w:val="multilevel"/>
    <w:tmpl w:val="23D27A3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2BDC4EAC"/>
    <w:multiLevelType w:val="multilevel"/>
    <w:tmpl w:val="2BDC4E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5">
    <w:nsid w:val="3294246F"/>
    <w:multiLevelType w:val="multilevel"/>
    <w:tmpl w:val="329424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46836D9"/>
    <w:multiLevelType w:val="multilevel"/>
    <w:tmpl w:val="346836D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A772B65"/>
    <w:multiLevelType w:val="multilevel"/>
    <w:tmpl w:val="3A772B6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0">
    <w:nsid w:val="3DCA25A9"/>
    <w:multiLevelType w:val="multilevel"/>
    <w:tmpl w:val="3DCA25A9"/>
    <w:lvl w:ilvl="0" w:tentative="0">
      <w:start w:val="1"/>
      <w:numFmt w:val="bullet"/>
      <w:suff w:val="nothing"/>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21">
    <w:nsid w:val="413550FC"/>
    <w:multiLevelType w:val="multilevel"/>
    <w:tmpl w:val="413550F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47CA5F89"/>
    <w:multiLevelType w:val="multilevel"/>
    <w:tmpl w:val="47CA5F8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12D0343"/>
    <w:multiLevelType w:val="multilevel"/>
    <w:tmpl w:val="512D0343"/>
    <w:lvl w:ilvl="0" w:tentative="0">
      <w:start w:val="1"/>
      <w:numFmt w:val="bullet"/>
      <w:suff w:val="nothing"/>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25">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6">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16F2DB0"/>
    <w:multiLevelType w:val="multilevel"/>
    <w:tmpl w:val="616F2DB0"/>
    <w:lvl w:ilvl="0" w:tentative="0">
      <w:start w:val="1"/>
      <w:numFmt w:val="bullet"/>
      <w:suff w:val="nothing"/>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9">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0">
    <w:nsid w:val="6BBA3850"/>
    <w:multiLevelType w:val="singleLevel"/>
    <w:tmpl w:val="6BBA3850"/>
    <w:lvl w:ilvl="0" w:tentative="0">
      <w:start w:val="1"/>
      <w:numFmt w:val="decimal"/>
      <w:lvlText w:val="%1)"/>
      <w:lvlJc w:val="left"/>
      <w:pPr>
        <w:tabs>
          <w:tab w:val="left" w:pos="420"/>
        </w:tabs>
        <w:ind w:left="845" w:hanging="425"/>
      </w:pPr>
      <w:rPr>
        <w:rFonts w:hint="default"/>
      </w:rPr>
    </w:lvl>
  </w:abstractNum>
  <w:abstractNum w:abstractNumId="31">
    <w:nsid w:val="6DE422C2"/>
    <w:multiLevelType w:val="multilevel"/>
    <w:tmpl w:val="6DE422C2"/>
    <w:lvl w:ilvl="0" w:tentative="0">
      <w:start w:val="1"/>
      <w:numFmt w:val="bullet"/>
      <w:suff w:val="nothing"/>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32">
    <w:nsid w:val="6F09058D"/>
    <w:multiLevelType w:val="multilevel"/>
    <w:tmpl w:val="6F0905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85935E7"/>
    <w:multiLevelType w:val="multilevel"/>
    <w:tmpl w:val="785935E7"/>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4">
    <w:nsid w:val="789F8133"/>
    <w:multiLevelType w:val="singleLevel"/>
    <w:tmpl w:val="789F8133"/>
    <w:lvl w:ilvl="0" w:tentative="0">
      <w:start w:val="6"/>
      <w:numFmt w:val="chineseCounting"/>
      <w:suff w:val="nothing"/>
      <w:lvlText w:val="%1、"/>
      <w:lvlJc w:val="left"/>
      <w:rPr>
        <w:rFonts w:hint="eastAsia"/>
      </w:rPr>
    </w:lvl>
  </w:abstractNum>
  <w:abstractNum w:abstractNumId="35">
    <w:nsid w:val="7BCC1ABB"/>
    <w:multiLevelType w:val="multilevel"/>
    <w:tmpl w:val="7BCC1A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7FE672D8"/>
    <w:multiLevelType w:val="multilevel"/>
    <w:tmpl w:val="7FE672D8"/>
    <w:lvl w:ilvl="0" w:tentative="0">
      <w:start w:val="1"/>
      <w:numFmt w:val="bullet"/>
      <w:suff w:val="nothing"/>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num w:numId="1">
    <w:abstractNumId w:val="29"/>
  </w:num>
  <w:num w:numId="2">
    <w:abstractNumId w:val="8"/>
  </w:num>
  <w:num w:numId="3">
    <w:abstractNumId w:val="22"/>
  </w:num>
  <w:num w:numId="4">
    <w:abstractNumId w:val="4"/>
  </w:num>
  <w:num w:numId="5">
    <w:abstractNumId w:val="3"/>
  </w:num>
  <w:num w:numId="6">
    <w:abstractNumId w:val="19"/>
  </w:num>
  <w:num w:numId="7">
    <w:abstractNumId w:val="27"/>
  </w:num>
  <w:num w:numId="8">
    <w:abstractNumId w:val="14"/>
  </w:num>
  <w:num w:numId="9">
    <w:abstractNumId w:val="16"/>
  </w:num>
  <w:num w:numId="10">
    <w:abstractNumId w:val="35"/>
  </w:num>
  <w:num w:numId="11">
    <w:abstractNumId w:val="34"/>
  </w:num>
  <w:num w:numId="12">
    <w:abstractNumId w:val="26"/>
  </w:num>
  <w:num w:numId="13">
    <w:abstractNumId w:val="5"/>
  </w:num>
  <w:num w:numId="14">
    <w:abstractNumId w:val="30"/>
  </w:num>
  <w:num w:numId="15">
    <w:abstractNumId w:val="28"/>
  </w:num>
  <w:num w:numId="16">
    <w:abstractNumId w:val="23"/>
  </w:num>
  <w:num w:numId="17">
    <w:abstractNumId w:val="1"/>
  </w:num>
  <w:num w:numId="18">
    <w:abstractNumId w:val="18"/>
  </w:num>
  <w:num w:numId="19">
    <w:abstractNumId w:val="32"/>
  </w:num>
  <w:num w:numId="20">
    <w:abstractNumId w:val="36"/>
  </w:num>
  <w:num w:numId="21">
    <w:abstractNumId w:val="24"/>
  </w:num>
  <w:num w:numId="22">
    <w:abstractNumId w:val="9"/>
  </w:num>
  <w:num w:numId="23">
    <w:abstractNumId w:val="6"/>
  </w:num>
  <w:num w:numId="24">
    <w:abstractNumId w:val="31"/>
  </w:num>
  <w:num w:numId="25">
    <w:abstractNumId w:val="20"/>
  </w:num>
  <w:num w:numId="26">
    <w:abstractNumId w:val="10"/>
  </w:num>
  <w:num w:numId="27">
    <w:abstractNumId w:val="33"/>
  </w:num>
  <w:num w:numId="28">
    <w:abstractNumId w:val="17"/>
  </w:num>
  <w:num w:numId="29">
    <w:abstractNumId w:val="7"/>
  </w:num>
  <w:num w:numId="30">
    <w:abstractNumId w:val="13"/>
  </w:num>
  <w:num w:numId="31">
    <w:abstractNumId w:val="15"/>
  </w:num>
  <w:num w:numId="32">
    <w:abstractNumId w:val="11"/>
  </w:num>
  <w:num w:numId="33">
    <w:abstractNumId w:val="12"/>
  </w:num>
  <w:num w:numId="34">
    <w:abstractNumId w:val="21"/>
  </w:num>
  <w:num w:numId="35">
    <w:abstractNumId w:val="2"/>
  </w:num>
  <w:num w:numId="36">
    <w:abstractNumId w:val="2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A2912"/>
    <w:rsid w:val="000F66EB"/>
    <w:rsid w:val="000F74C2"/>
    <w:rsid w:val="00104D44"/>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423B"/>
    <w:rsid w:val="001C550B"/>
    <w:rsid w:val="001D0286"/>
    <w:rsid w:val="001D06F3"/>
    <w:rsid w:val="001E7647"/>
    <w:rsid w:val="001F3443"/>
    <w:rsid w:val="001F38C3"/>
    <w:rsid w:val="001F3FA4"/>
    <w:rsid w:val="002018BC"/>
    <w:rsid w:val="00204CDD"/>
    <w:rsid w:val="00204E26"/>
    <w:rsid w:val="00211957"/>
    <w:rsid w:val="00212346"/>
    <w:rsid w:val="00213918"/>
    <w:rsid w:val="00223550"/>
    <w:rsid w:val="00236C90"/>
    <w:rsid w:val="002560DB"/>
    <w:rsid w:val="00266350"/>
    <w:rsid w:val="00282C8D"/>
    <w:rsid w:val="00286B34"/>
    <w:rsid w:val="002A03FC"/>
    <w:rsid w:val="002C14E6"/>
    <w:rsid w:val="002E6ABB"/>
    <w:rsid w:val="002F4FBD"/>
    <w:rsid w:val="002F5659"/>
    <w:rsid w:val="00304259"/>
    <w:rsid w:val="00304742"/>
    <w:rsid w:val="00305942"/>
    <w:rsid w:val="00326B19"/>
    <w:rsid w:val="0032748F"/>
    <w:rsid w:val="0032772B"/>
    <w:rsid w:val="00330308"/>
    <w:rsid w:val="00332078"/>
    <w:rsid w:val="00340385"/>
    <w:rsid w:val="00343367"/>
    <w:rsid w:val="00372405"/>
    <w:rsid w:val="003741AF"/>
    <w:rsid w:val="00395112"/>
    <w:rsid w:val="003960D2"/>
    <w:rsid w:val="003C76D0"/>
    <w:rsid w:val="003D691C"/>
    <w:rsid w:val="003E4F57"/>
    <w:rsid w:val="003E6E7C"/>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0499"/>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1CBC"/>
    <w:rsid w:val="00535149"/>
    <w:rsid w:val="0054253B"/>
    <w:rsid w:val="00545D0E"/>
    <w:rsid w:val="005475E5"/>
    <w:rsid w:val="00562A90"/>
    <w:rsid w:val="00564FB3"/>
    <w:rsid w:val="00574762"/>
    <w:rsid w:val="005859B1"/>
    <w:rsid w:val="005A2B85"/>
    <w:rsid w:val="005B50AF"/>
    <w:rsid w:val="005C005C"/>
    <w:rsid w:val="005C023D"/>
    <w:rsid w:val="005C3E7E"/>
    <w:rsid w:val="005C500C"/>
    <w:rsid w:val="005D5C00"/>
    <w:rsid w:val="005E233C"/>
    <w:rsid w:val="005E4749"/>
    <w:rsid w:val="005F3031"/>
    <w:rsid w:val="00603628"/>
    <w:rsid w:val="00603F0D"/>
    <w:rsid w:val="006133C3"/>
    <w:rsid w:val="006157FE"/>
    <w:rsid w:val="00620929"/>
    <w:rsid w:val="006326E3"/>
    <w:rsid w:val="006401BA"/>
    <w:rsid w:val="00643C6C"/>
    <w:rsid w:val="006633E3"/>
    <w:rsid w:val="00671D4B"/>
    <w:rsid w:val="006765CF"/>
    <w:rsid w:val="0068111A"/>
    <w:rsid w:val="006814C2"/>
    <w:rsid w:val="00682622"/>
    <w:rsid w:val="006963AF"/>
    <w:rsid w:val="006A1E2D"/>
    <w:rsid w:val="006A3BB3"/>
    <w:rsid w:val="006A4371"/>
    <w:rsid w:val="006A5CC4"/>
    <w:rsid w:val="006B71ED"/>
    <w:rsid w:val="006C0BB9"/>
    <w:rsid w:val="006D40FC"/>
    <w:rsid w:val="006D5C9B"/>
    <w:rsid w:val="006D6938"/>
    <w:rsid w:val="006D7FA1"/>
    <w:rsid w:val="007029DA"/>
    <w:rsid w:val="00704F5B"/>
    <w:rsid w:val="00705503"/>
    <w:rsid w:val="00705D20"/>
    <w:rsid w:val="00714007"/>
    <w:rsid w:val="00733800"/>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7E50"/>
    <w:rsid w:val="008F49E1"/>
    <w:rsid w:val="008F7CF5"/>
    <w:rsid w:val="00903F55"/>
    <w:rsid w:val="00910331"/>
    <w:rsid w:val="00920579"/>
    <w:rsid w:val="009325E3"/>
    <w:rsid w:val="00936314"/>
    <w:rsid w:val="00943A43"/>
    <w:rsid w:val="00947D4B"/>
    <w:rsid w:val="00950462"/>
    <w:rsid w:val="00950B98"/>
    <w:rsid w:val="00953AE7"/>
    <w:rsid w:val="00954038"/>
    <w:rsid w:val="00954F62"/>
    <w:rsid w:val="00956392"/>
    <w:rsid w:val="00961F75"/>
    <w:rsid w:val="00994C4E"/>
    <w:rsid w:val="00996F07"/>
    <w:rsid w:val="00996F2E"/>
    <w:rsid w:val="009B252A"/>
    <w:rsid w:val="009B63A8"/>
    <w:rsid w:val="009C75AC"/>
    <w:rsid w:val="009D20F5"/>
    <w:rsid w:val="009D4CB5"/>
    <w:rsid w:val="009D591B"/>
    <w:rsid w:val="009D62F1"/>
    <w:rsid w:val="009E0F94"/>
    <w:rsid w:val="009E42A6"/>
    <w:rsid w:val="00A039CA"/>
    <w:rsid w:val="00A1326C"/>
    <w:rsid w:val="00A21F52"/>
    <w:rsid w:val="00A23778"/>
    <w:rsid w:val="00A23A51"/>
    <w:rsid w:val="00A26562"/>
    <w:rsid w:val="00A26AAD"/>
    <w:rsid w:val="00A30091"/>
    <w:rsid w:val="00A47F45"/>
    <w:rsid w:val="00A56B98"/>
    <w:rsid w:val="00A56F06"/>
    <w:rsid w:val="00A63A1C"/>
    <w:rsid w:val="00A65C4B"/>
    <w:rsid w:val="00A8655B"/>
    <w:rsid w:val="00A9110E"/>
    <w:rsid w:val="00A93C1E"/>
    <w:rsid w:val="00A9620E"/>
    <w:rsid w:val="00AA7926"/>
    <w:rsid w:val="00AD0A84"/>
    <w:rsid w:val="00AD28C8"/>
    <w:rsid w:val="00AE07C4"/>
    <w:rsid w:val="00AE7619"/>
    <w:rsid w:val="00B11C01"/>
    <w:rsid w:val="00B25413"/>
    <w:rsid w:val="00B3439E"/>
    <w:rsid w:val="00B35BF8"/>
    <w:rsid w:val="00B35E77"/>
    <w:rsid w:val="00B40C3B"/>
    <w:rsid w:val="00B46A1A"/>
    <w:rsid w:val="00B473E4"/>
    <w:rsid w:val="00B7188E"/>
    <w:rsid w:val="00B92D92"/>
    <w:rsid w:val="00BA30B9"/>
    <w:rsid w:val="00BB0A73"/>
    <w:rsid w:val="00BC1D8F"/>
    <w:rsid w:val="00BD137E"/>
    <w:rsid w:val="00BD5998"/>
    <w:rsid w:val="00BD6859"/>
    <w:rsid w:val="00BE02CA"/>
    <w:rsid w:val="00C02D4F"/>
    <w:rsid w:val="00C21B6F"/>
    <w:rsid w:val="00C24901"/>
    <w:rsid w:val="00C25A28"/>
    <w:rsid w:val="00C34E86"/>
    <w:rsid w:val="00C35BE0"/>
    <w:rsid w:val="00C360CE"/>
    <w:rsid w:val="00C3749D"/>
    <w:rsid w:val="00C81B8E"/>
    <w:rsid w:val="00CA185B"/>
    <w:rsid w:val="00CB3548"/>
    <w:rsid w:val="00CB6FFA"/>
    <w:rsid w:val="00CB7D96"/>
    <w:rsid w:val="00CD0354"/>
    <w:rsid w:val="00CD2472"/>
    <w:rsid w:val="00CD49B7"/>
    <w:rsid w:val="00CD5BBA"/>
    <w:rsid w:val="00CD6C03"/>
    <w:rsid w:val="00CE0061"/>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B1B2F"/>
    <w:rsid w:val="00DC4492"/>
    <w:rsid w:val="00DC67D9"/>
    <w:rsid w:val="00DD349E"/>
    <w:rsid w:val="00DE79D9"/>
    <w:rsid w:val="00DF12E6"/>
    <w:rsid w:val="00E06363"/>
    <w:rsid w:val="00E11332"/>
    <w:rsid w:val="00E276AA"/>
    <w:rsid w:val="00E312F0"/>
    <w:rsid w:val="00E31860"/>
    <w:rsid w:val="00E35E82"/>
    <w:rsid w:val="00E467F5"/>
    <w:rsid w:val="00E474FB"/>
    <w:rsid w:val="00E560B1"/>
    <w:rsid w:val="00E8151C"/>
    <w:rsid w:val="00E933A8"/>
    <w:rsid w:val="00EC63AD"/>
    <w:rsid w:val="00ED5BEE"/>
    <w:rsid w:val="00ED5E29"/>
    <w:rsid w:val="00EE01B2"/>
    <w:rsid w:val="00F1390E"/>
    <w:rsid w:val="00F16C4E"/>
    <w:rsid w:val="00F17F25"/>
    <w:rsid w:val="00F36482"/>
    <w:rsid w:val="00F5422B"/>
    <w:rsid w:val="00F56CDD"/>
    <w:rsid w:val="00F63A29"/>
    <w:rsid w:val="00F67C31"/>
    <w:rsid w:val="00F83FBB"/>
    <w:rsid w:val="00FA0FD6"/>
    <w:rsid w:val="00FA1E8E"/>
    <w:rsid w:val="00FC308C"/>
    <w:rsid w:val="00FD3F02"/>
    <w:rsid w:val="00FE22F7"/>
    <w:rsid w:val="00FF6134"/>
    <w:rsid w:val="062A76A4"/>
    <w:rsid w:val="08984B72"/>
    <w:rsid w:val="0BCF210C"/>
    <w:rsid w:val="0C3A6788"/>
    <w:rsid w:val="0C825E8A"/>
    <w:rsid w:val="0E140E9C"/>
    <w:rsid w:val="12777566"/>
    <w:rsid w:val="13EC4C00"/>
    <w:rsid w:val="1707031D"/>
    <w:rsid w:val="18983677"/>
    <w:rsid w:val="1AFB0E41"/>
    <w:rsid w:val="1B9A3E63"/>
    <w:rsid w:val="1D486867"/>
    <w:rsid w:val="201A3825"/>
    <w:rsid w:val="205A001D"/>
    <w:rsid w:val="20CA7E94"/>
    <w:rsid w:val="225715B2"/>
    <w:rsid w:val="22C120A2"/>
    <w:rsid w:val="23BA4A41"/>
    <w:rsid w:val="24C37BD9"/>
    <w:rsid w:val="24E1746D"/>
    <w:rsid w:val="268660D9"/>
    <w:rsid w:val="2CAC0E95"/>
    <w:rsid w:val="30772E24"/>
    <w:rsid w:val="318105E6"/>
    <w:rsid w:val="324142D2"/>
    <w:rsid w:val="367D3E36"/>
    <w:rsid w:val="3B4320D1"/>
    <w:rsid w:val="3CBE1E34"/>
    <w:rsid w:val="3CF2137C"/>
    <w:rsid w:val="46301177"/>
    <w:rsid w:val="490B6098"/>
    <w:rsid w:val="49F527BA"/>
    <w:rsid w:val="4B0574C4"/>
    <w:rsid w:val="52DF72F9"/>
    <w:rsid w:val="5395743B"/>
    <w:rsid w:val="53E02240"/>
    <w:rsid w:val="53E4628D"/>
    <w:rsid w:val="55BC644E"/>
    <w:rsid w:val="561F4E50"/>
    <w:rsid w:val="56C1744B"/>
    <w:rsid w:val="571B29F5"/>
    <w:rsid w:val="5C151F7B"/>
    <w:rsid w:val="5FCB6A04"/>
    <w:rsid w:val="603A4E4D"/>
    <w:rsid w:val="621C064D"/>
    <w:rsid w:val="62D63A8D"/>
    <w:rsid w:val="65486409"/>
    <w:rsid w:val="66781DBE"/>
    <w:rsid w:val="69424F6B"/>
    <w:rsid w:val="6B332DED"/>
    <w:rsid w:val="6D535020"/>
    <w:rsid w:val="6E1F52D8"/>
    <w:rsid w:val="70C00426"/>
    <w:rsid w:val="71213CB4"/>
    <w:rsid w:val="71804FAD"/>
    <w:rsid w:val="772B4D6A"/>
    <w:rsid w:val="77EA2BC8"/>
    <w:rsid w:val="78E45BDC"/>
    <w:rsid w:val="7C702680"/>
    <w:rsid w:val="7CAA7FFC"/>
    <w:rsid w:val="7E426DF6"/>
    <w:rsid w:val="7EFC70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annotation text"/>
    <w:basedOn w:val="1"/>
    <w:qFormat/>
    <w:uiPriority w:val="0"/>
    <w:pPr>
      <w:jc w:val="left"/>
    </w:pPr>
  </w:style>
  <w:style w:type="paragraph" w:styleId="4">
    <w:name w:val="Body Text"/>
    <w:basedOn w:val="1"/>
    <w:next w:val="1"/>
    <w:unhideWhenUsed/>
    <w:qFormat/>
    <w:uiPriority w:val="0"/>
    <w:rPr>
      <w:sz w:val="24"/>
    </w:rPr>
  </w:style>
  <w:style w:type="paragraph" w:styleId="5">
    <w:name w:val="Body Text Indent"/>
    <w:basedOn w:val="1"/>
    <w:qFormat/>
    <w:uiPriority w:val="0"/>
    <w:pPr>
      <w:spacing w:after="120"/>
      <w:ind w:left="420" w:leftChars="200"/>
    </w:pPr>
    <w:rPr>
      <w:rFonts w:ascii="Calibri" w:hAnsi="Calibri"/>
      <w:szCs w:val="22"/>
    </w:rPr>
  </w:style>
  <w:style w:type="paragraph" w:styleId="6">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7">
    <w:name w:val="Balloon Text"/>
    <w:basedOn w:val="1"/>
    <w:link w:val="22"/>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Body Text First Indent 2"/>
    <w:basedOn w:val="5"/>
    <w:qFormat/>
    <w:uiPriority w:val="0"/>
    <w:pPr>
      <w:spacing w:line="360" w:lineRule="auto"/>
      <w:ind w:firstLine="420"/>
    </w:pPr>
    <w:rPr>
      <w:rFonts w:eastAsia="等线"/>
      <w:color w:val="000000"/>
      <w:szCs w:val="24"/>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next w:val="1"/>
    <w:qFormat/>
    <w:uiPriority w:val="0"/>
    <w:pPr>
      <w:snapToGrid w:val="0"/>
    </w:pPr>
  </w:style>
  <w:style w:type="paragraph" w:styleId="12">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13">
    <w:name w:val="Title"/>
    <w:basedOn w:val="1"/>
    <w:next w:val="1"/>
    <w:link w:val="28"/>
    <w:qFormat/>
    <w:uiPriority w:val="10"/>
    <w:pPr>
      <w:spacing w:before="240" w:after="60"/>
      <w:jc w:val="center"/>
      <w:outlineLvl w:val="0"/>
    </w:pPr>
    <w:rPr>
      <w:rFonts w:eastAsia="宋体" w:asciiTheme="majorHAnsi" w:hAnsiTheme="majorHAnsi" w:cstheme="majorBidi"/>
      <w:b/>
      <w:bCs/>
      <w:sz w:val="32"/>
      <w:szCs w:val="32"/>
    </w:rPr>
  </w:style>
  <w:style w:type="character" w:styleId="15">
    <w:name w:val="Hyperlink"/>
    <w:basedOn w:val="14"/>
    <w:unhideWhenUsed/>
    <w:qFormat/>
    <w:uiPriority w:val="99"/>
    <w:rPr>
      <w:color w:val="0000FF"/>
      <w:u w:val="single"/>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列出段落1"/>
    <w:basedOn w:val="1"/>
    <w:unhideWhenUsed/>
    <w:qFormat/>
    <w:uiPriority w:val="34"/>
    <w:pPr>
      <w:ind w:firstLine="420" w:firstLineChars="200"/>
    </w:pPr>
  </w:style>
  <w:style w:type="paragraph" w:customStyle="1" w:styleId="19">
    <w:name w:val="_Style 3"/>
    <w:basedOn w:val="1"/>
    <w:unhideWhenUsed/>
    <w:qFormat/>
    <w:uiPriority w:val="99"/>
    <w:pPr>
      <w:ind w:firstLine="420" w:firstLineChars="200"/>
    </w:pPr>
    <w:rPr>
      <w:rFonts w:ascii="Times New Roman" w:hAnsi="Times New Roman"/>
    </w:rPr>
  </w:style>
  <w:style w:type="paragraph" w:customStyle="1" w:styleId="20">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1">
    <w:name w:val="List Paragraph"/>
    <w:basedOn w:val="1"/>
    <w:unhideWhenUsed/>
    <w:qFormat/>
    <w:uiPriority w:val="34"/>
    <w:pPr>
      <w:ind w:firstLine="420" w:firstLineChars="200"/>
    </w:pPr>
  </w:style>
  <w:style w:type="character" w:customStyle="1" w:styleId="22">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3">
    <w:name w:val="页眉 Char"/>
    <w:basedOn w:val="14"/>
    <w:link w:val="10"/>
    <w:qFormat/>
    <w:uiPriority w:val="0"/>
    <w:rPr>
      <w:rFonts w:asciiTheme="minorHAnsi" w:hAnsiTheme="minorHAnsi" w:eastAsiaTheme="minorEastAsia" w:cstheme="minorBidi"/>
      <w:kern w:val="2"/>
      <w:sz w:val="18"/>
      <w:szCs w:val="18"/>
    </w:rPr>
  </w:style>
  <w:style w:type="character" w:customStyle="1" w:styleId="24">
    <w:name w:val="xdrichtextbox2"/>
    <w:basedOn w:val="14"/>
    <w:qFormat/>
    <w:uiPriority w:val="0"/>
    <w:rPr>
      <w:color w:val="0000FF"/>
      <w:sz w:val="18"/>
      <w:szCs w:val="18"/>
      <w:u w:val="none"/>
      <w:bdr w:val="single" w:color="DCDCDC" w:sz="8" w:space="0"/>
      <w:shd w:val="clear" w:color="auto" w:fill="FFFFFF"/>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1_0"/>
    <w:basedOn w:val="1"/>
    <w:next w:val="27"/>
    <w:qFormat/>
    <w:uiPriority w:val="0"/>
    <w:rPr>
      <w:rFonts w:ascii="宋体" w:hAnsi="Courier New" w:eastAsia="宋体" w:cs="Times New Roman"/>
      <w:szCs w:val="22"/>
    </w:rPr>
  </w:style>
  <w:style w:type="paragraph" w:customStyle="1" w:styleId="27">
    <w:name w:val="纯文本1"/>
    <w:basedOn w:val="1"/>
    <w:qFormat/>
    <w:uiPriority w:val="0"/>
    <w:pPr>
      <w:widowControl/>
      <w:jc w:val="left"/>
    </w:pPr>
    <w:rPr>
      <w:rFonts w:ascii="宋体" w:hAnsi="Courier New" w:eastAsia="微软雅黑" w:cs="Times New Roman"/>
      <w:kern w:val="0"/>
      <w:sz w:val="20"/>
      <w:szCs w:val="21"/>
    </w:rPr>
  </w:style>
  <w:style w:type="character" w:customStyle="1" w:styleId="28">
    <w:name w:val="标题 Char"/>
    <w:basedOn w:val="14"/>
    <w:link w:val="13"/>
    <w:qFormat/>
    <w:uiPriority w:val="10"/>
    <w:rPr>
      <w:rFonts w:eastAsia="宋体" w:asciiTheme="majorHAnsi" w:hAnsiTheme="majorHAnsi" w:cstheme="majorBidi"/>
      <w:b/>
      <w:bCs/>
      <w:kern w:val="2"/>
      <w:sz w:val="32"/>
      <w:szCs w:val="32"/>
    </w:rPr>
  </w:style>
  <w:style w:type="paragraph" w:customStyle="1" w:styleId="29">
    <w:name w:val="！表格内容"/>
    <w:basedOn w:val="1"/>
    <w:qFormat/>
    <w:uiPriority w:val="0"/>
    <w:pPr>
      <w:spacing w:line="320" w:lineRule="atLeast"/>
    </w:pPr>
    <w:rPr>
      <w:rFonts w:ascii="Times New Roman" w:hAnsi="Times New Roman" w:eastAsia="宋体" w:cs="Times New Roman"/>
    </w:rPr>
  </w:style>
  <w:style w:type="character" w:customStyle="1" w:styleId="30">
    <w:name w:val="font11"/>
    <w:basedOn w:val="14"/>
    <w:qFormat/>
    <w:uiPriority w:val="0"/>
    <w:rPr>
      <w:rFonts w:hint="eastAsia" w:ascii="宋体" w:hAnsi="宋体" w:eastAsia="宋体" w:cs="宋体"/>
      <w:color w:val="000000"/>
      <w:sz w:val="18"/>
      <w:szCs w:val="18"/>
      <w:u w:val="none"/>
    </w:rPr>
  </w:style>
  <w:style w:type="paragraph" w:customStyle="1" w:styleId="31">
    <w:name w:val="Default"/>
    <w:next w:val="1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198AB-94E7-4756-99AC-00D191AF61CC}">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24</Pages>
  <Words>5597</Words>
  <Characters>5889</Characters>
  <Lines>61</Lines>
  <Paragraphs>17</Paragraphs>
  <TotalTime>34</TotalTime>
  <ScaleCrop>false</ScaleCrop>
  <LinksUpToDate>false</LinksUpToDate>
  <CharactersWithSpaces>6081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2025-11-17T01:46:19Z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eyJoZGlkIjoiMmRjMjk0NDdjZmZiYjUyNjhmNGRlNjY2NzY2M2VjMTgifQ==</vt:lpwstr>
  </property>
  <property fmtid="{D5CDD505-2E9C-101B-9397-08002B2CF9AE}" pid="4" name="ICV">
    <vt:lpwstr>C4033A7A0B7C486B9917EB779F55D7C9_12</vt:lpwstr>
  </property>
</Properties>
</file>