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8"/>
          <w:szCs w:val="28"/>
        </w:rPr>
      </w:pPr>
      <w:bookmarkStart w:id="0" w:name="_Hlk102747051"/>
      <w:bookmarkEnd w:id="0"/>
      <w:r>
        <w:rPr>
          <w:rFonts w:hint="eastAsia"/>
          <w:b/>
          <w:sz w:val="28"/>
          <w:szCs w:val="28"/>
        </w:rPr>
        <w:t>广州城投综合能源投资经营管理有限公司</w:t>
      </w:r>
    </w:p>
    <w:p>
      <w:pPr>
        <w:spacing w:line="360" w:lineRule="auto"/>
        <w:jc w:val="center"/>
        <w:rPr>
          <w:rFonts w:hint="eastAsia" w:ascii="仿宋" w:hAnsi="仿宋" w:eastAsia="宋体"/>
          <w:b/>
          <w:sz w:val="36"/>
          <w:szCs w:val="36"/>
          <w:lang w:eastAsia="zh-CN"/>
        </w:rPr>
      </w:pPr>
      <w:r>
        <w:rPr>
          <w:rFonts w:hint="eastAsia"/>
          <w:b/>
          <w:sz w:val="28"/>
          <w:szCs w:val="28"/>
          <w:lang w:eastAsia="zh-CN"/>
        </w:rPr>
        <w:t>2025年3#站水泵更新改造工程</w:t>
      </w:r>
    </w:p>
    <w:p>
      <w:pPr>
        <w:tabs>
          <w:tab w:val="left" w:pos="720"/>
        </w:tabs>
        <w:spacing w:before="120" w:beforeLines="50" w:after="120" w:afterLines="50" w:line="360" w:lineRule="auto"/>
        <w:jc w:val="center"/>
        <w:rPr>
          <w:b/>
          <w:sz w:val="28"/>
          <w:szCs w:val="28"/>
        </w:rPr>
      </w:pP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numPr>
          <w:ilvl w:val="0"/>
          <w:numId w:val="2"/>
        </w:numPr>
        <w:spacing w:before="120" w:beforeLines="50" w:after="120" w:afterLines="50" w:line="360" w:lineRule="auto"/>
        <w:ind w:left="0" w:firstLine="480" w:firstLineChars="200"/>
        <w:rPr>
          <w:sz w:val="24"/>
        </w:rPr>
      </w:pPr>
      <w:r>
        <w:rPr>
          <w:rFonts w:hint="eastAsia"/>
          <w:sz w:val="24"/>
        </w:rPr>
        <w:t>项目名称：</w:t>
      </w:r>
      <w:r>
        <w:rPr>
          <w:rFonts w:hint="eastAsia" w:ascii="宋体"/>
          <w:sz w:val="24"/>
          <w:lang w:eastAsia="zh-CN"/>
        </w:rPr>
        <w:t>2025年3#站水泵更新改造工程</w:t>
      </w:r>
    </w:p>
    <w:p>
      <w:pPr>
        <w:numPr>
          <w:ilvl w:val="0"/>
          <w:numId w:val="2"/>
        </w:numPr>
        <w:spacing w:before="120" w:beforeLines="50" w:after="120" w:afterLines="50" w:line="360" w:lineRule="auto"/>
        <w:ind w:left="0" w:firstLine="480" w:firstLineChars="200"/>
        <w:rPr>
          <w:sz w:val="24"/>
        </w:rPr>
      </w:pPr>
      <w:r>
        <w:rPr>
          <w:rFonts w:hint="eastAsia"/>
          <w:sz w:val="24"/>
        </w:rPr>
        <w:t>项目地点：广州番禺区大学城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采购限价：人民币98.35万元（投标报价超过采购限价为无效投标）。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spacing w:line="440" w:lineRule="exact"/>
        <w:ind w:firstLine="480" w:firstLineChars="200"/>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1、3#站增加新用户广工科技楼，新增1个电动开关蝶阀实现组团1、2水泵台数的自由切换，解决组团2紧急情况下的无备用水泵的问题。</w:t>
      </w:r>
    </w:p>
    <w:p>
      <w:pPr>
        <w:spacing w:line="440" w:lineRule="exact"/>
        <w:ind w:firstLine="480" w:firstLineChars="200"/>
        <w:jc w:val="left"/>
        <w:rPr>
          <w:rFonts w:asciiTheme="minorEastAsia" w:hAnsiTheme="minorEastAsia" w:eastAsiaTheme="minorEastAsia" w:cstheme="minorEastAsia"/>
          <w:sz w:val="24"/>
          <w:highlight w:val="yellow"/>
        </w:rPr>
      </w:pPr>
      <w:r>
        <w:rPr>
          <w:rFonts w:hint="eastAsia" w:asciiTheme="minorEastAsia" w:hAnsiTheme="minorEastAsia" w:eastAsiaTheme="minorEastAsia" w:cstheme="minorEastAsia"/>
          <w:sz w:val="24"/>
          <w:highlight w:val="none"/>
        </w:rPr>
        <w:t>2、3#冷站乙二醇水泵扬程远高于管网阻力。更换6台乙二醇泵及阻力止回阀，解决乙二醇泵叶轮汽蚀问题</w:t>
      </w:r>
      <w:r>
        <w:rPr>
          <w:rFonts w:hint="eastAsia" w:asciiTheme="minorEastAsia" w:hAnsiTheme="minorEastAsia" w:eastAsiaTheme="minorEastAsia" w:cstheme="minorEastAsia"/>
          <w:sz w:val="24"/>
          <w:highlight w:val="none"/>
          <w:lang w:eastAsia="zh-CN"/>
        </w:rPr>
        <w:t>及</w:t>
      </w:r>
      <w:r>
        <w:rPr>
          <w:rFonts w:hint="eastAsia" w:asciiTheme="minorEastAsia" w:hAnsiTheme="minorEastAsia" w:eastAsiaTheme="minorEastAsia" w:cstheme="minorEastAsia"/>
          <w:sz w:val="24"/>
          <w:highlight w:val="none"/>
        </w:rPr>
        <w:t>乙二醇泵的不节能运行问题。</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(一)必须是具有独立承担民事责任能力的在中华人民共和国境内注册的法人或其他组织，提供营业执照或法人证书的盖章扫描件证明；</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(二)投标人未被列入“信用中国”网站(www.creditchina.gov.cn)记录失信被执行人名单,须提供“信用中国”网站(www.creditchina.gov.cn)的信用记录查询结果截图或信用信息报告并打印页面加盖公章；</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（三）投标人没有处于被责令停业或破产状态，且资产未被重组、接管和冻结，声明在投标活动中3年内没有重大违法活动和涉嫌违规行为（附投标声明函）；</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(四)具有机电工程施工总承包叁级及以上资质；或具有建筑机电安装工程专业承包叁级及以上资质；</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（五）投标人近3年内(2022年1月1日至今)完成过质量合格的类似项目业绩（需提供合同等相关证明材料复印件）；</w:t>
      </w:r>
    </w:p>
    <w:p>
      <w:pPr>
        <w:pStyle w:val="40"/>
        <w:numPr>
          <w:ilvl w:val="255"/>
          <w:numId w:val="0"/>
        </w:numPr>
        <w:spacing w:before="120" w:beforeLines="50" w:after="120" w:afterLines="50" w:line="360" w:lineRule="auto"/>
        <w:ind w:firstLine="480"/>
        <w:rPr>
          <w:rFonts w:ascii="宋体" w:hAnsi="宋体"/>
          <w:sz w:val="24"/>
        </w:rPr>
      </w:pPr>
      <w:r>
        <w:rPr>
          <w:rFonts w:hint="eastAsia" w:ascii="宋体" w:hAnsi="宋体"/>
          <w:sz w:val="24"/>
        </w:rPr>
        <w:t>（六）不接受联合体报价。</w:t>
      </w:r>
    </w:p>
    <w:p>
      <w:pPr>
        <w:numPr>
          <w:ilvl w:val="0"/>
          <w:numId w:val="1"/>
        </w:numPr>
        <w:spacing w:before="120" w:beforeLines="50" w:after="120" w:afterLines="50" w:line="360" w:lineRule="auto"/>
        <w:ind w:left="0" w:firstLine="482" w:firstLineChars="200"/>
        <w:rPr>
          <w:b/>
          <w:bCs/>
          <w:sz w:val="24"/>
        </w:rPr>
      </w:pPr>
      <w:r>
        <w:rPr>
          <w:rFonts w:hint="eastAsia"/>
          <w:b/>
          <w:bCs/>
          <w:sz w:val="24"/>
        </w:rPr>
        <w:t>项目</w:t>
      </w:r>
      <w:r>
        <w:rPr>
          <w:rFonts w:hint="eastAsia"/>
          <w:b/>
          <w:bCs/>
          <w:sz w:val="24"/>
          <w:lang w:val="en-US" w:eastAsia="zh-CN"/>
        </w:rPr>
        <w:t>内容</w:t>
      </w:r>
    </w:p>
    <w:p>
      <w:pPr>
        <w:spacing w:line="360" w:lineRule="auto"/>
        <w:ind w:firstLine="420" w:firstLineChars="200"/>
        <w:rPr>
          <w:rFonts w:hint="eastAsia" w:asciiTheme="minorEastAsia" w:hAnsiTheme="minorEastAsia" w:eastAsiaTheme="minorEastAsia"/>
          <w:szCs w:val="28"/>
        </w:rPr>
      </w:pPr>
      <w:r>
        <w:rPr>
          <w:rFonts w:hint="eastAsia" w:asciiTheme="minorEastAsia" w:hAnsiTheme="minorEastAsia" w:eastAsiaTheme="minorEastAsia"/>
          <w:szCs w:val="28"/>
          <w:lang w:val="en-US" w:eastAsia="zh-CN"/>
        </w:rPr>
        <w:t>（一）</w:t>
      </w:r>
      <w:r>
        <w:rPr>
          <w:rFonts w:hint="eastAsia" w:asciiTheme="minorEastAsia" w:hAnsiTheme="minorEastAsia" w:eastAsiaTheme="minorEastAsia"/>
          <w:szCs w:val="28"/>
        </w:rPr>
        <w:t>在原供水主管增加一个电动开关蝶阀。电气自控方面，在电动阀旁边柱子上设置尺寸为300*400*200mm的就地控制箱，就地控制箱电源由附近的电控箱进行供电（电动阀电压380V），就地控制箱包含阀门二次控制回路，可实现对阀门的手自动/启停控制，并且预留接口给现有PLC自控系统，以作后续PLC自动控制接入。</w:t>
      </w:r>
    </w:p>
    <w:p>
      <w:pPr>
        <w:jc w:val="center"/>
        <w:rPr>
          <w:rFonts w:hint="eastAsia" w:asciiTheme="minorEastAsia" w:hAnsiTheme="minorEastAsia" w:eastAsiaTheme="minorEastAsia"/>
          <w:szCs w:val="28"/>
        </w:rPr>
      </w:pPr>
      <w:r>
        <w:drawing>
          <wp:inline distT="0" distB="0" distL="114300" distR="114300">
            <wp:extent cx="4919345" cy="3709035"/>
            <wp:effectExtent l="0" t="0" r="1460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4919345" cy="3709035"/>
                    </a:xfrm>
                    <a:prstGeom prst="rect">
                      <a:avLst/>
                    </a:prstGeom>
                    <a:noFill/>
                    <a:ln>
                      <a:noFill/>
                    </a:ln>
                  </pic:spPr>
                </pic:pic>
              </a:graphicData>
            </a:graphic>
          </wp:inline>
        </w:drawing>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6" w:hRule="atLeast"/>
        </w:trPr>
        <w:tc>
          <w:tcPr>
            <w:tcW w:w="4615" w:type="dxa"/>
          </w:tcPr>
          <w:p>
            <w:pPr>
              <w:jc w:val="center"/>
              <w:rPr>
                <w:rFonts w:hint="eastAsia" w:asciiTheme="minorEastAsia" w:hAnsiTheme="minorEastAsia" w:eastAsiaTheme="minorEastAsia"/>
                <w:szCs w:val="28"/>
                <w:vertAlign w:val="baseline"/>
              </w:rPr>
            </w:pPr>
            <w:r>
              <w:drawing>
                <wp:inline distT="0" distB="0" distL="0" distR="0">
                  <wp:extent cx="2517140" cy="2214880"/>
                  <wp:effectExtent l="0" t="0" r="1651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17012" r="6092"/>
                          <a:stretch>
                            <a:fillRect/>
                          </a:stretch>
                        </pic:blipFill>
                        <pic:spPr>
                          <a:xfrm>
                            <a:off x="0" y="0"/>
                            <a:ext cx="2517140" cy="2214880"/>
                          </a:xfrm>
                          <a:prstGeom prst="rect">
                            <a:avLst/>
                          </a:prstGeom>
                          <a:ln>
                            <a:noFill/>
                          </a:ln>
                        </pic:spPr>
                      </pic:pic>
                    </a:graphicData>
                  </a:graphic>
                </wp:inline>
              </w:drawing>
            </w:r>
          </w:p>
        </w:tc>
        <w:tc>
          <w:tcPr>
            <w:tcW w:w="3907" w:type="dxa"/>
          </w:tcPr>
          <w:p>
            <w:pPr>
              <w:jc w:val="center"/>
              <w:rPr>
                <w:rFonts w:hint="eastAsia" w:asciiTheme="minorEastAsia" w:hAnsiTheme="minorEastAsia" w:eastAsiaTheme="minorEastAsia"/>
                <w:szCs w:val="28"/>
                <w:vertAlign w:val="baseline"/>
              </w:rPr>
            </w:pPr>
            <w:r>
              <w:drawing>
                <wp:inline distT="0" distB="0" distL="114300" distR="114300">
                  <wp:extent cx="2094230" cy="2161540"/>
                  <wp:effectExtent l="0" t="0" r="127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094230" cy="2161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4615" w:type="dxa"/>
          </w:tcPr>
          <w:p>
            <w:pPr>
              <w:jc w:val="center"/>
              <w:rPr>
                <w:rFonts w:hint="eastAsia" w:asciiTheme="minorEastAsia" w:hAnsiTheme="minorEastAsia" w:eastAsiaTheme="minorEastAsia"/>
                <w:szCs w:val="28"/>
                <w:vertAlign w:val="baseline"/>
              </w:rPr>
            </w:pPr>
            <w:r>
              <w:rPr>
                <w:rFonts w:hint="eastAsia" w:asciiTheme="minorEastAsia" w:hAnsiTheme="minorEastAsia" w:eastAsiaTheme="minorEastAsia"/>
                <w:sz w:val="24"/>
                <w:szCs w:val="24"/>
              </w:rPr>
              <w:t>电动开关蝶阀位置</w:t>
            </w:r>
          </w:p>
        </w:tc>
        <w:tc>
          <w:tcPr>
            <w:tcW w:w="3907" w:type="dxa"/>
          </w:tcPr>
          <w:p>
            <w:pPr>
              <w:jc w:val="center"/>
              <w:rPr>
                <w:rFonts w:hint="eastAsia" w:asciiTheme="minorEastAsia" w:hAnsiTheme="minorEastAsia" w:eastAsiaTheme="minorEastAsia"/>
                <w:szCs w:val="28"/>
                <w:vertAlign w:val="baseline"/>
              </w:rPr>
            </w:pPr>
            <w:r>
              <w:rPr>
                <w:rFonts w:hint="eastAsia" w:asciiTheme="minorEastAsia" w:hAnsiTheme="minorEastAsia" w:eastAsiaTheme="minorEastAsia"/>
                <w:sz w:val="24"/>
                <w:szCs w:val="24"/>
              </w:rPr>
              <w:t>电动开关蝶阀</w:t>
            </w:r>
            <w:r>
              <w:rPr>
                <w:rFonts w:hint="eastAsia" w:asciiTheme="minorEastAsia" w:hAnsiTheme="minorEastAsia" w:eastAsiaTheme="minorEastAsia"/>
                <w:sz w:val="24"/>
                <w:szCs w:val="24"/>
                <w:lang w:val="en-US" w:eastAsia="zh-CN"/>
              </w:rPr>
              <w:t>和</w:t>
            </w:r>
            <w:r>
              <w:rPr>
                <w:rFonts w:hint="eastAsia" w:asciiTheme="minorEastAsia" w:hAnsiTheme="minorEastAsia" w:eastAsiaTheme="minorEastAsia"/>
                <w:sz w:val="24"/>
                <w:szCs w:val="24"/>
              </w:rPr>
              <w:t>就地控制箱位置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22" w:type="dxa"/>
            <w:gridSpan w:val="2"/>
          </w:tcPr>
          <w:p>
            <w:pPr>
              <w:jc w:val="center"/>
              <w:rPr>
                <w:rFonts w:hint="eastAsia" w:asciiTheme="minorEastAsia" w:hAnsiTheme="minorEastAsia" w:eastAsiaTheme="minorEastAsia"/>
                <w:sz w:val="24"/>
                <w:szCs w:val="24"/>
              </w:rPr>
            </w:pPr>
            <w:r>
              <w:rPr>
                <w:rFonts w:asciiTheme="minorEastAsia" w:hAnsiTheme="minorEastAsia" w:eastAsiaTheme="minorEastAsia"/>
                <w:szCs w:val="28"/>
              </w:rPr>
              <w:drawing>
                <wp:inline distT="0" distB="0" distL="0" distR="0">
                  <wp:extent cx="5272405" cy="2221865"/>
                  <wp:effectExtent l="0" t="0" r="4445" b="6985"/>
                  <wp:docPr id="2" name="图片 2" descr="d:\Users\songyp\Documents\xwechat_files\wxid_voxsrepsj9pg22_c7fc\temp\RWTemp\2025-10\1fc2b9bba6eaabed567c0e2096fa1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Users\songyp\Documents\xwechat_files\wxid_voxsrepsj9pg22_c7fc\temp\RWTemp\2025-10\1fc2b9bba6eaabed567c0e2096fa1ce2.jpg"/>
                          <pic:cNvPicPr>
                            <a:picLocks noChangeAspect="1" noChangeArrowheads="1"/>
                          </pic:cNvPicPr>
                        </pic:nvPicPr>
                        <pic:blipFill>
                          <a:blip r:embed="rId7" cstate="print">
                            <a:extLst>
                              <a:ext uri="{28A0092B-C50C-407E-A947-70E740481C1C}">
                                <a14:useLocalDpi xmlns:a14="http://schemas.microsoft.com/office/drawing/2010/main" val="0"/>
                              </a:ext>
                            </a:extLst>
                          </a:blip>
                          <a:srcRect t="15760" b="9384"/>
                          <a:stretch>
                            <a:fillRect/>
                          </a:stretch>
                        </pic:blipFill>
                        <pic:spPr>
                          <a:xfrm>
                            <a:off x="0" y="0"/>
                            <a:ext cx="5274310" cy="2222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22" w:type="dxa"/>
            <w:gridSpan w:val="2"/>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电动开关阀在系统图中的位置</w:t>
            </w:r>
          </w:p>
        </w:tc>
      </w:tr>
    </w:tbl>
    <w:p>
      <w:pPr>
        <w:jc w:val="center"/>
        <w:rPr>
          <w:rFonts w:hint="eastAsia" w:asciiTheme="minorEastAsia" w:hAnsiTheme="minorEastAsia" w:eastAsiaTheme="minorEastAsia"/>
          <w:sz w:val="24"/>
          <w:szCs w:val="24"/>
        </w:rPr>
      </w:pPr>
    </w:p>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电动开关阀</w:t>
      </w:r>
      <w:r>
        <w:rPr>
          <w:rFonts w:hint="eastAsia" w:asciiTheme="minorEastAsia" w:hAnsiTheme="minorEastAsia" w:eastAsiaTheme="minorEastAsia"/>
          <w:sz w:val="24"/>
          <w:szCs w:val="24"/>
          <w:lang w:val="en-US" w:eastAsia="zh-CN"/>
        </w:rPr>
        <w:t>主要内容</w:t>
      </w:r>
    </w:p>
    <w:tbl>
      <w:tblPr>
        <w:tblStyle w:val="28"/>
        <w:tblW w:w="8522" w:type="dxa"/>
        <w:tblInd w:w="0" w:type="dxa"/>
        <w:tblLayout w:type="fixed"/>
        <w:tblCellMar>
          <w:top w:w="0" w:type="dxa"/>
          <w:left w:w="108" w:type="dxa"/>
          <w:bottom w:w="0" w:type="dxa"/>
          <w:right w:w="108" w:type="dxa"/>
        </w:tblCellMar>
      </w:tblPr>
      <w:tblGrid>
        <w:gridCol w:w="662"/>
        <w:gridCol w:w="1169"/>
        <w:gridCol w:w="5367"/>
        <w:gridCol w:w="662"/>
        <w:gridCol w:w="662"/>
      </w:tblGrid>
      <w:tr>
        <w:tblPrEx>
          <w:tblLayout w:type="fixed"/>
          <w:tblCellMar>
            <w:top w:w="0" w:type="dxa"/>
            <w:left w:w="108" w:type="dxa"/>
            <w:bottom w:w="0" w:type="dxa"/>
            <w:right w:w="108" w:type="dxa"/>
          </w:tblCellMar>
        </w:tblPrEx>
        <w:trPr>
          <w:trHeight w:val="28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heme="minorEastAsia" w:hAnsiTheme="minorEastAsia" w:eastAsiaTheme="minorEastAsia"/>
                <w:color w:val="000000"/>
                <w:kern w:val="0"/>
                <w:sz w:val="24"/>
                <w:szCs w:val="24"/>
              </w:rPr>
            </w:pPr>
            <w:r>
              <w:rPr>
                <w:rFonts w:hint="eastAsia" w:asciiTheme="minorEastAsia" w:hAnsiTheme="minorEastAsia" w:eastAsiaTheme="minorEastAsia"/>
                <w:color w:val="000000"/>
                <w:sz w:val="24"/>
                <w:szCs w:val="24"/>
              </w:rPr>
              <w:t>序号</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项目名称</w:t>
            </w:r>
          </w:p>
        </w:tc>
        <w:tc>
          <w:tcPr>
            <w:tcW w:w="53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项目内容</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单位</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数量</w:t>
            </w:r>
          </w:p>
        </w:tc>
      </w:tr>
      <w:tr>
        <w:tblPrEx>
          <w:tblLayout w:type="fixed"/>
          <w:tblCellMar>
            <w:top w:w="0" w:type="dxa"/>
            <w:left w:w="108" w:type="dxa"/>
            <w:bottom w:w="0" w:type="dxa"/>
            <w:right w:w="108" w:type="dxa"/>
          </w:tblCellMar>
        </w:tblPrEx>
        <w:trPr>
          <w:trHeight w:val="28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就地控制箱</w:t>
            </w:r>
          </w:p>
        </w:tc>
        <w:tc>
          <w:tcPr>
            <w:tcW w:w="53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双层门不锈钢电箱，初步尺寸300*400*200mm（长*高*厚），具体根据实际情况调整，含安装，电箱内安装16A3P开关1个，6A3P开关2个，6A2P开关2个，含二次控制回路（继电器、旋钮、端子）</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w:t>
            </w:r>
          </w:p>
        </w:tc>
      </w:tr>
      <w:tr>
        <w:tblPrEx>
          <w:tblLayout w:type="fixed"/>
          <w:tblCellMar>
            <w:top w:w="0" w:type="dxa"/>
            <w:left w:w="108" w:type="dxa"/>
            <w:bottom w:w="0" w:type="dxa"/>
            <w:right w:w="108" w:type="dxa"/>
          </w:tblCellMar>
        </w:tblPrEx>
        <w:trPr>
          <w:trHeight w:val="660"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电动开关蝶阀</w:t>
            </w:r>
          </w:p>
        </w:tc>
        <w:tc>
          <w:tcPr>
            <w:tcW w:w="53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DN</w:t>
            </w:r>
            <w:r>
              <w:rPr>
                <w:rFonts w:asciiTheme="minorEastAsia" w:hAnsiTheme="minorEastAsia" w:eastAsiaTheme="minorEastAsia"/>
                <w:color w:val="000000"/>
                <w:sz w:val="24"/>
                <w:szCs w:val="24"/>
              </w:rPr>
              <w:t>10</w:t>
            </w:r>
            <w:r>
              <w:rPr>
                <w:rFonts w:hint="eastAsia" w:asciiTheme="minorEastAsia" w:hAnsiTheme="minorEastAsia" w:eastAsiaTheme="minorEastAsia"/>
                <w:color w:val="000000"/>
                <w:sz w:val="24"/>
                <w:szCs w:val="24"/>
              </w:rPr>
              <w:t>00,</w:t>
            </w:r>
            <w:r>
              <w:rPr>
                <w:rStyle w:val="55"/>
                <w:rFonts w:hint="default" w:asciiTheme="minorEastAsia" w:hAnsiTheme="minorEastAsia" w:eastAsiaTheme="minorEastAsia"/>
                <w:sz w:val="24"/>
                <w:szCs w:val="24"/>
              </w:rPr>
              <w:t>电动开关蝶阀，</w:t>
            </w:r>
            <w:r>
              <w:rPr>
                <w:rStyle w:val="56"/>
                <w:rFonts w:hint="default" w:asciiTheme="minorEastAsia" w:hAnsiTheme="minorEastAsia" w:eastAsiaTheme="minorEastAsia"/>
              </w:rPr>
              <w:t>含安装、管道法兰、支架、彩壳、保温、油漆等。电动阀电压380V，</w:t>
            </w:r>
            <w:r>
              <w:rPr>
                <w:rStyle w:val="57"/>
                <w:rFonts w:hint="default" w:asciiTheme="minorEastAsia" w:hAnsiTheme="minorEastAsia" w:eastAsiaTheme="minorEastAsia"/>
              </w:rPr>
              <w:t>电源线采用ZR-YJV5*2.5mm、从附近就地控制箱接驳（含套管）,控制线采用RVSP8*1.0mm，从就地控制箱接驳（含套管）</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w:t>
            </w:r>
          </w:p>
        </w:tc>
      </w:tr>
    </w:tbl>
    <w:p>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szCs w:val="28"/>
          <w:lang w:val="en-US" w:eastAsia="zh-CN"/>
        </w:rPr>
        <w:t>（二）</w:t>
      </w:r>
      <w:r>
        <w:rPr>
          <w:rFonts w:hint="eastAsia" w:asciiTheme="minorEastAsia" w:hAnsiTheme="minorEastAsia" w:eastAsiaTheme="minorEastAsia"/>
          <w:szCs w:val="28"/>
        </w:rPr>
        <w:t>3</w:t>
      </w:r>
      <w:r>
        <w:rPr>
          <w:rFonts w:asciiTheme="minorEastAsia" w:hAnsiTheme="minorEastAsia" w:eastAsiaTheme="minorEastAsia"/>
          <w:szCs w:val="28"/>
        </w:rPr>
        <w:t>#</w:t>
      </w:r>
      <w:r>
        <w:rPr>
          <w:rFonts w:hint="eastAsia" w:asciiTheme="minorEastAsia" w:hAnsiTheme="minorEastAsia" w:eastAsiaTheme="minorEastAsia"/>
          <w:szCs w:val="28"/>
        </w:rPr>
        <w:t>冷站</w:t>
      </w:r>
      <w:r>
        <w:rPr>
          <w:rFonts w:hint="eastAsia" w:asciiTheme="minorEastAsia" w:hAnsiTheme="minorEastAsia" w:eastAsiaTheme="minorEastAsia"/>
        </w:rPr>
        <w:t>更换6台二醇泵及阻力止回阀。此方案电气自控工程量较少，电气柜和电气电缆不需要更换，需要调整断路器整定电流值，以及软启动柜的额定电流和保护电流值。弱电柜体和控制信号线也可以利用原有模块和回路。</w:t>
      </w:r>
    </w:p>
    <w:p>
      <w:pP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2523490" cy="1895475"/>
            <wp:effectExtent l="0" t="0" r="10160" b="9525"/>
            <wp:docPr id="6" name="图片 6" descr="f490ab1a17fa24d527b5f844c4771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490ab1a17fa24d527b5f844c4771ca8"/>
                    <pic:cNvPicPr>
                      <a:picLocks noChangeAspect="1"/>
                    </pic:cNvPicPr>
                  </pic:nvPicPr>
                  <pic:blipFill>
                    <a:blip r:embed="rId8"/>
                    <a:stretch>
                      <a:fillRect/>
                    </a:stretch>
                  </pic:blipFill>
                  <pic:spPr>
                    <a:xfrm>
                      <a:off x="0" y="0"/>
                      <a:ext cx="2523490" cy="1895475"/>
                    </a:xfrm>
                    <a:prstGeom prst="rect">
                      <a:avLst/>
                    </a:prstGeom>
                  </pic:spPr>
                </pic:pic>
              </a:graphicData>
            </a:graphic>
          </wp:inline>
        </w:drawing>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lang w:eastAsia="zh-CN"/>
        </w:rPr>
        <w:drawing>
          <wp:inline distT="0" distB="0" distL="114300" distR="114300">
            <wp:extent cx="2559050" cy="1921510"/>
            <wp:effectExtent l="0" t="0" r="12700" b="2540"/>
            <wp:docPr id="7" name="图片 7" descr="f6167b97524d77c0358a6965a454c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6167b97524d77c0358a6965a454cbc8"/>
                    <pic:cNvPicPr>
                      <a:picLocks noChangeAspect="1"/>
                    </pic:cNvPicPr>
                  </pic:nvPicPr>
                  <pic:blipFill>
                    <a:blip r:embed="rId9"/>
                    <a:stretch>
                      <a:fillRect/>
                    </a:stretch>
                  </pic:blipFill>
                  <pic:spPr>
                    <a:xfrm>
                      <a:off x="0" y="0"/>
                      <a:ext cx="2559050" cy="1921510"/>
                    </a:xfrm>
                    <a:prstGeom prst="rect">
                      <a:avLst/>
                    </a:prstGeom>
                  </pic:spPr>
                </pic:pic>
              </a:graphicData>
            </a:graphic>
          </wp:inline>
        </w:drawing>
      </w:r>
    </w:p>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乙</w:t>
      </w:r>
      <w:r>
        <w:rPr>
          <w:rFonts w:hint="eastAsia" w:asciiTheme="minorEastAsia" w:hAnsiTheme="minorEastAsia" w:eastAsiaTheme="minorEastAsia"/>
        </w:rPr>
        <w:t>二醇泵</w:t>
      </w:r>
      <w:r>
        <w:rPr>
          <w:rFonts w:hint="eastAsia" w:asciiTheme="minorEastAsia" w:hAnsiTheme="minorEastAsia" w:eastAsiaTheme="minorEastAsia"/>
          <w:lang w:val="en-US" w:eastAsia="zh-CN"/>
        </w:rPr>
        <w:t>现状图</w:t>
      </w:r>
    </w:p>
    <w:p>
      <w:pPr>
        <w:pStyle w:val="2"/>
        <w:rPr>
          <w:rFonts w:hint="default"/>
          <w:lang w:val="en-US" w:eastAsia="zh-CN"/>
        </w:rPr>
      </w:pPr>
    </w:p>
    <w:p>
      <w:pPr>
        <w:ind w:firstLine="420" w:firstLineChars="200"/>
        <w:jc w:val="center"/>
        <w:rPr>
          <w:rFonts w:hint="eastAsia" w:asciiTheme="minorEastAsia" w:hAnsiTheme="minorEastAsia" w:eastAsiaTheme="minorEastAsia"/>
          <w:lang w:eastAsia="zh-CN"/>
        </w:rPr>
      </w:pPr>
      <w:r>
        <w:rPr>
          <w:rFonts w:hint="eastAsia" w:asciiTheme="minorEastAsia" w:hAnsiTheme="minorEastAsia" w:eastAsiaTheme="minorEastAsia"/>
        </w:rPr>
        <w:t>乙二醇</w:t>
      </w:r>
      <w:r>
        <w:rPr>
          <w:rFonts w:hint="eastAsia" w:asciiTheme="minorEastAsia" w:hAnsiTheme="minorEastAsia" w:eastAsiaTheme="minorEastAsia"/>
          <w:lang w:val="en-US" w:eastAsia="zh-CN"/>
        </w:rPr>
        <w:t>泵</w:t>
      </w:r>
      <w:r>
        <w:rPr>
          <w:rFonts w:hint="eastAsia" w:asciiTheme="minorEastAsia" w:hAnsiTheme="minorEastAsia" w:eastAsiaTheme="minorEastAsia"/>
        </w:rPr>
        <w:t>改造</w:t>
      </w:r>
      <w:r>
        <w:rPr>
          <w:rFonts w:hint="eastAsia" w:asciiTheme="minorEastAsia" w:hAnsiTheme="minorEastAsia" w:eastAsiaTheme="minorEastAsia"/>
          <w:lang w:val="en-US" w:eastAsia="zh-CN"/>
        </w:rPr>
        <w:t>主要内容</w:t>
      </w:r>
    </w:p>
    <w:tbl>
      <w:tblPr>
        <w:tblStyle w:val="28"/>
        <w:tblW w:w="8522" w:type="dxa"/>
        <w:tblInd w:w="0" w:type="dxa"/>
        <w:tblLayout w:type="fixed"/>
        <w:tblCellMar>
          <w:top w:w="0" w:type="dxa"/>
          <w:left w:w="108" w:type="dxa"/>
          <w:bottom w:w="0" w:type="dxa"/>
          <w:right w:w="108" w:type="dxa"/>
        </w:tblCellMar>
      </w:tblPr>
      <w:tblGrid>
        <w:gridCol w:w="631"/>
        <w:gridCol w:w="2171"/>
        <w:gridCol w:w="4111"/>
        <w:gridCol w:w="806"/>
        <w:gridCol w:w="803"/>
      </w:tblGrid>
      <w:tr>
        <w:tblPrEx>
          <w:tblLayout w:type="fixed"/>
          <w:tblCellMar>
            <w:top w:w="0" w:type="dxa"/>
            <w:left w:w="108" w:type="dxa"/>
            <w:bottom w:w="0" w:type="dxa"/>
            <w:right w:w="108" w:type="dxa"/>
          </w:tblCellMar>
        </w:tblPrEx>
        <w:trPr>
          <w:trHeight w:val="20" w:hRule="atLeast"/>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rPr>
            </w:pPr>
            <w:r>
              <w:rPr>
                <w:rFonts w:hint="eastAsia" w:asciiTheme="minorEastAsia" w:hAnsiTheme="minorEastAsia" w:eastAsiaTheme="minorEastAsia"/>
                <w:sz w:val="24"/>
              </w:rPr>
              <w:t>序号</w:t>
            </w:r>
          </w:p>
        </w:tc>
        <w:tc>
          <w:tcPr>
            <w:tcW w:w="217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rPr>
            </w:pPr>
            <w:r>
              <w:rPr>
                <w:rFonts w:hint="eastAsia" w:asciiTheme="minorEastAsia" w:hAnsiTheme="minorEastAsia" w:eastAsiaTheme="minorEastAsia"/>
                <w:sz w:val="24"/>
              </w:rPr>
              <w:t>项目名称</w:t>
            </w:r>
          </w:p>
        </w:tc>
        <w:tc>
          <w:tcPr>
            <w:tcW w:w="411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rPr>
            </w:pPr>
            <w:r>
              <w:rPr>
                <w:rFonts w:hint="eastAsia" w:asciiTheme="minorEastAsia" w:hAnsiTheme="minorEastAsia" w:eastAsiaTheme="minorEastAsia"/>
                <w:sz w:val="24"/>
              </w:rPr>
              <w:t>项目内容</w:t>
            </w:r>
          </w:p>
        </w:tc>
        <w:tc>
          <w:tcPr>
            <w:tcW w:w="806" w:type="dxa"/>
            <w:tcBorders>
              <w:top w:val="single" w:color="auto" w:sz="4" w:space="0"/>
              <w:left w:val="nil"/>
              <w:bottom w:val="single" w:color="auto" w:sz="4" w:space="0"/>
              <w:right w:val="single" w:color="auto" w:sz="4" w:space="0"/>
            </w:tcBorders>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单位</w:t>
            </w:r>
          </w:p>
        </w:tc>
        <w:tc>
          <w:tcPr>
            <w:tcW w:w="803" w:type="dxa"/>
            <w:tcBorders>
              <w:top w:val="single" w:color="auto" w:sz="4" w:space="0"/>
              <w:left w:val="nil"/>
              <w:bottom w:val="single" w:color="auto" w:sz="4" w:space="0"/>
              <w:right w:val="single" w:color="auto" w:sz="4" w:space="0"/>
            </w:tcBorders>
            <w:shd w:val="clear" w:color="auto" w:fill="auto"/>
            <w:vAlign w:val="center"/>
          </w:tcPr>
          <w:p>
            <w:pPr>
              <w:widowControl/>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数量</w:t>
            </w:r>
          </w:p>
        </w:tc>
      </w:tr>
      <w:tr>
        <w:tblPrEx>
          <w:tblLayout w:type="fixed"/>
          <w:tblCellMar>
            <w:top w:w="0" w:type="dxa"/>
            <w:left w:w="108" w:type="dxa"/>
            <w:bottom w:w="0" w:type="dxa"/>
            <w:right w:w="108" w:type="dxa"/>
          </w:tblCellMar>
        </w:tblPrEx>
        <w:trPr>
          <w:trHeight w:val="20" w:hRule="atLeast"/>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heme="minorEastAsia" w:hAnsiTheme="minorEastAsia" w:eastAsiaTheme="minorEastAsia"/>
                <w:kern w:val="0"/>
                <w:sz w:val="24"/>
                <w:szCs w:val="24"/>
              </w:rPr>
            </w:pPr>
            <w:r>
              <w:rPr>
                <w:rFonts w:hint="eastAsia" w:asciiTheme="minorEastAsia" w:hAnsiTheme="minorEastAsia" w:eastAsiaTheme="minorEastAsia"/>
                <w:sz w:val="24"/>
                <w:szCs w:val="24"/>
              </w:rPr>
              <w:t>1</w:t>
            </w:r>
          </w:p>
        </w:tc>
        <w:tc>
          <w:tcPr>
            <w:tcW w:w="217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水泵及电机拆除</w:t>
            </w:r>
          </w:p>
        </w:tc>
        <w:tc>
          <w:tcPr>
            <w:tcW w:w="411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旧水泵及电机保护性拆除，放置于指定位置（第四冷站仓库）</w:t>
            </w:r>
          </w:p>
        </w:tc>
        <w:tc>
          <w:tcPr>
            <w:tcW w:w="806"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台</w:t>
            </w:r>
          </w:p>
        </w:tc>
        <w:tc>
          <w:tcPr>
            <w:tcW w:w="803"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r>
      <w:tr>
        <w:tblPrEx>
          <w:tblLayout w:type="fixed"/>
          <w:tblCellMar>
            <w:top w:w="0" w:type="dxa"/>
            <w:left w:w="108" w:type="dxa"/>
            <w:bottom w:w="0" w:type="dxa"/>
            <w:right w:w="108" w:type="dxa"/>
          </w:tblCellMar>
        </w:tblPrEx>
        <w:trPr>
          <w:trHeight w:val="20" w:hRule="atLeast"/>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217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拆除阀门</w:t>
            </w:r>
          </w:p>
        </w:tc>
        <w:tc>
          <w:tcPr>
            <w:tcW w:w="4111"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旧止回阀、过滤器等保护性拆除，放置于指定位置（第四冷站仓库）</w:t>
            </w:r>
          </w:p>
        </w:tc>
        <w:tc>
          <w:tcPr>
            <w:tcW w:w="806"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项</w:t>
            </w:r>
          </w:p>
        </w:tc>
        <w:tc>
          <w:tcPr>
            <w:tcW w:w="803"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水泵及电机安装</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Q=1103m3/h，H=27.5m，电机功率</w:t>
            </w:r>
            <w:r>
              <w:rPr>
                <w:rFonts w:asciiTheme="minorEastAsia" w:hAnsiTheme="minorEastAsia" w:eastAsiaTheme="minorEastAsia"/>
                <w:sz w:val="24"/>
                <w:szCs w:val="24"/>
              </w:rPr>
              <w:t>110</w:t>
            </w:r>
            <w:r>
              <w:rPr>
                <w:rFonts w:hint="eastAsia" w:asciiTheme="minorEastAsia" w:hAnsiTheme="minorEastAsia" w:eastAsiaTheme="minorEastAsia"/>
                <w:sz w:val="24"/>
                <w:szCs w:val="24"/>
              </w:rPr>
              <w:t>kW</w:t>
            </w:r>
            <w:r>
              <w:rPr>
                <w:rStyle w:val="56"/>
                <w:rFonts w:hint="default" w:asciiTheme="minorEastAsia" w:hAnsiTheme="minorEastAsia" w:eastAsiaTheme="minorEastAsia"/>
                <w:color w:val="auto"/>
              </w:rPr>
              <w:t>，新水泵电机安装于现有混凝土基座上，含法兰垫片安装、钢结构基础（如需）</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台</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管道</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DN400，</w:t>
            </w:r>
            <w:r>
              <w:rPr>
                <w:rStyle w:val="57"/>
                <w:rFonts w:hint="default" w:asciiTheme="minorEastAsia" w:hAnsiTheme="minorEastAsia" w:eastAsiaTheme="minorEastAsia"/>
                <w:color w:val="auto"/>
              </w:rPr>
              <w:t>螺旋焊缝钢管,含弯头、支架、彩壳等，含安装</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m</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18</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管道油漆</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两底一面</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m2</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金属软连接</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不锈钢波纹管，DN400，PN1.6，含安装</w:t>
            </w:r>
            <w:r>
              <w:rPr>
                <w:rStyle w:val="57"/>
                <w:rFonts w:hint="default" w:asciiTheme="minorEastAsia" w:hAnsiTheme="minorEastAsia" w:eastAsiaTheme="minorEastAsia"/>
                <w:color w:val="auto"/>
              </w:rPr>
              <w:t>（6个更换、6个利旧）</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大小头安装</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大小头</w:t>
            </w:r>
            <w:r>
              <w:rPr>
                <w:rStyle w:val="57"/>
                <w:rFonts w:hint="default" w:asciiTheme="minorEastAsia" w:hAnsiTheme="minorEastAsia" w:eastAsiaTheme="minorEastAsia"/>
              </w:rPr>
              <w:t>（参考尺寸DN400转300具体数量、DN400转250具体数量，具体尺寸以现场管道和水泵为准）</w:t>
            </w:r>
            <w:r>
              <w:rPr>
                <w:rStyle w:val="56"/>
                <w:rFonts w:hint="default" w:asciiTheme="minorEastAsia" w:hAnsiTheme="minorEastAsia" w:eastAsiaTheme="minorEastAsia"/>
              </w:rPr>
              <w:t>，含安装</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静音止回阀</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DN400止回阀，阻力≤1m，含安装，含法兰垫片（安装于2</w:t>
            </w: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乙二醇泵）</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Y型过滤器</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DN400过滤器，安装含法兰垫片，含安装（安装于2</w:t>
            </w: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乙二醇泵）</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排污阀及排污管</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DN50铜闸阀1个，排污管1m，含安装,水泵进口要按原样恢复焊接dn50短管（单边外牙）</w:t>
            </w:r>
          </w:p>
        </w:tc>
        <w:tc>
          <w:tcPr>
            <w:tcW w:w="806" w:type="dxa"/>
            <w:tcBorders>
              <w:top w:val="nil"/>
              <w:left w:val="nil"/>
              <w:bottom w:val="single" w:color="auto" w:sz="4" w:space="0"/>
              <w:right w:val="single" w:color="auto" w:sz="4" w:space="0"/>
            </w:tcBorders>
            <w:shd w:val="clear" w:color="auto" w:fill="auto"/>
            <w:vAlign w:val="center"/>
          </w:tcPr>
          <w:p>
            <w:pP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套</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其他管道及安装</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过滤器前后要恢复dn15短管焊接，泵出口止回阀前也要恢复dn15短管焊接，（用于安装铜闸阀，压力表利旧）</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套</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2</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压差开关</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包括8mm铜管12m，配接头跟螺帽，含安装</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套</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3</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保温</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橡塑保温32mm，三层，含安装于管道、水泵上</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m3</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8</w:t>
            </w:r>
          </w:p>
        </w:tc>
      </w:tr>
      <w:tr>
        <w:tblPrEx>
          <w:tblLayout w:type="fixed"/>
          <w:tblCellMar>
            <w:top w:w="0" w:type="dxa"/>
            <w:left w:w="108" w:type="dxa"/>
            <w:bottom w:w="0" w:type="dxa"/>
            <w:right w:w="108" w:type="dxa"/>
          </w:tblCellMar>
        </w:tblPrEx>
        <w:trPr>
          <w:trHeight w:val="20" w:hRule="atLeast"/>
        </w:trPr>
        <w:tc>
          <w:tcPr>
            <w:tcW w:w="631" w:type="dxa"/>
            <w:tcBorders>
              <w:top w:val="nil"/>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14</w:t>
            </w:r>
          </w:p>
        </w:tc>
        <w:tc>
          <w:tcPr>
            <w:tcW w:w="217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自控、电缆</w:t>
            </w:r>
          </w:p>
        </w:tc>
        <w:tc>
          <w:tcPr>
            <w:tcW w:w="4111"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电机自控、电缆接线（利旧），含安装，含安装</w:t>
            </w:r>
          </w:p>
        </w:tc>
        <w:tc>
          <w:tcPr>
            <w:tcW w:w="806"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项</w:t>
            </w:r>
          </w:p>
        </w:tc>
        <w:tc>
          <w:tcPr>
            <w:tcW w:w="803" w:type="dxa"/>
            <w:tcBorders>
              <w:top w:val="nil"/>
              <w:left w:val="nil"/>
              <w:bottom w:val="single" w:color="auto" w:sz="4" w:space="0"/>
              <w:right w:val="single" w:color="auto" w:sz="4" w:space="0"/>
            </w:tcBorders>
            <w:shd w:val="clear" w:color="auto" w:fill="auto"/>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r>
    </w:tbl>
    <w:p>
      <w:pPr>
        <w:tabs>
          <w:tab w:val="left" w:pos="567"/>
        </w:tabs>
        <w:spacing w:line="360" w:lineRule="auto"/>
        <w:rPr>
          <w:rFonts w:ascii="宋体" w:hAnsi="宋体" w:cs="宋体"/>
          <w:bCs/>
          <w:sz w:val="24"/>
        </w:rPr>
      </w:pPr>
    </w:p>
    <w:p>
      <w:pPr>
        <w:numPr>
          <w:ilvl w:val="0"/>
          <w:numId w:val="1"/>
        </w:numPr>
        <w:spacing w:before="120" w:beforeLines="50" w:after="120" w:afterLines="50" w:line="360" w:lineRule="auto"/>
        <w:ind w:left="0" w:firstLine="482" w:firstLineChars="200"/>
        <w:rPr>
          <w:b/>
          <w:bCs/>
          <w:sz w:val="24"/>
        </w:rPr>
      </w:pPr>
      <w:r>
        <w:rPr>
          <w:rFonts w:hint="eastAsia"/>
          <w:b/>
          <w:bCs/>
          <w:sz w:val="24"/>
        </w:rPr>
        <w:t>工程量及材料说明</w:t>
      </w:r>
    </w:p>
    <w:p>
      <w:pPr>
        <w:pStyle w:val="9"/>
        <w:numPr>
          <w:ilvl w:val="0"/>
          <w:numId w:val="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以下工程量仅作参考，本项目由投标人包工包料包安装包调试包措施，投标人应根据竞选文件及结合现场实际情况综合考虑再进行报价，投标人的投标报价应包括按竞选文件要求完成本项的全部费用。</w:t>
      </w:r>
    </w:p>
    <w:p>
      <w:pPr>
        <w:numPr>
          <w:ilvl w:val="0"/>
          <w:numId w:val="0"/>
        </w:numPr>
        <w:bidi w:val="0"/>
        <w:jc w:val="left"/>
        <w:rPr>
          <w:rFonts w:hint="default"/>
          <w:b/>
          <w:bCs/>
          <w:sz w:val="30"/>
          <w:szCs w:val="30"/>
          <w:lang w:val="en-US" w:eastAsia="zh-CN"/>
        </w:rPr>
      </w:pPr>
      <w:r>
        <w:rPr>
          <w:rFonts w:hint="eastAsia"/>
          <w:b/>
          <w:bCs/>
          <w:sz w:val="30"/>
          <w:szCs w:val="30"/>
          <w:lang w:val="en-US" w:eastAsia="zh-CN"/>
        </w:rPr>
        <w:t>1、电动阀更换工作量清单</w:t>
      </w:r>
    </w:p>
    <w:tbl>
      <w:tblPr>
        <w:tblStyle w:val="28"/>
        <w:tblW w:w="9522" w:type="dxa"/>
        <w:tblInd w:w="-6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19"/>
        <w:gridCol w:w="4952"/>
        <w:gridCol w:w="795"/>
        <w:gridCol w:w="88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1" w:type="dxa"/>
            <w:shd w:val="clear" w:color="auto" w:fill="auto"/>
            <w:vAlign w:val="center"/>
          </w:tcPr>
          <w:p>
            <w:pPr>
              <w:widowControl/>
              <w:jc w:val="center"/>
              <w:rPr>
                <w:rFonts w:asciiTheme="minorEastAsia" w:hAnsiTheme="minorEastAsia" w:eastAsiaTheme="minorEastAsia"/>
                <w:color w:val="000000"/>
                <w:kern w:val="0"/>
                <w:sz w:val="24"/>
                <w:szCs w:val="24"/>
              </w:rPr>
            </w:pPr>
            <w:r>
              <w:rPr>
                <w:rFonts w:hint="eastAsia" w:asciiTheme="minorEastAsia" w:hAnsiTheme="minorEastAsia" w:eastAsiaTheme="minorEastAsia"/>
                <w:color w:val="000000"/>
                <w:sz w:val="24"/>
                <w:szCs w:val="24"/>
              </w:rPr>
              <w:t>序号</w:t>
            </w:r>
          </w:p>
        </w:tc>
        <w:tc>
          <w:tcPr>
            <w:tcW w:w="1319" w:type="dxa"/>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项目名称</w:t>
            </w:r>
          </w:p>
        </w:tc>
        <w:tc>
          <w:tcPr>
            <w:tcW w:w="4952" w:type="dxa"/>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项目内容</w:t>
            </w:r>
          </w:p>
        </w:tc>
        <w:tc>
          <w:tcPr>
            <w:tcW w:w="795" w:type="dxa"/>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单位</w:t>
            </w:r>
          </w:p>
        </w:tc>
        <w:tc>
          <w:tcPr>
            <w:tcW w:w="885" w:type="dxa"/>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数量</w:t>
            </w:r>
          </w:p>
        </w:tc>
        <w:tc>
          <w:tcPr>
            <w:tcW w:w="870" w:type="dxa"/>
            <w:shd w:val="clear" w:color="auto" w:fill="auto"/>
            <w:vAlign w:val="center"/>
          </w:tcPr>
          <w:p>
            <w:pPr>
              <w:jc w:val="center"/>
              <w:rPr>
                <w:rFonts w:hint="eastAsia"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1" w:type="dxa"/>
            <w:shd w:val="clear" w:color="auto" w:fill="auto"/>
            <w:vAlign w:val="center"/>
          </w:tcPr>
          <w:p>
            <w:pPr>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1319" w:type="dxa"/>
            <w:shd w:val="clear" w:color="auto" w:fill="auto"/>
            <w:vAlign w:val="center"/>
          </w:tcPr>
          <w:p>
            <w:pPr>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就地控制箱</w:t>
            </w:r>
          </w:p>
        </w:tc>
        <w:tc>
          <w:tcPr>
            <w:tcW w:w="4952" w:type="dxa"/>
            <w:shd w:val="clear" w:color="auto" w:fill="auto"/>
            <w:vAlign w:val="center"/>
          </w:tcPr>
          <w:p>
            <w:pPr>
              <w:jc w:val="left"/>
              <w:rPr>
                <w:rFonts w:hint="default" w:asciiTheme="minorEastAsia" w:hAnsiTheme="minorEastAsia" w:eastAsiaTheme="minorEastAsia"/>
                <w:color w:val="FF0000"/>
                <w:sz w:val="24"/>
                <w:szCs w:val="24"/>
                <w:lang w:val="en-US" w:eastAsia="zh-CN"/>
              </w:rPr>
            </w:pPr>
            <w:r>
              <w:rPr>
                <w:rFonts w:hint="eastAsia" w:asciiTheme="minorEastAsia" w:hAnsiTheme="minorEastAsia" w:eastAsiaTheme="minorEastAsia"/>
                <w:color w:val="000000"/>
                <w:sz w:val="24"/>
                <w:szCs w:val="24"/>
              </w:rPr>
              <w:t>双层门不锈钢电箱，初步尺寸300*400*200mm（长*高*厚），具体根据实际情况调整，含安装，</w:t>
            </w:r>
            <w:r>
              <w:rPr>
                <w:rFonts w:hint="eastAsia" w:asciiTheme="minorEastAsia" w:hAnsiTheme="minorEastAsia" w:eastAsiaTheme="minorEastAsia"/>
                <w:color w:val="000000"/>
                <w:sz w:val="24"/>
                <w:szCs w:val="24"/>
                <w:lang w:val="en-US" w:eastAsia="zh-CN"/>
              </w:rPr>
              <w:t>地点电动阀附件墙柱</w:t>
            </w:r>
          </w:p>
        </w:tc>
        <w:tc>
          <w:tcPr>
            <w:tcW w:w="795" w:type="dxa"/>
            <w:shd w:val="clear" w:color="auto" w:fill="auto"/>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color w:val="000000"/>
                <w:sz w:val="24"/>
                <w:szCs w:val="24"/>
              </w:rPr>
              <w:t>个</w:t>
            </w:r>
          </w:p>
        </w:tc>
        <w:tc>
          <w:tcPr>
            <w:tcW w:w="885" w:type="dxa"/>
            <w:shd w:val="clear" w:color="auto" w:fill="auto"/>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color w:val="000000"/>
                <w:sz w:val="24"/>
                <w:szCs w:val="24"/>
              </w:rPr>
              <w:t>1</w:t>
            </w:r>
          </w:p>
        </w:tc>
        <w:tc>
          <w:tcPr>
            <w:tcW w:w="870" w:type="dxa"/>
            <w:vMerge w:val="restart"/>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控制箱需深化设计后由发包方确权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701"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2</w:t>
            </w:r>
          </w:p>
        </w:tc>
        <w:tc>
          <w:tcPr>
            <w:tcW w:w="1319" w:type="dxa"/>
            <w:shd w:val="clear" w:color="auto" w:fill="auto"/>
            <w:vAlign w:val="center"/>
          </w:tcPr>
          <w:p>
            <w:pPr>
              <w:jc w:val="center"/>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开关1</w:t>
            </w:r>
          </w:p>
        </w:tc>
        <w:tc>
          <w:tcPr>
            <w:tcW w:w="4952" w:type="dxa"/>
            <w:shd w:val="clear" w:color="auto" w:fill="auto"/>
            <w:vAlign w:val="center"/>
          </w:tcPr>
          <w:p>
            <w:pPr>
              <w:jc w:val="left"/>
              <w:rPr>
                <w:rFonts w:hint="eastAsia"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开关型号</w:t>
            </w:r>
            <w:r>
              <w:rPr>
                <w:rFonts w:hint="eastAsia" w:asciiTheme="minorEastAsia" w:hAnsiTheme="minorEastAsia" w:eastAsiaTheme="minorEastAsia"/>
                <w:color w:val="000000"/>
                <w:sz w:val="24"/>
                <w:szCs w:val="24"/>
              </w:rPr>
              <w:t>16A3P</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安装于</w:t>
            </w:r>
            <w:r>
              <w:rPr>
                <w:rFonts w:hint="eastAsia" w:asciiTheme="minorEastAsia" w:hAnsiTheme="minorEastAsia" w:eastAsiaTheme="minorEastAsia"/>
                <w:color w:val="auto"/>
                <w:sz w:val="24"/>
                <w:szCs w:val="24"/>
                <w:highlight w:val="none"/>
              </w:rPr>
              <w:t>就地控制箱</w:t>
            </w:r>
            <w:r>
              <w:rPr>
                <w:rFonts w:hint="eastAsia" w:asciiTheme="minorEastAsia" w:hAnsiTheme="minorEastAsia" w:eastAsiaTheme="minorEastAsia"/>
                <w:color w:val="auto"/>
                <w:sz w:val="24"/>
                <w:szCs w:val="24"/>
                <w:highlight w:val="none"/>
                <w:lang w:val="en-US" w:eastAsia="zh-CN"/>
              </w:rPr>
              <w:t>内</w:t>
            </w:r>
          </w:p>
        </w:tc>
        <w:tc>
          <w:tcPr>
            <w:tcW w:w="79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个</w:t>
            </w:r>
          </w:p>
        </w:tc>
        <w:tc>
          <w:tcPr>
            <w:tcW w:w="88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1</w:t>
            </w:r>
          </w:p>
        </w:tc>
        <w:tc>
          <w:tcPr>
            <w:tcW w:w="870" w:type="dxa"/>
            <w:vMerge w:val="continue"/>
            <w:shd w:val="clear" w:color="auto" w:fill="auto"/>
            <w:vAlign w:val="center"/>
          </w:tcPr>
          <w:p>
            <w:pPr>
              <w:jc w:val="center"/>
              <w:rPr>
                <w:rFonts w:hint="eastAsia" w:asciiTheme="minorEastAsia" w:hAnsiTheme="minorEastAsia" w:eastAsiaTheme="minorEastAsia"/>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701"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3</w:t>
            </w:r>
          </w:p>
        </w:tc>
        <w:tc>
          <w:tcPr>
            <w:tcW w:w="1319" w:type="dxa"/>
            <w:shd w:val="clear" w:color="auto" w:fill="auto"/>
            <w:vAlign w:val="center"/>
          </w:tcPr>
          <w:p>
            <w:pPr>
              <w:jc w:val="center"/>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开关2</w:t>
            </w:r>
          </w:p>
        </w:tc>
        <w:tc>
          <w:tcPr>
            <w:tcW w:w="4952" w:type="dxa"/>
            <w:shd w:val="clear" w:color="auto" w:fill="auto"/>
            <w:vAlign w:val="center"/>
          </w:tcPr>
          <w:p>
            <w:pPr>
              <w:jc w:val="left"/>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开关型号</w:t>
            </w:r>
            <w:r>
              <w:rPr>
                <w:rFonts w:hint="eastAsia" w:asciiTheme="minorEastAsia" w:hAnsiTheme="minorEastAsia" w:eastAsiaTheme="minorEastAsia"/>
                <w:color w:val="000000"/>
                <w:sz w:val="24"/>
                <w:szCs w:val="24"/>
              </w:rPr>
              <w:t>6A3P</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安装于</w:t>
            </w:r>
            <w:r>
              <w:rPr>
                <w:rFonts w:hint="eastAsia" w:asciiTheme="minorEastAsia" w:hAnsiTheme="minorEastAsia" w:eastAsiaTheme="minorEastAsia"/>
                <w:color w:val="auto"/>
                <w:sz w:val="24"/>
                <w:szCs w:val="24"/>
                <w:highlight w:val="none"/>
              </w:rPr>
              <w:t>就地控制箱</w:t>
            </w:r>
            <w:r>
              <w:rPr>
                <w:rFonts w:hint="eastAsia" w:asciiTheme="minorEastAsia" w:hAnsiTheme="minorEastAsia" w:eastAsiaTheme="minorEastAsia"/>
                <w:color w:val="auto"/>
                <w:sz w:val="24"/>
                <w:szCs w:val="24"/>
                <w:highlight w:val="none"/>
                <w:lang w:val="en-US" w:eastAsia="zh-CN"/>
              </w:rPr>
              <w:t>内</w:t>
            </w:r>
          </w:p>
        </w:tc>
        <w:tc>
          <w:tcPr>
            <w:tcW w:w="795" w:type="dxa"/>
            <w:shd w:val="clear" w:color="auto" w:fill="auto"/>
            <w:vAlign w:val="center"/>
          </w:tcPr>
          <w:p>
            <w:pPr>
              <w:jc w:val="center"/>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个</w:t>
            </w:r>
          </w:p>
        </w:tc>
        <w:tc>
          <w:tcPr>
            <w:tcW w:w="885" w:type="dxa"/>
            <w:shd w:val="clear" w:color="auto" w:fill="auto"/>
            <w:vAlign w:val="center"/>
          </w:tcPr>
          <w:p>
            <w:pPr>
              <w:jc w:val="center"/>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w:t>
            </w:r>
          </w:p>
        </w:tc>
        <w:tc>
          <w:tcPr>
            <w:tcW w:w="870" w:type="dxa"/>
            <w:vMerge w:val="continue"/>
            <w:shd w:val="clear" w:color="auto" w:fill="auto"/>
            <w:vAlign w:val="center"/>
          </w:tcPr>
          <w:p>
            <w:pPr>
              <w:jc w:val="center"/>
              <w:rPr>
                <w:rFonts w:hint="eastAsia"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1" w:type="dxa"/>
            <w:shd w:val="clear" w:color="auto" w:fill="auto"/>
            <w:vAlign w:val="center"/>
          </w:tcPr>
          <w:p>
            <w:pPr>
              <w:jc w:val="center"/>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4</w:t>
            </w:r>
          </w:p>
        </w:tc>
        <w:tc>
          <w:tcPr>
            <w:tcW w:w="1319" w:type="dxa"/>
            <w:shd w:val="clear" w:color="auto" w:fill="auto"/>
            <w:vAlign w:val="center"/>
          </w:tcPr>
          <w:p>
            <w:pPr>
              <w:jc w:val="center"/>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开关3</w:t>
            </w:r>
          </w:p>
        </w:tc>
        <w:tc>
          <w:tcPr>
            <w:tcW w:w="4952" w:type="dxa"/>
            <w:shd w:val="clear" w:color="auto" w:fill="auto"/>
            <w:vAlign w:val="center"/>
          </w:tcPr>
          <w:p>
            <w:pPr>
              <w:jc w:val="left"/>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开关型号</w:t>
            </w:r>
            <w:r>
              <w:rPr>
                <w:rFonts w:hint="eastAsia" w:asciiTheme="minorEastAsia" w:hAnsiTheme="minorEastAsia" w:eastAsiaTheme="minorEastAsia"/>
                <w:color w:val="000000"/>
                <w:sz w:val="24"/>
                <w:szCs w:val="24"/>
              </w:rPr>
              <w:t>6A2P，</w:t>
            </w:r>
            <w:r>
              <w:rPr>
                <w:rFonts w:hint="eastAsia" w:asciiTheme="minorEastAsia" w:hAnsiTheme="minorEastAsia" w:eastAsiaTheme="minorEastAsia"/>
                <w:color w:val="000000"/>
                <w:sz w:val="24"/>
                <w:szCs w:val="24"/>
                <w:lang w:val="en-US" w:eastAsia="zh-CN"/>
              </w:rPr>
              <w:t>安装于</w:t>
            </w:r>
            <w:r>
              <w:rPr>
                <w:rFonts w:hint="eastAsia" w:asciiTheme="minorEastAsia" w:hAnsiTheme="minorEastAsia" w:eastAsiaTheme="minorEastAsia"/>
                <w:color w:val="auto"/>
                <w:sz w:val="24"/>
                <w:szCs w:val="24"/>
                <w:highlight w:val="none"/>
              </w:rPr>
              <w:t>就地控制箱</w:t>
            </w:r>
            <w:r>
              <w:rPr>
                <w:rFonts w:hint="eastAsia" w:asciiTheme="minorEastAsia" w:hAnsiTheme="minorEastAsia" w:eastAsiaTheme="minorEastAsia"/>
                <w:color w:val="auto"/>
                <w:sz w:val="24"/>
                <w:szCs w:val="24"/>
                <w:highlight w:val="none"/>
                <w:lang w:val="en-US" w:eastAsia="zh-CN"/>
              </w:rPr>
              <w:t>内</w:t>
            </w:r>
          </w:p>
        </w:tc>
        <w:tc>
          <w:tcPr>
            <w:tcW w:w="795" w:type="dxa"/>
            <w:shd w:val="clear" w:color="auto" w:fill="auto"/>
            <w:vAlign w:val="center"/>
          </w:tcPr>
          <w:p>
            <w:pPr>
              <w:jc w:val="center"/>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个</w:t>
            </w:r>
          </w:p>
        </w:tc>
        <w:tc>
          <w:tcPr>
            <w:tcW w:w="885" w:type="dxa"/>
            <w:shd w:val="clear" w:color="auto" w:fill="auto"/>
            <w:vAlign w:val="center"/>
          </w:tcPr>
          <w:p>
            <w:pPr>
              <w:jc w:val="center"/>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w:t>
            </w:r>
          </w:p>
        </w:tc>
        <w:tc>
          <w:tcPr>
            <w:tcW w:w="870" w:type="dxa"/>
            <w:vMerge w:val="continue"/>
            <w:shd w:val="clear" w:color="auto" w:fill="auto"/>
            <w:vAlign w:val="center"/>
          </w:tcPr>
          <w:p>
            <w:pPr>
              <w:jc w:val="center"/>
              <w:rPr>
                <w:rFonts w:hint="eastAsia"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701" w:type="dxa"/>
            <w:shd w:val="clear" w:color="auto" w:fill="auto"/>
            <w:vAlign w:val="center"/>
          </w:tcPr>
          <w:p>
            <w:pPr>
              <w:jc w:val="center"/>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5</w:t>
            </w:r>
          </w:p>
        </w:tc>
        <w:tc>
          <w:tcPr>
            <w:tcW w:w="1319" w:type="dxa"/>
            <w:shd w:val="clear" w:color="auto" w:fill="auto"/>
            <w:vAlign w:val="center"/>
          </w:tcPr>
          <w:p>
            <w:pPr>
              <w:jc w:val="center"/>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电箱其他零星配件</w:t>
            </w:r>
          </w:p>
        </w:tc>
        <w:tc>
          <w:tcPr>
            <w:tcW w:w="4952" w:type="dxa"/>
            <w:shd w:val="clear" w:color="auto" w:fill="auto"/>
            <w:vAlign w:val="center"/>
          </w:tcPr>
          <w:p>
            <w:pPr>
              <w:jc w:val="left"/>
              <w:rPr>
                <w:rFonts w:hint="eastAsia"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rPr>
              <w:t>含二次控制回路（继电器、旋钮、端子</w:t>
            </w:r>
            <w:r>
              <w:rPr>
                <w:rFonts w:hint="eastAsia" w:asciiTheme="minorEastAsia" w:hAnsiTheme="minorEastAsia" w:eastAsiaTheme="minorEastAsia"/>
                <w:color w:val="000000"/>
                <w:sz w:val="24"/>
                <w:szCs w:val="24"/>
                <w:lang w:eastAsia="zh-CN"/>
              </w:rPr>
              <w:t>）</w:t>
            </w:r>
          </w:p>
        </w:tc>
        <w:tc>
          <w:tcPr>
            <w:tcW w:w="795" w:type="dxa"/>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项</w:t>
            </w:r>
          </w:p>
        </w:tc>
        <w:tc>
          <w:tcPr>
            <w:tcW w:w="885" w:type="dxa"/>
            <w:shd w:val="clear" w:color="auto" w:fill="auto"/>
            <w:vAlign w:val="center"/>
          </w:tcPr>
          <w:p>
            <w:pPr>
              <w:jc w:val="center"/>
              <w:rPr>
                <w:rFonts w:hint="eastAsia"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1</w:t>
            </w:r>
          </w:p>
        </w:tc>
        <w:tc>
          <w:tcPr>
            <w:tcW w:w="870" w:type="dxa"/>
            <w:vMerge w:val="continue"/>
            <w:shd w:val="clear" w:color="auto" w:fill="auto"/>
            <w:vAlign w:val="center"/>
          </w:tcPr>
          <w:p>
            <w:pPr>
              <w:jc w:val="center"/>
              <w:rPr>
                <w:rFonts w:hint="eastAsia" w:asciiTheme="minorEastAsia" w:hAnsiTheme="minorEastAsia" w:eastAsiaTheme="minorEastAsia"/>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01" w:type="dxa"/>
            <w:shd w:val="clear" w:color="auto" w:fill="auto"/>
            <w:vAlign w:val="center"/>
          </w:tcPr>
          <w:p>
            <w:pPr>
              <w:jc w:val="center"/>
              <w:rPr>
                <w:rFonts w:hint="eastAsia" w:asciiTheme="minorEastAsia" w:hAnsiTheme="minorEastAsia" w:eastAsiaTheme="minorEastAsia"/>
                <w:color w:val="000000"/>
                <w:sz w:val="24"/>
                <w:szCs w:val="24"/>
                <w:lang w:eastAsia="zh-CN"/>
              </w:rPr>
            </w:pPr>
            <w:r>
              <w:rPr>
                <w:rFonts w:hint="eastAsia" w:asciiTheme="minorEastAsia" w:hAnsiTheme="minorEastAsia" w:eastAsiaTheme="minorEastAsia"/>
                <w:color w:val="000000"/>
                <w:sz w:val="24"/>
                <w:szCs w:val="24"/>
                <w:lang w:val="en-US" w:eastAsia="zh-CN"/>
              </w:rPr>
              <w:t>6</w:t>
            </w:r>
          </w:p>
        </w:tc>
        <w:tc>
          <w:tcPr>
            <w:tcW w:w="1319"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管道切割</w:t>
            </w:r>
          </w:p>
        </w:tc>
        <w:tc>
          <w:tcPr>
            <w:tcW w:w="4952" w:type="dxa"/>
            <w:shd w:val="clear" w:color="auto" w:fill="auto"/>
            <w:vAlign w:val="center"/>
          </w:tcPr>
          <w:p>
            <w:pPr>
              <w:jc w:val="left"/>
              <w:rPr>
                <w:rFonts w:hint="default"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DN</w:t>
            </w:r>
            <w:r>
              <w:rPr>
                <w:rFonts w:asciiTheme="minorEastAsia" w:hAnsiTheme="minorEastAsia" w:eastAsiaTheme="minorEastAsia"/>
                <w:color w:val="000000"/>
                <w:sz w:val="24"/>
                <w:szCs w:val="24"/>
              </w:rPr>
              <w:t>10</w:t>
            </w:r>
            <w:r>
              <w:rPr>
                <w:rFonts w:hint="eastAsia"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拆除表面保温，切割管道，注意切口平顺</w:t>
            </w:r>
          </w:p>
        </w:tc>
        <w:tc>
          <w:tcPr>
            <w:tcW w:w="79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项</w:t>
            </w:r>
          </w:p>
        </w:tc>
        <w:tc>
          <w:tcPr>
            <w:tcW w:w="88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1</w:t>
            </w:r>
          </w:p>
        </w:tc>
        <w:tc>
          <w:tcPr>
            <w:tcW w:w="870" w:type="dxa"/>
            <w:shd w:val="clear" w:color="auto" w:fill="auto"/>
            <w:vAlign w:val="center"/>
          </w:tcPr>
          <w:p>
            <w:pPr>
              <w:jc w:val="center"/>
              <w:rPr>
                <w:rFonts w:hint="eastAsia" w:asciiTheme="minorEastAsia" w:hAnsiTheme="minorEastAsia" w:eastAsiaTheme="minorEastAsia"/>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01" w:type="dxa"/>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7</w:t>
            </w:r>
          </w:p>
        </w:tc>
        <w:tc>
          <w:tcPr>
            <w:tcW w:w="1319" w:type="dxa"/>
            <w:shd w:val="clear" w:color="auto" w:fill="auto"/>
            <w:vAlign w:val="center"/>
          </w:tcPr>
          <w:p>
            <w:pPr>
              <w:jc w:val="center"/>
              <w:rPr>
                <w:rFonts w:hint="default"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电动开关阀门</w:t>
            </w:r>
            <w:r>
              <w:rPr>
                <w:rFonts w:hint="eastAsia" w:asciiTheme="minorEastAsia" w:hAnsiTheme="minorEastAsia" w:eastAsiaTheme="minorEastAsia"/>
                <w:color w:val="000000"/>
                <w:sz w:val="24"/>
                <w:szCs w:val="24"/>
                <w:lang w:eastAsia="zh-CN"/>
              </w:rPr>
              <w:t>（</w:t>
            </w:r>
            <w:r>
              <w:rPr>
                <w:rStyle w:val="55"/>
                <w:rFonts w:hint="default" w:asciiTheme="minorEastAsia" w:hAnsiTheme="minorEastAsia" w:eastAsiaTheme="minorEastAsia"/>
                <w:sz w:val="24"/>
                <w:szCs w:val="24"/>
              </w:rPr>
              <w:t>蝶阀</w:t>
            </w:r>
            <w:r>
              <w:rPr>
                <w:rFonts w:hint="eastAsia" w:asciiTheme="minorEastAsia" w:hAnsiTheme="minorEastAsia" w:eastAsiaTheme="minorEastAsia"/>
                <w:color w:val="000000"/>
                <w:sz w:val="24"/>
                <w:szCs w:val="24"/>
                <w:lang w:eastAsia="zh-CN"/>
              </w:rPr>
              <w:t>）</w:t>
            </w:r>
          </w:p>
        </w:tc>
        <w:tc>
          <w:tcPr>
            <w:tcW w:w="4952" w:type="dxa"/>
            <w:shd w:val="clear" w:color="auto" w:fill="auto"/>
            <w:vAlign w:val="center"/>
          </w:tcPr>
          <w:p>
            <w:pPr>
              <w:jc w:val="center"/>
              <w:rPr>
                <w:rFonts w:hint="default"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 xml:space="preserve"> </w:t>
            </w:r>
            <w:r>
              <w:rPr>
                <w:rFonts w:hint="eastAsia" w:asciiTheme="minorEastAsia" w:hAnsiTheme="minorEastAsia" w:eastAsiaTheme="minorEastAsia"/>
                <w:color w:val="000000"/>
                <w:sz w:val="24"/>
                <w:szCs w:val="24"/>
              </w:rPr>
              <w:t>DN</w:t>
            </w:r>
            <w:r>
              <w:rPr>
                <w:rFonts w:asciiTheme="minorEastAsia" w:hAnsiTheme="minorEastAsia" w:eastAsiaTheme="minorEastAsia"/>
                <w:color w:val="000000"/>
                <w:sz w:val="24"/>
                <w:szCs w:val="24"/>
              </w:rPr>
              <w:t>10</w:t>
            </w:r>
            <w:r>
              <w:rPr>
                <w:rFonts w:hint="eastAsia" w:asciiTheme="minorEastAsia" w:hAnsiTheme="minorEastAsia" w:eastAsiaTheme="minorEastAsia"/>
                <w:color w:val="000000"/>
                <w:sz w:val="24"/>
                <w:szCs w:val="24"/>
              </w:rPr>
              <w:t>00,</w:t>
            </w:r>
            <w:r>
              <w:rPr>
                <w:rStyle w:val="55"/>
                <w:rFonts w:hint="default" w:asciiTheme="minorEastAsia" w:hAnsiTheme="minorEastAsia" w:eastAsiaTheme="minorEastAsia"/>
                <w:sz w:val="24"/>
                <w:szCs w:val="24"/>
              </w:rPr>
              <w:t>电动开关，</w:t>
            </w:r>
            <w:r>
              <w:rPr>
                <w:rStyle w:val="56"/>
                <w:rFonts w:hint="default" w:asciiTheme="minorEastAsia" w:hAnsiTheme="minorEastAsia" w:eastAsiaTheme="minorEastAsia"/>
              </w:rPr>
              <w:t>电动阀电压380V，</w:t>
            </w:r>
            <w:r>
              <w:rPr>
                <w:rStyle w:val="57"/>
                <w:rFonts w:hint="default" w:asciiTheme="minorEastAsia" w:hAnsiTheme="minorEastAsia" w:eastAsiaTheme="minorEastAsia"/>
              </w:rPr>
              <w:t>电源线采用ZR-YJV5*2.5mm、从附近就地控制箱接驳（含套管）,控制线采用RVSP8*1.0mm，从就地控制箱接驳（含套管）</w:t>
            </w:r>
            <w:r>
              <w:rPr>
                <w:rStyle w:val="57"/>
                <w:rFonts w:hint="eastAsia" w:asciiTheme="minorEastAsia" w:hAnsiTheme="minorEastAsia" w:eastAsiaTheme="minorEastAsia"/>
                <w:lang w:eastAsia="zh-CN"/>
              </w:rPr>
              <w:t>，</w:t>
            </w:r>
            <w:r>
              <w:rPr>
                <w:rStyle w:val="56"/>
                <w:rFonts w:hint="default" w:asciiTheme="minorEastAsia" w:hAnsiTheme="minorEastAsia" w:eastAsiaTheme="minorEastAsia"/>
              </w:rPr>
              <w:t>含安装、管道法兰</w:t>
            </w:r>
          </w:p>
        </w:tc>
        <w:tc>
          <w:tcPr>
            <w:tcW w:w="79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个</w:t>
            </w:r>
          </w:p>
        </w:tc>
        <w:tc>
          <w:tcPr>
            <w:tcW w:w="88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rPr>
              <w:t>1</w:t>
            </w:r>
          </w:p>
        </w:tc>
        <w:tc>
          <w:tcPr>
            <w:tcW w:w="870" w:type="dxa"/>
            <w:shd w:val="clear" w:color="auto" w:fill="auto"/>
            <w:vAlign w:val="center"/>
          </w:tcPr>
          <w:p>
            <w:pPr>
              <w:jc w:val="center"/>
              <w:rPr>
                <w:rFonts w:hint="eastAsia"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01" w:type="dxa"/>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8</w:t>
            </w:r>
          </w:p>
        </w:tc>
        <w:tc>
          <w:tcPr>
            <w:tcW w:w="1319" w:type="dxa"/>
            <w:shd w:val="clear" w:color="auto" w:fill="auto"/>
            <w:vAlign w:val="center"/>
          </w:tcPr>
          <w:p>
            <w:pPr>
              <w:jc w:val="center"/>
              <w:rPr>
                <w:rFonts w:hint="default"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电动阀其他零星事项</w:t>
            </w:r>
          </w:p>
        </w:tc>
        <w:tc>
          <w:tcPr>
            <w:tcW w:w="4952" w:type="dxa"/>
            <w:shd w:val="clear" w:color="auto" w:fill="auto"/>
            <w:vAlign w:val="center"/>
          </w:tcPr>
          <w:p>
            <w:pPr>
              <w:jc w:val="left"/>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电动阀</w:t>
            </w:r>
            <w:r>
              <w:rPr>
                <w:rStyle w:val="56"/>
                <w:rFonts w:hint="default" w:asciiTheme="minorEastAsia" w:hAnsiTheme="minorEastAsia" w:eastAsiaTheme="minorEastAsia"/>
              </w:rPr>
              <w:t>支架、保温、油漆等。</w:t>
            </w:r>
          </w:p>
        </w:tc>
        <w:tc>
          <w:tcPr>
            <w:tcW w:w="79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项</w:t>
            </w:r>
          </w:p>
        </w:tc>
        <w:tc>
          <w:tcPr>
            <w:tcW w:w="885" w:type="dxa"/>
            <w:shd w:val="clear" w:color="auto" w:fill="auto"/>
            <w:vAlign w:val="center"/>
          </w:tcPr>
          <w:p>
            <w:pPr>
              <w:jc w:val="center"/>
              <w:rPr>
                <w:rFonts w:hint="eastAsia" w:asciiTheme="minorEastAsia" w:hAnsiTheme="minorEastAsia" w:eastAsiaTheme="minorEastAsia" w:cstheme="minorBidi"/>
                <w:color w:val="000000"/>
                <w:kern w:val="2"/>
                <w:sz w:val="24"/>
                <w:szCs w:val="24"/>
                <w:lang w:val="en-US" w:eastAsia="zh-CN" w:bidi="ar-SA"/>
              </w:rPr>
            </w:pPr>
            <w:r>
              <w:rPr>
                <w:rFonts w:hint="eastAsia" w:asciiTheme="minorEastAsia" w:hAnsiTheme="minorEastAsia" w:eastAsiaTheme="minorEastAsia"/>
                <w:color w:val="000000"/>
                <w:sz w:val="24"/>
                <w:szCs w:val="24"/>
                <w:lang w:val="en-US" w:eastAsia="zh-CN"/>
              </w:rPr>
              <w:t>1</w:t>
            </w:r>
          </w:p>
        </w:tc>
        <w:tc>
          <w:tcPr>
            <w:tcW w:w="870" w:type="dxa"/>
            <w:shd w:val="clear" w:color="auto" w:fill="auto"/>
            <w:vAlign w:val="center"/>
          </w:tcPr>
          <w:p>
            <w:pPr>
              <w:jc w:val="center"/>
              <w:rPr>
                <w:rFonts w:hint="eastAsia" w:asciiTheme="minorEastAsia" w:hAnsiTheme="minorEastAsia" w:eastAsiaTheme="minorEastAsia"/>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01" w:type="dxa"/>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9</w:t>
            </w:r>
          </w:p>
        </w:tc>
        <w:tc>
          <w:tcPr>
            <w:tcW w:w="1319"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自控</w:t>
            </w:r>
            <w:r>
              <w:rPr>
                <w:rFonts w:hint="eastAsia" w:asciiTheme="minorEastAsia" w:hAnsiTheme="minorEastAsia" w:eastAsiaTheme="minorEastAsia"/>
                <w:sz w:val="24"/>
                <w:szCs w:val="24"/>
                <w:lang w:val="en-US" w:eastAsia="zh-CN"/>
              </w:rPr>
              <w:t>线缆</w:t>
            </w:r>
          </w:p>
        </w:tc>
        <w:tc>
          <w:tcPr>
            <w:tcW w:w="4952" w:type="dxa"/>
            <w:shd w:val="clear" w:color="auto" w:fill="auto"/>
            <w:vAlign w:val="center"/>
          </w:tcPr>
          <w:p>
            <w:pPr>
              <w:jc w:val="left"/>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电机自控</w:t>
            </w:r>
            <w:r>
              <w:rPr>
                <w:rFonts w:hint="eastAsia" w:asciiTheme="minorEastAsia" w:hAnsiTheme="minorEastAsia" w:eastAsiaTheme="minorEastAsia"/>
                <w:sz w:val="24"/>
                <w:szCs w:val="24"/>
                <w:lang w:val="en-US" w:eastAsia="zh-CN"/>
              </w:rPr>
              <w:t>线缆</w:t>
            </w:r>
            <w:r>
              <w:rPr>
                <w:rStyle w:val="57"/>
                <w:rFonts w:hint="default" w:asciiTheme="minorEastAsia" w:hAnsiTheme="minorEastAsia" w:eastAsiaTheme="minorEastAsia"/>
              </w:rPr>
              <w:t>，</w:t>
            </w:r>
            <w:r>
              <w:rPr>
                <w:rFonts w:hint="eastAsia" w:asciiTheme="minorEastAsia" w:hAnsiTheme="minorEastAsia" w:eastAsiaTheme="minorEastAsia"/>
                <w:sz w:val="24"/>
                <w:szCs w:val="24"/>
              </w:rPr>
              <w:t>RVSP8*1.0mm，含</w:t>
            </w:r>
            <w:r>
              <w:rPr>
                <w:rFonts w:hint="eastAsia" w:asciiTheme="minorEastAsia" w:hAnsiTheme="minorEastAsia" w:eastAsiaTheme="minorEastAsia"/>
                <w:sz w:val="24"/>
                <w:szCs w:val="24"/>
                <w:lang w:val="en-US" w:eastAsia="zh-CN"/>
              </w:rPr>
              <w:t>套管和</w:t>
            </w:r>
            <w:r>
              <w:rPr>
                <w:rFonts w:hint="eastAsia" w:asciiTheme="minorEastAsia" w:hAnsiTheme="minorEastAsia" w:eastAsiaTheme="minorEastAsia"/>
                <w:sz w:val="24"/>
                <w:szCs w:val="24"/>
              </w:rPr>
              <w:t>安装</w:t>
            </w:r>
          </w:p>
        </w:tc>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m</w:t>
            </w:r>
          </w:p>
        </w:tc>
        <w:tc>
          <w:tcPr>
            <w:tcW w:w="885" w:type="dxa"/>
            <w:shd w:val="clear" w:color="auto" w:fill="auto"/>
            <w:vAlign w:val="center"/>
          </w:tcPr>
          <w:p>
            <w:pPr>
              <w:jc w:val="center"/>
              <w:rPr>
                <w:rFonts w:hint="eastAsia" w:eastAsia="仿宋" w:asciiTheme="minorHAnsi" w:hAnsiTheme="minorHAnsi" w:cstheme="minorBidi"/>
                <w:kern w:val="2"/>
                <w:sz w:val="24"/>
                <w:szCs w:val="22"/>
                <w:lang w:val="en-US" w:eastAsia="zh-CN" w:bidi="ar-SA"/>
              </w:rPr>
            </w:pPr>
            <w:r>
              <w:rPr>
                <w:rFonts w:hint="eastAsia" w:asciiTheme="minorEastAsia" w:hAnsiTheme="minorEastAsia" w:eastAsiaTheme="minorEastAsia"/>
                <w:sz w:val="24"/>
                <w:szCs w:val="24"/>
              </w:rPr>
              <w:t>60m</w:t>
            </w:r>
          </w:p>
        </w:tc>
        <w:tc>
          <w:tcPr>
            <w:tcW w:w="870" w:type="dxa"/>
            <w:shd w:val="clear" w:color="auto" w:fill="auto"/>
            <w:vAlign w:val="center"/>
          </w:tcPr>
          <w:p>
            <w:pPr>
              <w:jc w:val="center"/>
              <w:rPr>
                <w:rFonts w:hint="eastAsia" w:asciiTheme="minorEastAsia" w:hAnsiTheme="minorEastAsia" w:eastAsiaTheme="minorEastAsia"/>
                <w:sz w:val="24"/>
                <w:szCs w:val="24"/>
              </w:rPr>
            </w:pPr>
            <w:r>
              <w:rPr>
                <w:rFonts w:hint="eastAsia"/>
                <w:color w:val="000000" w:themeColor="text1"/>
                <w:sz w:val="24"/>
                <w:lang w:val="en-US" w:eastAsia="zh-CN"/>
                <w14:textFill>
                  <w14:solidFill>
                    <w14:schemeClr w14:val="tx1"/>
                  </w14:solidFill>
                </w14:textFill>
              </w:rPr>
              <w:t>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01" w:type="dxa"/>
            <w:shd w:val="clear" w:color="auto" w:fill="auto"/>
            <w:vAlign w:val="center"/>
          </w:tcPr>
          <w:p>
            <w:pPr>
              <w:jc w:val="center"/>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val="en-US" w:eastAsia="zh-CN"/>
              </w:rPr>
              <w:t>10</w:t>
            </w:r>
          </w:p>
        </w:tc>
        <w:tc>
          <w:tcPr>
            <w:tcW w:w="1319"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电缆</w:t>
            </w:r>
          </w:p>
        </w:tc>
        <w:tc>
          <w:tcPr>
            <w:tcW w:w="4952" w:type="dxa"/>
            <w:shd w:val="clear" w:color="auto" w:fill="auto"/>
            <w:vAlign w:val="center"/>
          </w:tcPr>
          <w:p>
            <w:pPr>
              <w:jc w:val="left"/>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电缆接线</w:t>
            </w:r>
            <w:r>
              <w:rPr>
                <w:rFonts w:hint="eastAsia" w:asciiTheme="minorEastAsia" w:hAnsiTheme="minorEastAsia" w:eastAsiaTheme="minorEastAsia"/>
                <w:sz w:val="24"/>
                <w:szCs w:val="24"/>
                <w:lang w:val="en-US" w:eastAsia="zh-CN"/>
              </w:rPr>
              <w:t>,</w:t>
            </w:r>
            <w:r>
              <w:rPr>
                <w:rFonts w:hint="eastAsia" w:asciiTheme="minorEastAsia" w:hAnsiTheme="minorEastAsia" w:eastAsiaTheme="minorEastAsia"/>
                <w:sz w:val="24"/>
                <w:szCs w:val="24"/>
              </w:rPr>
              <w:t>新增</w:t>
            </w:r>
            <w:r>
              <w:rPr>
                <w:rStyle w:val="57"/>
                <w:rFonts w:hint="default" w:asciiTheme="minorEastAsia" w:hAnsiTheme="minorEastAsia" w:eastAsiaTheme="minorEastAsia"/>
              </w:rPr>
              <w:t>ZR-YJV5*2.5mm，</w:t>
            </w:r>
            <w:r>
              <w:rPr>
                <w:rFonts w:hint="eastAsia" w:asciiTheme="minorEastAsia" w:hAnsiTheme="minorEastAsia" w:eastAsiaTheme="minorEastAsia"/>
                <w:sz w:val="24"/>
                <w:szCs w:val="24"/>
              </w:rPr>
              <w:t>含</w:t>
            </w:r>
            <w:r>
              <w:rPr>
                <w:rFonts w:hint="eastAsia" w:asciiTheme="minorEastAsia" w:hAnsiTheme="minorEastAsia" w:eastAsiaTheme="minorEastAsia"/>
                <w:sz w:val="24"/>
                <w:szCs w:val="24"/>
                <w:lang w:val="en-US" w:eastAsia="zh-CN"/>
              </w:rPr>
              <w:t>套管和</w:t>
            </w:r>
            <w:r>
              <w:rPr>
                <w:rFonts w:hint="eastAsia" w:asciiTheme="minorEastAsia" w:hAnsiTheme="minorEastAsia" w:eastAsiaTheme="minorEastAsia"/>
                <w:sz w:val="24"/>
                <w:szCs w:val="24"/>
              </w:rPr>
              <w:t>安装</w:t>
            </w:r>
          </w:p>
        </w:tc>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m</w:t>
            </w:r>
          </w:p>
        </w:tc>
        <w:tc>
          <w:tcPr>
            <w:tcW w:w="885" w:type="dxa"/>
            <w:shd w:val="clear" w:color="auto" w:fill="auto"/>
            <w:vAlign w:val="center"/>
          </w:tcPr>
          <w:p>
            <w:pPr>
              <w:jc w:val="center"/>
              <w:rPr>
                <w:rFonts w:hint="eastAsia" w:eastAsia="仿宋" w:asciiTheme="minorHAnsi" w:hAnsiTheme="minorHAnsi" w:cstheme="minorBidi"/>
                <w:kern w:val="2"/>
                <w:sz w:val="24"/>
                <w:szCs w:val="22"/>
                <w:lang w:val="en-US" w:eastAsia="zh-CN" w:bidi="ar-SA"/>
              </w:rPr>
            </w:pPr>
            <w:r>
              <w:rPr>
                <w:rFonts w:hint="eastAsia" w:asciiTheme="minorEastAsia" w:hAnsiTheme="minorEastAsia" w:eastAsiaTheme="minorEastAsia"/>
                <w:sz w:val="24"/>
                <w:szCs w:val="24"/>
                <w:lang w:val="en-US" w:eastAsia="zh-CN"/>
              </w:rPr>
              <w:t>4</w:t>
            </w:r>
            <w:r>
              <w:rPr>
                <w:rFonts w:hint="eastAsia" w:asciiTheme="minorEastAsia" w:hAnsiTheme="minorEastAsia" w:eastAsiaTheme="minorEastAsia"/>
                <w:sz w:val="24"/>
                <w:szCs w:val="24"/>
              </w:rPr>
              <w:t>0m</w:t>
            </w:r>
          </w:p>
        </w:tc>
        <w:tc>
          <w:tcPr>
            <w:tcW w:w="870"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color w:val="000000" w:themeColor="text1"/>
                <w:sz w:val="24"/>
                <w:lang w:val="en-US" w:eastAsia="zh-CN"/>
                <w14:textFill>
                  <w14:solidFill>
                    <w14:schemeClr w14:val="tx1"/>
                  </w14:solidFill>
                </w14:textFill>
              </w:rPr>
              <w:t>按实结算</w:t>
            </w:r>
          </w:p>
        </w:tc>
      </w:tr>
    </w:tbl>
    <w:p>
      <w:pPr>
        <w:numPr>
          <w:ilvl w:val="0"/>
          <w:numId w:val="0"/>
        </w:numPr>
        <w:bidi w:val="0"/>
        <w:jc w:val="left"/>
        <w:rPr>
          <w:rFonts w:hint="eastAsia"/>
          <w:b/>
          <w:bCs/>
          <w:sz w:val="32"/>
          <w:szCs w:val="32"/>
          <w:lang w:val="en-US" w:eastAsia="zh-CN"/>
        </w:rPr>
      </w:pPr>
    </w:p>
    <w:p>
      <w:pPr>
        <w:numPr>
          <w:ilvl w:val="0"/>
          <w:numId w:val="0"/>
        </w:numPr>
        <w:bidi w:val="0"/>
        <w:jc w:val="left"/>
        <w:rPr>
          <w:rFonts w:hint="default"/>
          <w:b/>
          <w:bCs/>
          <w:sz w:val="32"/>
          <w:szCs w:val="32"/>
          <w:lang w:val="en-US" w:eastAsia="zh-CN"/>
        </w:rPr>
      </w:pPr>
      <w:r>
        <w:rPr>
          <w:rFonts w:hint="eastAsia"/>
          <w:b/>
          <w:bCs/>
          <w:sz w:val="32"/>
          <w:szCs w:val="32"/>
          <w:lang w:val="en-US" w:eastAsia="zh-CN"/>
        </w:rPr>
        <w:t>2、乙二醇泵更换工作量清单</w:t>
      </w:r>
    </w:p>
    <w:tbl>
      <w:tblPr>
        <w:tblStyle w:val="28"/>
        <w:tblW w:w="945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50"/>
        <w:gridCol w:w="3855"/>
        <w:gridCol w:w="795"/>
        <w:gridCol w:w="840"/>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widowControl/>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项目名称</w:t>
            </w:r>
          </w:p>
        </w:tc>
        <w:tc>
          <w:tcPr>
            <w:tcW w:w="385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项目内容</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单位</w:t>
            </w:r>
          </w:p>
        </w:tc>
        <w:tc>
          <w:tcPr>
            <w:tcW w:w="84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数量</w:t>
            </w:r>
          </w:p>
        </w:tc>
        <w:tc>
          <w:tcPr>
            <w:tcW w:w="1815"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widowControl/>
              <w:jc w:val="center"/>
              <w:rPr>
                <w:rFonts w:asciiTheme="minorEastAsia" w:hAnsiTheme="minorEastAsia" w:eastAsiaTheme="minorEastAsia"/>
                <w:kern w:val="0"/>
                <w:sz w:val="24"/>
                <w:szCs w:val="24"/>
              </w:rPr>
            </w:pPr>
            <w:r>
              <w:rPr>
                <w:rFonts w:hint="eastAsia" w:asciiTheme="minorEastAsia" w:hAnsiTheme="minorEastAsia" w:eastAsiaTheme="minorEastAsia"/>
                <w:sz w:val="24"/>
                <w:szCs w:val="24"/>
              </w:rPr>
              <w:t>1</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水泵及电机拆除</w:t>
            </w:r>
          </w:p>
        </w:tc>
        <w:tc>
          <w:tcPr>
            <w:tcW w:w="3855" w:type="dxa"/>
            <w:shd w:val="clear" w:color="auto" w:fill="auto"/>
            <w:vAlign w:val="center"/>
          </w:tcPr>
          <w:p>
            <w:pPr>
              <w:jc w:val="left"/>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旧水泵及电机保护性拆除，放置于指定位置（第四冷站仓库）</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旧水泵参数：威乐ASP300A-110/4（1103m3/h，27.5m，进口DN350，出口DN300）</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台</w:t>
            </w:r>
          </w:p>
        </w:tc>
        <w:tc>
          <w:tcPr>
            <w:tcW w:w="840" w:type="dxa"/>
            <w:shd w:val="clear" w:color="auto" w:fill="auto"/>
            <w:vAlign w:val="center"/>
          </w:tcPr>
          <w:p>
            <w:pPr>
              <w:widowControl/>
              <w:jc w:val="center"/>
              <w:rPr>
                <w:rFonts w:eastAsia="宋体"/>
                <w:kern w:val="0"/>
                <w:sz w:val="24"/>
                <w:szCs w:val="24"/>
              </w:rPr>
            </w:pPr>
            <w:r>
              <w:rPr>
                <w:rFonts w:hint="eastAsia"/>
                <w:sz w:val="24"/>
              </w:rPr>
              <w:t>6</w:t>
            </w:r>
          </w:p>
        </w:tc>
        <w:tc>
          <w:tcPr>
            <w:tcW w:w="1815" w:type="dxa"/>
            <w:shd w:val="clear" w:color="auto" w:fill="auto"/>
            <w:vAlign w:val="center"/>
          </w:tcPr>
          <w:p>
            <w:pPr>
              <w:jc w:val="center"/>
              <w:rPr>
                <w:rFonts w:hint="default"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350"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拆除阀门</w:t>
            </w:r>
            <w:r>
              <w:rPr>
                <w:rFonts w:hint="eastAsia" w:asciiTheme="minorEastAsia" w:hAnsiTheme="minorEastAsia" w:eastAsiaTheme="minorEastAsia"/>
                <w:sz w:val="24"/>
                <w:szCs w:val="24"/>
                <w:lang w:val="en-US" w:eastAsia="zh-CN"/>
              </w:rPr>
              <w:t>等</w:t>
            </w:r>
          </w:p>
        </w:tc>
        <w:tc>
          <w:tcPr>
            <w:tcW w:w="385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旧止回阀、过滤器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金属软连接等保护性拆除，放置于指定位置（第四冷站仓库）</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DN400</w:t>
            </w:r>
          </w:p>
        </w:tc>
        <w:tc>
          <w:tcPr>
            <w:tcW w:w="795" w:type="dxa"/>
            <w:shd w:val="clear" w:color="auto" w:fill="auto"/>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组</w:t>
            </w:r>
          </w:p>
        </w:tc>
        <w:tc>
          <w:tcPr>
            <w:tcW w:w="840" w:type="dxa"/>
            <w:shd w:val="clear" w:color="auto" w:fill="auto"/>
            <w:vAlign w:val="center"/>
          </w:tcPr>
          <w:p>
            <w:pPr>
              <w:jc w:val="center"/>
              <w:rPr>
                <w:rFonts w:hint="eastAsia" w:eastAsia="仿宋"/>
                <w:sz w:val="24"/>
                <w:lang w:eastAsia="zh-CN"/>
              </w:rPr>
            </w:pPr>
            <w:r>
              <w:rPr>
                <w:rFonts w:hint="eastAsia"/>
                <w:sz w:val="24"/>
                <w:lang w:val="en-US" w:eastAsia="zh-CN"/>
              </w:rPr>
              <w:t>6</w:t>
            </w:r>
          </w:p>
        </w:tc>
        <w:tc>
          <w:tcPr>
            <w:tcW w:w="1815" w:type="dxa"/>
            <w:shd w:val="clear" w:color="auto" w:fill="auto"/>
            <w:vAlign w:val="center"/>
          </w:tcPr>
          <w:p>
            <w:pPr>
              <w:jc w:val="center"/>
              <w:rPr>
                <w:rFonts w:hint="default" w:eastAsiaTheme="minorEastAsia"/>
                <w:sz w:val="24"/>
                <w:lang w:val="en-US" w:eastAsia="zh-CN"/>
              </w:rPr>
            </w:pPr>
            <w:r>
              <w:rPr>
                <w:rFonts w:hint="eastAsia"/>
                <w:sz w:val="24"/>
                <w:lang w:val="en-US" w:eastAsia="zh-CN"/>
              </w:rPr>
              <w:t>6个</w:t>
            </w:r>
            <w:r>
              <w:rPr>
                <w:rFonts w:hint="eastAsia" w:asciiTheme="minorEastAsia" w:hAnsiTheme="minorEastAsia" w:eastAsiaTheme="minorEastAsia"/>
                <w:sz w:val="24"/>
                <w:szCs w:val="24"/>
              </w:rPr>
              <w:t>止回阀</w:t>
            </w:r>
            <w:r>
              <w:rPr>
                <w:rFonts w:hint="eastAsia" w:asciiTheme="minorEastAsia" w:hAnsiTheme="minorEastAsia" w:eastAsiaTheme="minorEastAsia"/>
                <w:sz w:val="24"/>
                <w:szCs w:val="24"/>
                <w:lang w:val="en-US" w:eastAsia="zh-CN"/>
              </w:rPr>
              <w:t>+6个</w:t>
            </w:r>
            <w:r>
              <w:rPr>
                <w:rFonts w:hint="eastAsia" w:asciiTheme="minorEastAsia" w:hAnsiTheme="minorEastAsia" w:eastAsiaTheme="minorEastAsia"/>
                <w:sz w:val="24"/>
                <w:szCs w:val="24"/>
              </w:rPr>
              <w:t>过滤器</w:t>
            </w:r>
            <w:r>
              <w:rPr>
                <w:rFonts w:hint="eastAsia" w:asciiTheme="minorEastAsia" w:hAnsiTheme="minorEastAsia" w:eastAsiaTheme="minorEastAsia"/>
                <w:sz w:val="24"/>
                <w:szCs w:val="24"/>
                <w:lang w:val="en-US" w:eastAsia="zh-CN"/>
              </w:rPr>
              <w:t>+附属废弃管道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水泵及电机安装</w:t>
            </w:r>
          </w:p>
        </w:tc>
        <w:tc>
          <w:tcPr>
            <w:tcW w:w="385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Q=1103m3/h，H=27.5m，电机功率1</w:t>
            </w:r>
            <w:r>
              <w:rPr>
                <w:rFonts w:asciiTheme="minorEastAsia" w:hAnsiTheme="minorEastAsia" w:eastAsiaTheme="minorEastAsia"/>
                <w:sz w:val="24"/>
                <w:szCs w:val="24"/>
              </w:rPr>
              <w:t>10</w:t>
            </w:r>
            <w:r>
              <w:rPr>
                <w:rFonts w:hint="eastAsia" w:asciiTheme="minorEastAsia" w:hAnsiTheme="minorEastAsia" w:eastAsiaTheme="minorEastAsia"/>
                <w:sz w:val="24"/>
                <w:szCs w:val="24"/>
              </w:rPr>
              <w:t>kW</w:t>
            </w:r>
            <w:r>
              <w:rPr>
                <w:rStyle w:val="56"/>
                <w:rFonts w:hint="default" w:asciiTheme="minorEastAsia" w:hAnsiTheme="minorEastAsia" w:eastAsiaTheme="minorEastAsia"/>
                <w:color w:val="auto"/>
              </w:rPr>
              <w:t>，新水泵电机安装于现有混凝土基座上，含法兰垫片安装、钢结构基础（如需）</w:t>
            </w:r>
            <w:r>
              <w:rPr>
                <w:rStyle w:val="56"/>
                <w:rFonts w:hint="eastAsia" w:asciiTheme="minorEastAsia" w:hAnsiTheme="minorEastAsia" w:eastAsiaTheme="minorEastAsia"/>
                <w:color w:val="auto"/>
                <w:lang w:eastAsia="zh-CN"/>
              </w:rPr>
              <w:t>，</w:t>
            </w:r>
            <w:r>
              <w:rPr>
                <w:rStyle w:val="56"/>
                <w:rFonts w:hint="eastAsia" w:asciiTheme="minorEastAsia" w:hAnsiTheme="minorEastAsia" w:eastAsiaTheme="minorEastAsia"/>
                <w:color w:val="auto"/>
                <w:lang w:val="en-US" w:eastAsia="zh-CN"/>
              </w:rPr>
              <w:t>注意安装措施费</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台</w:t>
            </w:r>
          </w:p>
        </w:tc>
        <w:tc>
          <w:tcPr>
            <w:tcW w:w="840" w:type="dxa"/>
            <w:shd w:val="clear" w:color="auto" w:fill="auto"/>
            <w:vAlign w:val="center"/>
          </w:tcPr>
          <w:p>
            <w:pPr>
              <w:jc w:val="center"/>
              <w:rPr>
                <w:sz w:val="24"/>
              </w:rPr>
            </w:pPr>
            <w:r>
              <w:rPr>
                <w:rFonts w:hint="eastAsia"/>
                <w:sz w:val="24"/>
              </w:rPr>
              <w:t>6</w:t>
            </w:r>
          </w:p>
        </w:tc>
        <w:tc>
          <w:tcPr>
            <w:tcW w:w="1815" w:type="dxa"/>
            <w:shd w:val="clear" w:color="auto" w:fill="auto"/>
            <w:vAlign w:val="center"/>
          </w:tcPr>
          <w:p>
            <w:pPr>
              <w:jc w:val="center"/>
              <w:rPr>
                <w:rFonts w:hint="default" w:eastAsiaTheme="minorEastAsia"/>
                <w:sz w:val="24"/>
                <w:lang w:val="en-US" w:eastAsia="zh-CN"/>
              </w:rPr>
            </w:pPr>
            <w:r>
              <w:rPr>
                <w:rStyle w:val="56"/>
                <w:rFonts w:hint="eastAsia" w:asciiTheme="minorEastAsia" w:hAnsiTheme="minorEastAsia" w:eastAsiaTheme="minorEastAsia"/>
                <w:color w:val="auto"/>
                <w:lang w:val="en-US" w:eastAsia="zh-CN"/>
              </w:rPr>
              <w:t>充分勘察已有</w:t>
            </w:r>
            <w:r>
              <w:rPr>
                <w:rStyle w:val="56"/>
                <w:rFonts w:hint="default" w:asciiTheme="minorEastAsia" w:hAnsiTheme="minorEastAsia" w:eastAsiaTheme="minorEastAsia"/>
                <w:color w:val="auto"/>
              </w:rPr>
              <w:t>钢结构基础</w:t>
            </w:r>
            <w:r>
              <w:rPr>
                <w:rStyle w:val="56"/>
                <w:rFonts w:hint="eastAsia" w:asciiTheme="minorEastAsia" w:hAnsiTheme="minorEastAsia" w:eastAsiaTheme="minorEastAsia"/>
                <w:color w:val="auto"/>
                <w:lang w:eastAsia="zh-CN"/>
              </w:rPr>
              <w:t>，</w:t>
            </w:r>
            <w:r>
              <w:rPr>
                <w:rStyle w:val="56"/>
                <w:rFonts w:hint="eastAsia" w:asciiTheme="minorEastAsia" w:hAnsiTheme="minorEastAsia" w:eastAsiaTheme="minorEastAsia"/>
                <w:color w:val="auto"/>
                <w:lang w:val="en-US" w:eastAsia="zh-CN"/>
              </w:rPr>
              <w:t>如有锈蚀需除锈防腐、必要时进行更换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4</w:t>
            </w:r>
          </w:p>
        </w:tc>
        <w:tc>
          <w:tcPr>
            <w:tcW w:w="1350"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设备吊装</w:t>
            </w:r>
          </w:p>
        </w:tc>
        <w:tc>
          <w:tcPr>
            <w:tcW w:w="385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新旧水泵、电机、</w:t>
            </w:r>
            <w:r>
              <w:rPr>
                <w:rFonts w:hint="eastAsia" w:asciiTheme="minorEastAsia" w:hAnsiTheme="minorEastAsia" w:eastAsiaTheme="minorEastAsia"/>
                <w:sz w:val="24"/>
                <w:szCs w:val="24"/>
              </w:rPr>
              <w:t>阀门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管道、弯头等管道和设备在拆除和安装时的吊装，设备和管道从室外吊装至室内和室内吊装至室外</w:t>
            </w:r>
          </w:p>
        </w:tc>
        <w:tc>
          <w:tcPr>
            <w:tcW w:w="795"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项</w:t>
            </w:r>
          </w:p>
        </w:tc>
        <w:tc>
          <w:tcPr>
            <w:tcW w:w="840" w:type="dxa"/>
            <w:shd w:val="clear" w:color="auto" w:fill="auto"/>
            <w:vAlign w:val="center"/>
          </w:tcPr>
          <w:p>
            <w:pPr>
              <w:jc w:val="center"/>
              <w:rPr>
                <w:rFonts w:hint="eastAsia" w:eastAsia="仿宋"/>
                <w:sz w:val="24"/>
                <w:lang w:val="en-US" w:eastAsia="zh-CN"/>
              </w:rPr>
            </w:pPr>
            <w:r>
              <w:rPr>
                <w:rFonts w:hint="eastAsia"/>
                <w:sz w:val="24"/>
                <w:lang w:val="en-US" w:eastAsia="zh-CN"/>
              </w:rPr>
              <w:t>1</w:t>
            </w:r>
          </w:p>
        </w:tc>
        <w:tc>
          <w:tcPr>
            <w:tcW w:w="1815" w:type="dxa"/>
            <w:shd w:val="clear" w:color="auto" w:fill="auto"/>
            <w:vAlign w:val="center"/>
          </w:tcPr>
          <w:p>
            <w:pPr>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5</w:t>
            </w:r>
          </w:p>
        </w:tc>
        <w:tc>
          <w:tcPr>
            <w:tcW w:w="1350"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二层主机层地面保护</w:t>
            </w:r>
          </w:p>
        </w:tc>
        <w:tc>
          <w:tcPr>
            <w:tcW w:w="385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设备运输和施工过程中，地面保护措施</w:t>
            </w:r>
          </w:p>
        </w:tc>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项</w:t>
            </w:r>
          </w:p>
        </w:tc>
        <w:tc>
          <w:tcPr>
            <w:tcW w:w="840" w:type="dxa"/>
            <w:shd w:val="clear" w:color="auto" w:fill="auto"/>
            <w:vAlign w:val="center"/>
          </w:tcPr>
          <w:p>
            <w:pPr>
              <w:jc w:val="center"/>
              <w:rPr>
                <w:rFonts w:hint="eastAsia" w:eastAsia="仿宋" w:asciiTheme="minorHAnsi" w:hAnsiTheme="minorHAnsi" w:cstheme="minorBidi"/>
                <w:kern w:val="2"/>
                <w:sz w:val="24"/>
                <w:szCs w:val="22"/>
                <w:lang w:val="en-US" w:eastAsia="zh-CN" w:bidi="ar-SA"/>
              </w:rPr>
            </w:pPr>
            <w:r>
              <w:rPr>
                <w:rFonts w:hint="eastAsia"/>
                <w:sz w:val="24"/>
                <w:lang w:val="en-US" w:eastAsia="zh-CN"/>
              </w:rPr>
              <w:t>1</w:t>
            </w:r>
          </w:p>
        </w:tc>
        <w:tc>
          <w:tcPr>
            <w:tcW w:w="1815" w:type="dxa"/>
            <w:shd w:val="clear" w:color="auto" w:fill="auto"/>
            <w:vAlign w:val="center"/>
          </w:tcPr>
          <w:p>
            <w:pPr>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6</w:t>
            </w:r>
          </w:p>
        </w:tc>
        <w:tc>
          <w:tcPr>
            <w:tcW w:w="1350" w:type="dxa"/>
            <w:shd w:val="clear" w:color="auto" w:fill="auto"/>
            <w:vAlign w:val="center"/>
          </w:tcPr>
          <w:p>
            <w:pPr>
              <w:jc w:val="center"/>
              <w:rPr>
                <w:rFonts w:hint="default" w:asciiTheme="minorEastAsia" w:hAnsiTheme="minorEastAsia" w:eastAsia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主</w:t>
            </w:r>
            <w:r>
              <w:rPr>
                <w:rFonts w:hint="eastAsia" w:asciiTheme="minorEastAsia" w:hAnsiTheme="minorEastAsia" w:eastAsiaTheme="minorEastAsia"/>
                <w:color w:val="000000" w:themeColor="text1"/>
                <w:sz w:val="24"/>
                <w:szCs w:val="24"/>
                <w14:textFill>
                  <w14:solidFill>
                    <w14:schemeClr w14:val="tx1"/>
                  </w14:solidFill>
                </w14:textFill>
              </w:rPr>
              <w:t>管道</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利旧安装</w:t>
            </w:r>
          </w:p>
        </w:tc>
        <w:tc>
          <w:tcPr>
            <w:tcW w:w="3855"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DN400，</w:t>
            </w:r>
            <w:r>
              <w:rPr>
                <w:rStyle w:val="57"/>
                <w:rFonts w:hint="default" w:asciiTheme="minorEastAsia" w:hAnsiTheme="minorEastAsia" w:eastAsiaTheme="minorEastAsia"/>
                <w:color w:val="000000" w:themeColor="text1"/>
                <w14:textFill>
                  <w14:solidFill>
                    <w14:schemeClr w14:val="tx1"/>
                  </w14:solidFill>
                </w14:textFill>
              </w:rPr>
              <w:t>螺旋焊缝钢管,含弯头、支架、彩壳等，含安装</w:t>
            </w:r>
          </w:p>
        </w:tc>
        <w:tc>
          <w:tcPr>
            <w:tcW w:w="795"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m</w:t>
            </w:r>
          </w:p>
        </w:tc>
        <w:tc>
          <w:tcPr>
            <w:tcW w:w="840" w:type="dxa"/>
            <w:shd w:val="clear" w:color="auto" w:fill="auto"/>
            <w:vAlign w:val="center"/>
          </w:tcPr>
          <w:p>
            <w:pPr>
              <w:jc w:val="center"/>
              <w:rPr>
                <w:rFonts w:hint="default" w:eastAsia="仿宋"/>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24</w:t>
            </w:r>
          </w:p>
        </w:tc>
        <w:tc>
          <w:tcPr>
            <w:tcW w:w="1815" w:type="dxa"/>
            <w:shd w:val="clear" w:color="auto" w:fill="auto"/>
            <w:vAlign w:val="center"/>
          </w:tcPr>
          <w:p>
            <w:pPr>
              <w:jc w:val="center"/>
              <w:rPr>
                <w:rFonts w:hint="default" w:eastAsia="仿宋"/>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7</w:t>
            </w:r>
          </w:p>
        </w:tc>
        <w:tc>
          <w:tcPr>
            <w:tcW w:w="1350" w:type="dxa"/>
            <w:shd w:val="clear" w:color="auto" w:fill="auto"/>
            <w:vAlign w:val="center"/>
          </w:tcPr>
          <w:p>
            <w:pPr>
              <w:jc w:val="center"/>
              <w:rPr>
                <w:rFonts w:hint="default" w:asciiTheme="minorEastAsia" w:hAnsiTheme="minorEastAsia"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主</w:t>
            </w:r>
            <w:r>
              <w:rPr>
                <w:rFonts w:hint="eastAsia" w:asciiTheme="minorEastAsia" w:hAnsiTheme="minorEastAsia" w:eastAsiaTheme="minorEastAsia"/>
                <w:color w:val="000000" w:themeColor="text1"/>
                <w:sz w:val="24"/>
                <w:szCs w:val="24"/>
                <w14:textFill>
                  <w14:solidFill>
                    <w14:schemeClr w14:val="tx1"/>
                  </w14:solidFill>
                </w14:textFill>
              </w:rPr>
              <w:t>管道</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新管安装</w:t>
            </w:r>
          </w:p>
        </w:tc>
        <w:tc>
          <w:tcPr>
            <w:tcW w:w="3855" w:type="dxa"/>
            <w:shd w:val="clear" w:color="auto" w:fill="auto"/>
            <w:vAlign w:val="center"/>
          </w:tcPr>
          <w:p>
            <w:pPr>
              <w:jc w:val="left"/>
              <w:rPr>
                <w:rFonts w:hint="default" w:asciiTheme="minorEastAsia" w:hAnsiTheme="minorEastAsia" w:eastAsiaTheme="minorEastAsia" w:cstheme="minorBidi"/>
                <w:color w:val="000000" w:themeColor="text1"/>
                <w:kern w:val="2"/>
                <w:sz w:val="24"/>
                <w:szCs w:val="24"/>
                <w:lang w:val="en-US" w:eastAsia="zh-CN" w:bidi="ar-SA"/>
                <w14:textFill>
                  <w14:solidFill>
                    <w14:schemeClr w14:val="tx1"/>
                  </w14:solidFill>
                </w14:textFill>
              </w:rPr>
            </w:pPr>
            <w:r>
              <w:rPr>
                <w:rStyle w:val="57"/>
                <w:rFonts w:hint="eastAsia" w:asciiTheme="minorEastAsia" w:hAnsiTheme="minorEastAsia" w:eastAsiaTheme="minorEastAsia"/>
                <w:color w:val="000000" w:themeColor="text1"/>
                <w:lang w:val="en-US" w:eastAsia="zh-CN"/>
                <w14:textFill>
                  <w14:solidFill>
                    <w14:schemeClr w14:val="tx1"/>
                  </w14:solidFill>
                </w14:textFill>
              </w:rPr>
              <w:t>主管道利旧不够的情况下，采用新管道。</w:t>
            </w:r>
            <w:r>
              <w:rPr>
                <w:rFonts w:hint="eastAsia" w:asciiTheme="minorEastAsia" w:hAnsiTheme="minorEastAsia" w:eastAsiaTheme="minorEastAsia"/>
                <w:color w:val="000000" w:themeColor="text1"/>
                <w:sz w:val="24"/>
                <w:szCs w:val="24"/>
                <w14:textFill>
                  <w14:solidFill>
                    <w14:schemeClr w14:val="tx1"/>
                  </w14:solidFill>
                </w14:textFill>
              </w:rPr>
              <w:t>DN400，</w:t>
            </w:r>
            <w:r>
              <w:rPr>
                <w:rStyle w:val="57"/>
                <w:rFonts w:hint="default" w:asciiTheme="minorEastAsia" w:hAnsiTheme="minorEastAsia" w:eastAsiaTheme="minorEastAsia"/>
                <w:color w:val="000000" w:themeColor="text1"/>
                <w14:textFill>
                  <w14:solidFill>
                    <w14:schemeClr w14:val="tx1"/>
                  </w14:solidFill>
                </w14:textFill>
              </w:rPr>
              <w:t>螺旋焊缝钢管,含弯头、支架、彩壳等，含安装</w:t>
            </w:r>
          </w:p>
        </w:tc>
        <w:tc>
          <w:tcPr>
            <w:tcW w:w="795" w:type="dxa"/>
            <w:shd w:val="clear" w:color="auto" w:fill="auto"/>
            <w:vAlign w:val="center"/>
          </w:tcPr>
          <w:p>
            <w:pPr>
              <w:jc w:val="center"/>
              <w:rPr>
                <w:rFonts w:hint="eastAsia" w:asciiTheme="minorEastAsia" w:hAnsiTheme="minorEastAsia"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m</w:t>
            </w:r>
          </w:p>
        </w:tc>
        <w:tc>
          <w:tcPr>
            <w:tcW w:w="840" w:type="dxa"/>
            <w:shd w:val="clear" w:color="auto" w:fill="auto"/>
            <w:vAlign w:val="center"/>
          </w:tcPr>
          <w:p>
            <w:pPr>
              <w:jc w:val="center"/>
              <w:rPr>
                <w:rFonts w:hint="default" w:eastAsia="仿宋" w:asciiTheme="minorHAnsi" w:hAnsiTheme="minorHAnsi" w:cstheme="minorBidi"/>
                <w:color w:val="000000" w:themeColor="text1"/>
                <w:kern w:val="2"/>
                <w:sz w:val="24"/>
                <w:szCs w:val="22"/>
                <w:lang w:val="en-US" w:eastAsia="zh-CN" w:bidi="ar-SA"/>
                <w14:textFill>
                  <w14:solidFill>
                    <w14:schemeClr w14:val="tx1"/>
                  </w14:solidFill>
                </w14:textFill>
              </w:rPr>
            </w:pPr>
            <w:r>
              <w:rPr>
                <w:rFonts w:hint="eastAsia"/>
                <w:color w:val="000000" w:themeColor="text1"/>
                <w:sz w:val="24"/>
                <w:lang w:val="en-US" w:eastAsia="zh-CN"/>
                <w14:textFill>
                  <w14:solidFill>
                    <w14:schemeClr w14:val="tx1"/>
                  </w14:solidFill>
                </w14:textFill>
              </w:rPr>
              <w:t>6</w:t>
            </w:r>
          </w:p>
        </w:tc>
        <w:tc>
          <w:tcPr>
            <w:tcW w:w="1815" w:type="dxa"/>
            <w:shd w:val="clear" w:color="auto" w:fill="auto"/>
            <w:vAlign w:val="center"/>
          </w:tcPr>
          <w:p>
            <w:pPr>
              <w:jc w:val="center"/>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8</w:t>
            </w:r>
          </w:p>
        </w:tc>
        <w:tc>
          <w:tcPr>
            <w:tcW w:w="1350"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管道</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防腐（</w:t>
            </w:r>
            <w:r>
              <w:rPr>
                <w:rFonts w:hint="eastAsia" w:asciiTheme="minorEastAsia" w:hAnsiTheme="minorEastAsia" w:eastAsiaTheme="minorEastAsia"/>
                <w:color w:val="000000" w:themeColor="text1"/>
                <w:sz w:val="24"/>
                <w:szCs w:val="24"/>
                <w14:textFill>
                  <w14:solidFill>
                    <w14:schemeClr w14:val="tx1"/>
                  </w14:solidFill>
                </w14:textFill>
              </w:rPr>
              <w:t>油漆</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w:t>
            </w:r>
          </w:p>
        </w:tc>
        <w:tc>
          <w:tcPr>
            <w:tcW w:w="3855"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除锈后</w:t>
            </w:r>
            <w:r>
              <w:rPr>
                <w:rFonts w:hint="eastAsia" w:asciiTheme="minorEastAsia" w:hAnsiTheme="minorEastAsia" w:eastAsiaTheme="minorEastAsia"/>
                <w:color w:val="000000" w:themeColor="text1"/>
                <w:sz w:val="24"/>
                <w:szCs w:val="24"/>
                <w14:textFill>
                  <w14:solidFill>
                    <w14:schemeClr w14:val="tx1"/>
                  </w14:solidFill>
                </w14:textFill>
              </w:rPr>
              <w:t>两底一面</w:t>
            </w:r>
          </w:p>
        </w:tc>
        <w:tc>
          <w:tcPr>
            <w:tcW w:w="795"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m2</w:t>
            </w:r>
          </w:p>
        </w:tc>
        <w:tc>
          <w:tcPr>
            <w:tcW w:w="840" w:type="dxa"/>
            <w:shd w:val="clear" w:color="auto" w:fill="auto"/>
            <w:vAlign w:val="center"/>
          </w:tcPr>
          <w:p>
            <w:pPr>
              <w:jc w:val="center"/>
              <w:rPr>
                <w:rFonts w:hint="default" w:eastAsia="仿宋"/>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30</w:t>
            </w:r>
          </w:p>
        </w:tc>
        <w:tc>
          <w:tcPr>
            <w:tcW w:w="1815" w:type="dxa"/>
            <w:shd w:val="clear" w:color="auto" w:fill="auto"/>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9</w:t>
            </w:r>
          </w:p>
        </w:tc>
        <w:tc>
          <w:tcPr>
            <w:tcW w:w="1350" w:type="dxa"/>
            <w:shd w:val="clear" w:color="auto" w:fill="auto"/>
            <w:vAlign w:val="center"/>
          </w:tcPr>
          <w:p>
            <w:pPr>
              <w:jc w:val="center"/>
              <w:rPr>
                <w:rFonts w:hint="default" w:asciiTheme="minorEastAsia" w:hAnsiTheme="minorEastAsia" w:eastAsia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旧金属软管拆除后再次安装</w:t>
            </w:r>
          </w:p>
        </w:tc>
        <w:tc>
          <w:tcPr>
            <w:tcW w:w="3855" w:type="dxa"/>
            <w:shd w:val="clear" w:color="auto" w:fill="auto"/>
            <w:vAlign w:val="center"/>
          </w:tcPr>
          <w:p>
            <w:pPr>
              <w:jc w:val="center"/>
              <w:rPr>
                <w:rFonts w:hint="default" w:asciiTheme="minorEastAsia" w:hAnsiTheme="minorEastAsia"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旧</w:t>
            </w:r>
            <w:r>
              <w:rPr>
                <w:rFonts w:hint="eastAsia" w:asciiTheme="minorEastAsia" w:hAnsiTheme="minorEastAsia" w:eastAsiaTheme="minorEastAsia"/>
                <w:color w:val="000000" w:themeColor="text1"/>
                <w:sz w:val="24"/>
                <w:szCs w:val="24"/>
                <w14:textFill>
                  <w14:solidFill>
                    <w14:schemeClr w14:val="tx1"/>
                  </w14:solidFill>
                </w14:textFill>
              </w:rPr>
              <w:t>不锈钢波纹管，DN400，PN1.6，</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保护性拆除后再安装</w:t>
            </w:r>
          </w:p>
        </w:tc>
        <w:tc>
          <w:tcPr>
            <w:tcW w:w="795" w:type="dxa"/>
            <w:shd w:val="clear" w:color="auto" w:fill="auto"/>
            <w:vAlign w:val="center"/>
          </w:tcPr>
          <w:p>
            <w:pPr>
              <w:jc w:val="center"/>
              <w:rPr>
                <w:rFonts w:hint="eastAsia" w:asciiTheme="minorEastAsia" w:hAnsiTheme="minorEastAsia"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个</w:t>
            </w:r>
          </w:p>
        </w:tc>
        <w:tc>
          <w:tcPr>
            <w:tcW w:w="840" w:type="dxa"/>
            <w:shd w:val="clear" w:color="auto" w:fill="auto"/>
            <w:vAlign w:val="center"/>
          </w:tcPr>
          <w:p>
            <w:pPr>
              <w:jc w:val="center"/>
              <w:rPr>
                <w:rFonts w:hint="eastAsia" w:eastAsia="仿宋" w:asciiTheme="minorHAnsi" w:hAnsiTheme="minorHAnsi" w:cstheme="minorBidi"/>
                <w:color w:val="000000" w:themeColor="text1"/>
                <w:kern w:val="2"/>
                <w:sz w:val="24"/>
                <w:szCs w:val="22"/>
                <w:lang w:val="en-US" w:eastAsia="zh-CN" w:bidi="ar-SA"/>
                <w14:textFill>
                  <w14:solidFill>
                    <w14:schemeClr w14:val="tx1"/>
                  </w14:solidFill>
                </w14:textFill>
              </w:rPr>
            </w:pPr>
            <w:r>
              <w:rPr>
                <w:rFonts w:hint="eastAsia"/>
                <w:color w:val="000000" w:themeColor="text1"/>
                <w:sz w:val="24"/>
                <w:lang w:val="en-US" w:eastAsia="zh-CN"/>
                <w14:textFill>
                  <w14:solidFill>
                    <w14:schemeClr w14:val="tx1"/>
                  </w14:solidFill>
                </w14:textFill>
              </w:rPr>
              <w:t>6</w:t>
            </w:r>
          </w:p>
        </w:tc>
        <w:tc>
          <w:tcPr>
            <w:tcW w:w="1815" w:type="dxa"/>
            <w:shd w:val="clear" w:color="auto" w:fill="auto"/>
            <w:vAlign w:val="center"/>
          </w:tcPr>
          <w:p>
            <w:pPr>
              <w:jc w:val="center"/>
              <w:rPr>
                <w:rFonts w:hint="eastAsia" w:eastAsia="仿宋"/>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10</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金属软连接</w:t>
            </w:r>
          </w:p>
        </w:tc>
        <w:tc>
          <w:tcPr>
            <w:tcW w:w="385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不锈钢波纹管，DN400，PN1.6，含安装</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40" w:type="dxa"/>
            <w:shd w:val="clear" w:color="auto" w:fill="auto"/>
            <w:vAlign w:val="center"/>
          </w:tcPr>
          <w:p>
            <w:pPr>
              <w:jc w:val="center"/>
              <w:rPr>
                <w:rFonts w:hint="eastAsia" w:eastAsia="仿宋"/>
                <w:sz w:val="24"/>
                <w:lang w:eastAsia="zh-CN"/>
              </w:rPr>
            </w:pPr>
            <w:r>
              <w:rPr>
                <w:rFonts w:hint="eastAsia"/>
                <w:sz w:val="24"/>
                <w:lang w:val="en-US" w:eastAsia="zh-CN"/>
              </w:rPr>
              <w:t>6</w:t>
            </w:r>
          </w:p>
        </w:tc>
        <w:tc>
          <w:tcPr>
            <w:tcW w:w="1815" w:type="dxa"/>
            <w:shd w:val="clear" w:color="auto" w:fill="auto"/>
            <w:vAlign w:val="center"/>
          </w:tcPr>
          <w:p>
            <w:pPr>
              <w:jc w:val="center"/>
              <w:rPr>
                <w:rFonts w:hint="eastAsia" w:eastAsia="仿宋"/>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p>
        </w:tc>
        <w:tc>
          <w:tcPr>
            <w:tcW w:w="1350"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大小头安装</w:t>
            </w:r>
            <w:r>
              <w:rPr>
                <w:rFonts w:hint="eastAsia" w:asciiTheme="minorEastAsia" w:hAnsiTheme="minorEastAsia" w:eastAsiaTheme="minorEastAsia"/>
                <w:sz w:val="24"/>
                <w:szCs w:val="24"/>
                <w:lang w:val="en-US" w:eastAsia="zh-CN"/>
              </w:rPr>
              <w:t>1</w:t>
            </w:r>
          </w:p>
        </w:tc>
        <w:tc>
          <w:tcPr>
            <w:tcW w:w="385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大小头</w:t>
            </w:r>
            <w:r>
              <w:rPr>
                <w:rStyle w:val="57"/>
                <w:rFonts w:hint="default" w:asciiTheme="minorEastAsia" w:hAnsiTheme="minorEastAsia" w:eastAsiaTheme="minorEastAsia"/>
              </w:rPr>
              <w:t>（参考尺寸DN400转300具体数量，具体尺寸以现场管道和水泵为准）</w:t>
            </w:r>
            <w:r>
              <w:rPr>
                <w:rStyle w:val="56"/>
                <w:rFonts w:hint="default" w:asciiTheme="minorEastAsia" w:hAnsiTheme="minorEastAsia" w:eastAsiaTheme="minorEastAsia"/>
              </w:rPr>
              <w:t>，含安装</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40" w:type="dxa"/>
            <w:shd w:val="clear" w:color="auto" w:fill="auto"/>
            <w:vAlign w:val="center"/>
          </w:tcPr>
          <w:p>
            <w:pPr>
              <w:jc w:val="center"/>
              <w:rPr>
                <w:rFonts w:hint="eastAsia" w:eastAsia="仿宋"/>
                <w:sz w:val="24"/>
                <w:lang w:eastAsia="zh-CN"/>
              </w:rPr>
            </w:pPr>
            <w:r>
              <w:rPr>
                <w:rFonts w:hint="eastAsia"/>
                <w:sz w:val="24"/>
                <w:lang w:val="en-US" w:eastAsia="zh-CN"/>
              </w:rPr>
              <w:t>6</w:t>
            </w:r>
          </w:p>
        </w:tc>
        <w:tc>
          <w:tcPr>
            <w:tcW w:w="1815" w:type="dxa"/>
            <w:shd w:val="clear" w:color="auto" w:fill="auto"/>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asciiTheme="minorEastAsia" w:hAnsiTheme="minorEastAsia" w:eastAsiaTheme="minorEastAsia"/>
                <w:sz w:val="24"/>
                <w:szCs w:val="24"/>
              </w:rPr>
              <w:t>12</w:t>
            </w:r>
          </w:p>
        </w:tc>
        <w:tc>
          <w:tcPr>
            <w:tcW w:w="1350"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大小头安装</w:t>
            </w:r>
            <w:r>
              <w:rPr>
                <w:rFonts w:hint="eastAsia" w:asciiTheme="minorEastAsia" w:hAnsiTheme="minorEastAsia" w:eastAsiaTheme="minorEastAsia"/>
                <w:sz w:val="24"/>
                <w:szCs w:val="24"/>
                <w:lang w:val="en-US" w:eastAsia="zh-CN"/>
              </w:rPr>
              <w:t>2</w:t>
            </w:r>
          </w:p>
        </w:tc>
        <w:tc>
          <w:tcPr>
            <w:tcW w:w="385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大小头</w:t>
            </w:r>
            <w:r>
              <w:rPr>
                <w:rStyle w:val="57"/>
                <w:rFonts w:hint="default" w:asciiTheme="minorEastAsia" w:hAnsiTheme="minorEastAsia" w:eastAsiaTheme="minorEastAsia"/>
              </w:rPr>
              <w:t>（参考尺寸DN400转250具体数量，具体尺寸以现场管道和水泵为准）</w:t>
            </w:r>
            <w:r>
              <w:rPr>
                <w:rStyle w:val="56"/>
                <w:rFonts w:hint="default" w:asciiTheme="minorEastAsia" w:hAnsiTheme="minorEastAsia" w:eastAsiaTheme="minorEastAsia"/>
              </w:rPr>
              <w:t>，含安装</w:t>
            </w:r>
          </w:p>
        </w:tc>
        <w:tc>
          <w:tcPr>
            <w:tcW w:w="795" w:type="dxa"/>
            <w:shd w:val="clear" w:color="auto" w:fill="auto"/>
            <w:vAlign w:val="center"/>
          </w:tcPr>
          <w:p>
            <w:pPr>
              <w:jc w:val="center"/>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个</w:t>
            </w:r>
          </w:p>
        </w:tc>
        <w:tc>
          <w:tcPr>
            <w:tcW w:w="840" w:type="dxa"/>
            <w:shd w:val="clear" w:color="auto" w:fill="auto"/>
            <w:vAlign w:val="center"/>
          </w:tcPr>
          <w:p>
            <w:pPr>
              <w:jc w:val="center"/>
              <w:rPr>
                <w:rFonts w:hint="eastAsia" w:eastAsia="仿宋" w:asciiTheme="minorHAnsi" w:hAnsiTheme="minorHAnsi" w:cstheme="minorBidi"/>
                <w:kern w:val="2"/>
                <w:sz w:val="24"/>
                <w:szCs w:val="22"/>
                <w:lang w:val="en-US" w:eastAsia="zh-CN" w:bidi="ar-SA"/>
              </w:rPr>
            </w:pPr>
            <w:r>
              <w:rPr>
                <w:rFonts w:hint="eastAsia"/>
                <w:sz w:val="24"/>
                <w:lang w:val="en-US" w:eastAsia="zh-CN"/>
              </w:rPr>
              <w:t>6</w:t>
            </w:r>
          </w:p>
        </w:tc>
        <w:tc>
          <w:tcPr>
            <w:tcW w:w="1815" w:type="dxa"/>
            <w:shd w:val="clear" w:color="auto" w:fill="auto"/>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asciiTheme="minorEastAsia" w:hAnsiTheme="minorEastAsia" w:eastAsiaTheme="minorEastAsia" w:cstheme="minorBidi"/>
                <w:kern w:val="2"/>
                <w:sz w:val="24"/>
                <w:szCs w:val="24"/>
                <w:lang w:val="en-US" w:eastAsia="zh-CN" w:bidi="ar-SA"/>
              </w:rPr>
            </w:pPr>
            <w:r>
              <w:rPr>
                <w:rFonts w:asciiTheme="minorEastAsia" w:hAnsiTheme="minorEastAsia" w:eastAsiaTheme="minorEastAsia"/>
                <w:sz w:val="24"/>
                <w:szCs w:val="24"/>
              </w:rPr>
              <w:t>13</w:t>
            </w:r>
          </w:p>
        </w:tc>
        <w:tc>
          <w:tcPr>
            <w:tcW w:w="1350" w:type="dxa"/>
            <w:shd w:val="clear" w:color="auto" w:fill="auto"/>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静音止回阀</w:t>
            </w:r>
          </w:p>
        </w:tc>
        <w:tc>
          <w:tcPr>
            <w:tcW w:w="385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DN400止回阀，阻力≤1m，含安装，含法兰垫片（安装于2</w:t>
            </w: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乙二醇泵）</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40" w:type="dxa"/>
            <w:shd w:val="clear" w:color="auto" w:fill="auto"/>
            <w:vAlign w:val="center"/>
          </w:tcPr>
          <w:p>
            <w:pPr>
              <w:jc w:val="center"/>
              <w:rPr>
                <w:sz w:val="24"/>
              </w:rPr>
            </w:pPr>
            <w:r>
              <w:rPr>
                <w:rFonts w:hint="eastAsia"/>
                <w:sz w:val="24"/>
              </w:rPr>
              <w:t>5</w:t>
            </w:r>
          </w:p>
        </w:tc>
        <w:tc>
          <w:tcPr>
            <w:tcW w:w="1815" w:type="dxa"/>
            <w:shd w:val="clear" w:color="auto" w:fill="auto"/>
            <w:vAlign w:val="center"/>
          </w:tcPr>
          <w:p>
            <w:pPr>
              <w:jc w:val="center"/>
              <w:rPr>
                <w:rFonts w:hint="default"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asciiTheme="minorEastAsia" w:hAnsiTheme="minorEastAsia" w:eastAsiaTheme="minorEastAsia" w:cstheme="minorBidi"/>
                <w:kern w:val="2"/>
                <w:sz w:val="24"/>
                <w:szCs w:val="24"/>
                <w:lang w:val="en-US" w:eastAsia="zh-CN" w:bidi="ar-SA"/>
              </w:rPr>
            </w:pPr>
            <w:r>
              <w:rPr>
                <w:rFonts w:asciiTheme="minorEastAsia" w:hAnsiTheme="minorEastAsia" w:eastAsiaTheme="minorEastAsia"/>
                <w:sz w:val="24"/>
                <w:szCs w:val="24"/>
              </w:rPr>
              <w:t>14</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新</w:t>
            </w:r>
            <w:r>
              <w:rPr>
                <w:rFonts w:hint="eastAsia" w:asciiTheme="minorEastAsia" w:hAnsiTheme="minorEastAsia" w:eastAsiaTheme="minorEastAsia"/>
                <w:sz w:val="24"/>
                <w:szCs w:val="24"/>
              </w:rPr>
              <w:t>Y型过滤器</w:t>
            </w:r>
          </w:p>
        </w:tc>
        <w:tc>
          <w:tcPr>
            <w:tcW w:w="385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DN400过滤器，安装含法兰垫片，含安装（安装于2</w:t>
            </w:r>
            <w:r>
              <w:rPr>
                <w:rFonts w:asciiTheme="minorEastAsia" w:hAnsiTheme="minorEastAsia" w:eastAsiaTheme="minorEastAsia"/>
                <w:sz w:val="24"/>
                <w:szCs w:val="24"/>
              </w:rPr>
              <w:t>#</w:t>
            </w: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乙二醇泵）</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个</w:t>
            </w:r>
          </w:p>
        </w:tc>
        <w:tc>
          <w:tcPr>
            <w:tcW w:w="840" w:type="dxa"/>
            <w:shd w:val="clear" w:color="auto" w:fill="auto"/>
            <w:vAlign w:val="center"/>
          </w:tcPr>
          <w:p>
            <w:pPr>
              <w:jc w:val="center"/>
              <w:rPr>
                <w:sz w:val="24"/>
              </w:rPr>
            </w:pPr>
            <w:r>
              <w:rPr>
                <w:rFonts w:hint="eastAsia"/>
                <w:sz w:val="24"/>
              </w:rPr>
              <w:t>5</w:t>
            </w:r>
          </w:p>
        </w:tc>
        <w:tc>
          <w:tcPr>
            <w:tcW w:w="1815" w:type="dxa"/>
            <w:shd w:val="clear" w:color="auto" w:fill="auto"/>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15</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排污阀及排污管</w:t>
            </w:r>
          </w:p>
        </w:tc>
        <w:tc>
          <w:tcPr>
            <w:tcW w:w="3855" w:type="dxa"/>
            <w:shd w:val="clear" w:color="auto" w:fill="auto"/>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DN50铜闸阀1个，排污管1m，含安装,水泵进口要按原样恢复焊接dn50短管（单边外牙）</w:t>
            </w:r>
          </w:p>
        </w:tc>
        <w:tc>
          <w:tcPr>
            <w:tcW w:w="795" w:type="dxa"/>
            <w:shd w:val="clear" w:color="auto" w:fill="auto"/>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套</w:t>
            </w:r>
          </w:p>
        </w:tc>
        <w:tc>
          <w:tcPr>
            <w:tcW w:w="840" w:type="dxa"/>
            <w:shd w:val="clear" w:color="auto" w:fill="auto"/>
            <w:vAlign w:val="center"/>
          </w:tcPr>
          <w:p>
            <w:pPr>
              <w:jc w:val="center"/>
              <w:rPr>
                <w:sz w:val="24"/>
              </w:rPr>
            </w:pPr>
            <w:r>
              <w:rPr>
                <w:rFonts w:hint="eastAsia"/>
                <w:sz w:val="24"/>
              </w:rPr>
              <w:t>6</w:t>
            </w:r>
          </w:p>
        </w:tc>
        <w:tc>
          <w:tcPr>
            <w:tcW w:w="1815" w:type="dxa"/>
            <w:shd w:val="clear" w:color="auto" w:fill="auto"/>
            <w:vAlign w:val="center"/>
          </w:tcPr>
          <w:p>
            <w:pPr>
              <w:jc w:val="center"/>
              <w:rPr>
                <w:rFonts w:hint="eastAsia" w:eastAsia="仿宋"/>
                <w:color w:val="FF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16</w:t>
            </w:r>
          </w:p>
        </w:tc>
        <w:tc>
          <w:tcPr>
            <w:tcW w:w="1350"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其他管道及安装</w:t>
            </w:r>
          </w:p>
        </w:tc>
        <w:tc>
          <w:tcPr>
            <w:tcW w:w="3855" w:type="dxa"/>
            <w:shd w:val="clear" w:color="auto" w:fill="auto"/>
            <w:vAlign w:val="center"/>
          </w:tcPr>
          <w:p>
            <w:pPr>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过滤器前后要恢复dn15短管焊接，泵出口止回阀前也要恢复dn15短管焊接，（用于安装铜闸阀，压力表利旧）</w:t>
            </w:r>
          </w:p>
        </w:tc>
        <w:tc>
          <w:tcPr>
            <w:tcW w:w="795" w:type="dxa"/>
            <w:shd w:val="clear" w:color="auto" w:fill="auto"/>
            <w:vAlign w:val="center"/>
          </w:tcPr>
          <w:p>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lang w:val="en-US" w:eastAsia="zh-CN"/>
              </w:rPr>
              <w:t>套</w:t>
            </w:r>
          </w:p>
        </w:tc>
        <w:tc>
          <w:tcPr>
            <w:tcW w:w="840" w:type="dxa"/>
            <w:shd w:val="clear" w:color="auto" w:fill="auto"/>
            <w:vAlign w:val="center"/>
          </w:tcPr>
          <w:p>
            <w:pPr>
              <w:jc w:val="center"/>
              <w:rPr>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w:t>
            </w:r>
          </w:p>
        </w:tc>
        <w:tc>
          <w:tcPr>
            <w:tcW w:w="1815" w:type="dxa"/>
            <w:shd w:val="clear" w:color="auto" w:fill="auto"/>
            <w:vAlign w:val="center"/>
          </w:tcPr>
          <w:p>
            <w:pPr>
              <w:jc w:val="center"/>
              <w:rPr>
                <w:rFonts w:hint="eastAsia" w:eastAsia="仿宋"/>
                <w:color w:val="FF000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t>17</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压差开关</w:t>
            </w:r>
          </w:p>
        </w:tc>
        <w:tc>
          <w:tcPr>
            <w:tcW w:w="3855" w:type="dxa"/>
            <w:shd w:val="clear" w:color="auto" w:fill="auto"/>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包括8mm铜管12m，配接头跟螺帽，含安装</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套</w:t>
            </w:r>
          </w:p>
        </w:tc>
        <w:tc>
          <w:tcPr>
            <w:tcW w:w="840" w:type="dxa"/>
            <w:shd w:val="clear" w:color="auto" w:fill="auto"/>
            <w:vAlign w:val="center"/>
          </w:tcPr>
          <w:p>
            <w:pPr>
              <w:jc w:val="center"/>
              <w:rPr>
                <w:sz w:val="24"/>
              </w:rPr>
            </w:pPr>
            <w:r>
              <w:rPr>
                <w:rFonts w:hint="eastAsia"/>
                <w:sz w:val="24"/>
              </w:rPr>
              <w:t>12</w:t>
            </w:r>
          </w:p>
        </w:tc>
        <w:tc>
          <w:tcPr>
            <w:tcW w:w="1815" w:type="dxa"/>
            <w:shd w:val="clear" w:color="auto" w:fill="auto"/>
            <w:vAlign w:val="center"/>
          </w:tcPr>
          <w:p>
            <w:pPr>
              <w:jc w:val="center"/>
              <w:rPr>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95" w:type="dxa"/>
            <w:shd w:val="clear" w:color="auto" w:fill="auto"/>
            <w:vAlign w:val="center"/>
          </w:tcPr>
          <w:p>
            <w:pPr>
              <w:jc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t>18</w:t>
            </w:r>
          </w:p>
        </w:tc>
        <w:tc>
          <w:tcPr>
            <w:tcW w:w="1350"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保温</w:t>
            </w:r>
          </w:p>
        </w:tc>
        <w:tc>
          <w:tcPr>
            <w:tcW w:w="3855" w:type="dxa"/>
            <w:shd w:val="clear" w:color="auto" w:fill="auto"/>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橡塑保温</w:t>
            </w:r>
            <w:r>
              <w:rPr>
                <w:rFonts w:hint="eastAsia" w:asciiTheme="minorEastAsia" w:hAnsiTheme="minorEastAsia" w:eastAsiaTheme="minorEastAsia"/>
                <w:sz w:val="24"/>
                <w:szCs w:val="24"/>
                <w:lang w:val="en-US" w:eastAsia="zh-CN"/>
              </w:rPr>
              <w:t>单层厚度</w:t>
            </w:r>
            <w:r>
              <w:rPr>
                <w:rFonts w:hint="eastAsia" w:asciiTheme="minorEastAsia" w:hAnsiTheme="minorEastAsia" w:eastAsiaTheme="minorEastAsia"/>
                <w:sz w:val="24"/>
                <w:szCs w:val="24"/>
              </w:rPr>
              <w:t>32mm，</w:t>
            </w:r>
            <w:r>
              <w:rPr>
                <w:rFonts w:hint="eastAsia" w:asciiTheme="minorEastAsia" w:hAnsiTheme="minorEastAsia" w:eastAsiaTheme="minorEastAsia"/>
                <w:sz w:val="24"/>
                <w:szCs w:val="24"/>
                <w:lang w:val="en-US" w:eastAsia="zh-CN"/>
              </w:rPr>
              <w:t>共</w:t>
            </w:r>
            <w:r>
              <w:rPr>
                <w:rFonts w:hint="eastAsia" w:asciiTheme="minorEastAsia" w:hAnsiTheme="minorEastAsia" w:eastAsiaTheme="minorEastAsia"/>
                <w:sz w:val="24"/>
                <w:szCs w:val="24"/>
              </w:rPr>
              <w:t>三层，含安装于管道、</w:t>
            </w:r>
            <w:r>
              <w:rPr>
                <w:rFonts w:hint="eastAsia" w:asciiTheme="minorEastAsia" w:hAnsiTheme="minorEastAsia" w:eastAsiaTheme="minorEastAsia"/>
                <w:sz w:val="24"/>
                <w:szCs w:val="24"/>
                <w:lang w:val="en-US" w:eastAsia="zh-CN"/>
              </w:rPr>
              <w:t>阀门（止回阀和Y型过滤器）、</w:t>
            </w:r>
            <w:r>
              <w:rPr>
                <w:rFonts w:hint="eastAsia" w:asciiTheme="minorEastAsia" w:hAnsiTheme="minorEastAsia" w:eastAsiaTheme="minorEastAsia"/>
                <w:sz w:val="24"/>
                <w:szCs w:val="24"/>
              </w:rPr>
              <w:t>水泵</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泵头</w:t>
            </w:r>
            <w:r>
              <w:rPr>
                <w:rFonts w:hint="eastAsia" w:asciiTheme="minorEastAsia" w:hAnsiTheme="minorEastAsia" w:eastAsiaTheme="minorEastAsia"/>
                <w:sz w:val="24"/>
                <w:szCs w:val="24"/>
                <w:lang w:eastAsia="zh-CN"/>
              </w:rPr>
              <w:t>）</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m3</w:t>
            </w:r>
          </w:p>
        </w:tc>
        <w:tc>
          <w:tcPr>
            <w:tcW w:w="840" w:type="dxa"/>
            <w:shd w:val="clear" w:color="auto" w:fill="auto"/>
            <w:vAlign w:val="center"/>
          </w:tcPr>
          <w:p>
            <w:pPr>
              <w:jc w:val="center"/>
              <w:rPr>
                <w:sz w:val="24"/>
              </w:rPr>
            </w:pPr>
            <w:r>
              <w:rPr>
                <w:rFonts w:hint="eastAsia"/>
                <w:sz w:val="24"/>
              </w:rPr>
              <w:t>8</w:t>
            </w:r>
          </w:p>
        </w:tc>
        <w:tc>
          <w:tcPr>
            <w:tcW w:w="1815" w:type="dxa"/>
            <w:shd w:val="clear" w:color="auto" w:fill="auto"/>
            <w:vAlign w:val="center"/>
          </w:tcPr>
          <w:p>
            <w:pPr>
              <w:jc w:val="center"/>
              <w:rPr>
                <w:rFonts w:hint="eastAsia" w:eastAsia="仿宋"/>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19</w:t>
            </w:r>
          </w:p>
        </w:tc>
        <w:tc>
          <w:tcPr>
            <w:tcW w:w="1350" w:type="dxa"/>
            <w:shd w:val="clear" w:color="auto" w:fill="auto"/>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自控、电缆</w:t>
            </w:r>
            <w:r>
              <w:rPr>
                <w:rFonts w:hint="eastAsia" w:asciiTheme="minorEastAsia" w:hAnsiTheme="minorEastAsia" w:eastAsiaTheme="minorEastAsia"/>
                <w:sz w:val="24"/>
                <w:szCs w:val="24"/>
                <w:lang w:val="en-US" w:eastAsia="zh-CN"/>
              </w:rPr>
              <w:t>安装</w:t>
            </w:r>
          </w:p>
        </w:tc>
        <w:tc>
          <w:tcPr>
            <w:tcW w:w="3855" w:type="dxa"/>
            <w:shd w:val="clear" w:color="auto" w:fill="auto"/>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电机自控、电缆接线（利旧原有电缆线和控制线缆），含安装</w:t>
            </w:r>
          </w:p>
        </w:tc>
        <w:tc>
          <w:tcPr>
            <w:tcW w:w="795" w:type="dxa"/>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w:t>
            </w:r>
          </w:p>
        </w:tc>
        <w:tc>
          <w:tcPr>
            <w:tcW w:w="840" w:type="dxa"/>
            <w:shd w:val="clear" w:color="auto" w:fill="auto"/>
            <w:vAlign w:val="center"/>
          </w:tcPr>
          <w:p>
            <w:pPr>
              <w:jc w:val="center"/>
              <w:rPr>
                <w:sz w:val="24"/>
              </w:rPr>
            </w:pPr>
            <w:r>
              <w:rPr>
                <w:rFonts w:hint="eastAsia"/>
                <w:sz w:val="24"/>
              </w:rPr>
              <w:t>1</w:t>
            </w:r>
          </w:p>
        </w:tc>
        <w:tc>
          <w:tcPr>
            <w:tcW w:w="1815" w:type="dxa"/>
            <w:shd w:val="clear" w:color="auto" w:fill="auto"/>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20</w:t>
            </w:r>
          </w:p>
        </w:tc>
        <w:tc>
          <w:tcPr>
            <w:tcW w:w="1350"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安全文明措施</w:t>
            </w:r>
          </w:p>
        </w:tc>
        <w:tc>
          <w:tcPr>
            <w:tcW w:w="3855" w:type="dxa"/>
            <w:shd w:val="clear" w:color="auto" w:fill="auto"/>
            <w:vAlign w:val="center"/>
          </w:tcPr>
          <w:p>
            <w:pPr>
              <w:jc w:val="center"/>
              <w:rPr>
                <w:rFonts w:hint="default" w:cs="Times New Roman"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安全文明施工，包含但不限于</w:t>
            </w:r>
            <w:r>
              <w:rPr>
                <w:rFonts w:hint="eastAsia" w:cs="Times New Roman" w:asciiTheme="minorEastAsia" w:hAnsiTheme="minorEastAsia" w:eastAsiaTheme="minorEastAsia"/>
                <w:sz w:val="24"/>
                <w:szCs w:val="24"/>
                <w:lang w:val="en-US" w:eastAsia="zh-CN"/>
              </w:rPr>
              <w:t>警示带隔离、周边成品保护、防尘措施。</w:t>
            </w:r>
          </w:p>
        </w:tc>
        <w:tc>
          <w:tcPr>
            <w:tcW w:w="795" w:type="dxa"/>
            <w:shd w:val="clear" w:color="auto" w:fill="auto"/>
            <w:vAlign w:val="center"/>
          </w:tcPr>
          <w:p>
            <w:pPr>
              <w:jc w:val="center"/>
              <w:rPr>
                <w:rFonts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项</w:t>
            </w:r>
          </w:p>
        </w:tc>
        <w:tc>
          <w:tcPr>
            <w:tcW w:w="840" w:type="dxa"/>
            <w:shd w:val="clear" w:color="auto" w:fill="auto"/>
            <w:vAlign w:val="center"/>
          </w:tcPr>
          <w:p>
            <w:pPr>
              <w:jc w:val="center"/>
              <w:rPr>
                <w:rFonts w:eastAsia="仿宋" w:asciiTheme="minorHAnsi" w:hAnsiTheme="minorHAnsi" w:cstheme="minorBidi"/>
                <w:kern w:val="2"/>
                <w:sz w:val="24"/>
                <w:szCs w:val="22"/>
                <w:lang w:val="en-US" w:eastAsia="zh-CN" w:bidi="ar-SA"/>
              </w:rPr>
            </w:pPr>
            <w:r>
              <w:rPr>
                <w:rFonts w:hint="eastAsia"/>
                <w:sz w:val="24"/>
              </w:rPr>
              <w:t>1</w:t>
            </w:r>
          </w:p>
        </w:tc>
        <w:tc>
          <w:tcPr>
            <w:tcW w:w="1815" w:type="dxa"/>
            <w:shd w:val="clear" w:color="auto" w:fill="auto"/>
            <w:vAlign w:val="center"/>
          </w:tcPr>
          <w:p>
            <w:pPr>
              <w:widowControl/>
              <w:jc w:val="center"/>
              <w:rPr>
                <w:rFonts w:eastAsia="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5"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21</w:t>
            </w:r>
          </w:p>
        </w:tc>
        <w:tc>
          <w:tcPr>
            <w:tcW w:w="1350" w:type="dxa"/>
            <w:shd w:val="clear" w:color="auto" w:fill="auto"/>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废弃物外运</w:t>
            </w:r>
          </w:p>
        </w:tc>
        <w:tc>
          <w:tcPr>
            <w:tcW w:w="3855" w:type="dxa"/>
            <w:shd w:val="clear" w:color="auto" w:fill="auto"/>
            <w:vAlign w:val="center"/>
          </w:tcPr>
          <w:p>
            <w:pPr>
              <w:jc w:val="left"/>
              <w:rPr>
                <w:rFonts w:hint="default"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无法利旧、无收回价值的废弃物外运</w:t>
            </w:r>
          </w:p>
        </w:tc>
        <w:tc>
          <w:tcPr>
            <w:tcW w:w="795" w:type="dxa"/>
            <w:shd w:val="clear" w:color="auto" w:fill="auto"/>
            <w:vAlign w:val="center"/>
          </w:tcPr>
          <w:p>
            <w:pPr>
              <w:jc w:val="center"/>
              <w:rPr>
                <w:rFonts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rPr>
              <w:t>项</w:t>
            </w:r>
          </w:p>
        </w:tc>
        <w:tc>
          <w:tcPr>
            <w:tcW w:w="840" w:type="dxa"/>
            <w:shd w:val="clear" w:color="auto" w:fill="auto"/>
            <w:vAlign w:val="center"/>
          </w:tcPr>
          <w:p>
            <w:pPr>
              <w:jc w:val="center"/>
              <w:rPr>
                <w:rFonts w:eastAsia="仿宋" w:asciiTheme="minorHAnsi" w:hAnsiTheme="minorHAnsi" w:cstheme="minorBidi"/>
                <w:kern w:val="2"/>
                <w:sz w:val="24"/>
                <w:szCs w:val="22"/>
                <w:lang w:val="en-US" w:eastAsia="zh-CN" w:bidi="ar-SA"/>
              </w:rPr>
            </w:pPr>
            <w:r>
              <w:rPr>
                <w:rFonts w:hint="eastAsia"/>
                <w:sz w:val="24"/>
              </w:rPr>
              <w:t>1</w:t>
            </w:r>
          </w:p>
        </w:tc>
        <w:tc>
          <w:tcPr>
            <w:tcW w:w="1815" w:type="dxa"/>
            <w:shd w:val="clear" w:color="auto" w:fill="auto"/>
            <w:vAlign w:val="center"/>
          </w:tcPr>
          <w:p>
            <w:pPr>
              <w:widowControl/>
              <w:jc w:val="center"/>
              <w:rPr>
                <w:rFonts w:eastAsia="宋体"/>
                <w:color w:val="000000"/>
                <w:kern w:val="0"/>
                <w:sz w:val="24"/>
                <w:szCs w:val="24"/>
              </w:rPr>
            </w:pPr>
          </w:p>
        </w:tc>
      </w:tr>
    </w:tbl>
    <w:p>
      <w:pPr>
        <w:numPr>
          <w:ilvl w:val="255"/>
          <w:numId w:val="0"/>
        </w:numPr>
        <w:spacing w:before="120" w:beforeLines="50" w:after="120" w:afterLines="5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注意：1、</w:t>
      </w:r>
      <w:r>
        <w:rPr>
          <w:rFonts w:hint="eastAsia" w:asciiTheme="minorEastAsia" w:hAnsiTheme="minorEastAsia" w:eastAsiaTheme="minorEastAsia" w:cstheme="minorEastAsia"/>
          <w:bCs/>
          <w:sz w:val="24"/>
        </w:rPr>
        <w:t>本项目包</w:t>
      </w:r>
      <w:r>
        <w:rPr>
          <w:rFonts w:hint="eastAsia" w:asciiTheme="minorEastAsia" w:hAnsiTheme="minorEastAsia" w:eastAsiaTheme="minorEastAsia" w:cstheme="minorEastAsia"/>
          <w:bCs/>
          <w:sz w:val="24"/>
          <w:lang w:val="en-US" w:eastAsia="zh-CN"/>
        </w:rPr>
        <w:t>工</w:t>
      </w:r>
      <w:r>
        <w:rPr>
          <w:rFonts w:hint="eastAsia" w:asciiTheme="minorEastAsia" w:hAnsiTheme="minorEastAsia" w:eastAsiaTheme="minorEastAsia" w:cstheme="minorEastAsia"/>
          <w:bCs/>
          <w:sz w:val="24"/>
        </w:rPr>
        <w:t>包料，项目所有材料及辅助材料、棚架、工具机具等</w:t>
      </w:r>
      <w:r>
        <w:rPr>
          <w:rFonts w:hint="eastAsia" w:asciiTheme="minorEastAsia" w:hAnsiTheme="minorEastAsia" w:eastAsiaTheme="minorEastAsia" w:cstheme="minorEastAsia"/>
          <w:bCs/>
          <w:sz w:val="24"/>
          <w:lang w:eastAsia="zh-CN"/>
        </w:rPr>
        <w:t>，</w:t>
      </w:r>
      <w:r>
        <w:rPr>
          <w:rFonts w:hint="eastAsia" w:asciiTheme="minorEastAsia" w:hAnsiTheme="minorEastAsia" w:eastAsiaTheme="minorEastAsia" w:cstheme="minorEastAsia"/>
          <w:bCs/>
          <w:sz w:val="24"/>
          <w:lang w:val="en-US" w:eastAsia="zh-CN"/>
        </w:rPr>
        <w:t>除备注甲供外，</w:t>
      </w:r>
      <w:r>
        <w:rPr>
          <w:rFonts w:hint="eastAsia" w:asciiTheme="minorEastAsia" w:hAnsiTheme="minorEastAsia" w:eastAsiaTheme="minorEastAsia" w:cstheme="minorEastAsia"/>
          <w:bCs/>
          <w:sz w:val="24"/>
        </w:rPr>
        <w:t>均由乙方提供并承担相关费用。报价应包含该工程所需的全部主材费、辅料费、人工费、机具费、交通费等</w:t>
      </w:r>
      <w:r>
        <w:rPr>
          <w:rFonts w:hint="eastAsia" w:asciiTheme="minorEastAsia" w:hAnsiTheme="minorEastAsia" w:eastAsiaTheme="minorEastAsia" w:cstheme="minorEastAsia"/>
          <w:sz w:val="24"/>
        </w:rPr>
        <w:t>。</w:t>
      </w:r>
    </w:p>
    <w:p>
      <w:pPr>
        <w:pStyle w:val="9"/>
        <w:spacing w:line="360" w:lineRule="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材料设备要求</w:t>
      </w:r>
    </w:p>
    <w:p>
      <w:pPr>
        <w:pStyle w:val="9"/>
        <w:spacing w:line="360" w:lineRule="auto"/>
        <w:rPr>
          <w:b/>
          <w:bCs/>
          <w:sz w:val="24"/>
          <w:szCs w:val="24"/>
        </w:rPr>
      </w:pPr>
      <w:r>
        <w:rPr>
          <w:rFonts w:hint="eastAsia" w:asciiTheme="minorEastAsia" w:hAnsiTheme="minorEastAsia" w:eastAsiaTheme="minorEastAsia" w:cstheme="minorEastAsia"/>
          <w:b/>
          <w:bCs/>
          <w:sz w:val="24"/>
          <w:szCs w:val="24"/>
          <w:highlight w:val="none"/>
        </w:rPr>
        <w:t>详见</w:t>
      </w:r>
      <w:r>
        <w:rPr>
          <w:rFonts w:hint="eastAsia" w:asciiTheme="minorEastAsia" w:hAnsiTheme="minorEastAsia" w:eastAsiaTheme="minorEastAsia" w:cstheme="minorEastAsia"/>
          <w:b/>
          <w:bCs/>
          <w:sz w:val="24"/>
          <w:szCs w:val="24"/>
          <w:highlight w:val="none"/>
          <w:lang w:val="en-US" w:eastAsia="zh-CN"/>
        </w:rPr>
        <w:t>附件1乙供材料</w:t>
      </w:r>
      <w:r>
        <w:rPr>
          <w:rFonts w:hint="eastAsia" w:asciiTheme="minorEastAsia" w:hAnsiTheme="minorEastAsia" w:eastAsiaTheme="minorEastAsia" w:cstheme="minorEastAsia"/>
          <w:b/>
          <w:bCs/>
          <w:sz w:val="24"/>
          <w:szCs w:val="24"/>
          <w:highlight w:val="none"/>
        </w:rPr>
        <w:t>技术需求书</w:t>
      </w:r>
    </w:p>
    <w:p>
      <w:pPr>
        <w:numPr>
          <w:ilvl w:val="0"/>
          <w:numId w:val="1"/>
        </w:numPr>
        <w:spacing w:before="120" w:beforeLines="50" w:after="120" w:afterLines="50" w:line="360" w:lineRule="auto"/>
        <w:ind w:left="0"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施工要求及注意事项</w:t>
      </w:r>
    </w:p>
    <w:p>
      <w:pPr>
        <w:spacing w:line="360" w:lineRule="auto"/>
        <w:ind w:firstLine="480" w:firstLineChars="200"/>
        <w:jc w:val="left"/>
        <w:rPr>
          <w:rFonts w:hint="default"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一</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施工单位</w:t>
      </w:r>
      <w:r>
        <w:rPr>
          <w:rFonts w:hint="eastAsia" w:asciiTheme="minorEastAsia" w:hAnsiTheme="minorEastAsia" w:eastAsiaTheme="minorEastAsia" w:cstheme="minorEastAsia"/>
          <w:b w:val="0"/>
          <w:bCs w:val="0"/>
          <w:color w:val="auto"/>
          <w:sz w:val="24"/>
          <w:szCs w:val="24"/>
          <w:lang w:val="en-US" w:eastAsia="zh-CN"/>
        </w:rPr>
        <w:t>投标前</w:t>
      </w:r>
      <w:r>
        <w:rPr>
          <w:rFonts w:hint="eastAsia" w:asciiTheme="minorEastAsia" w:hAnsiTheme="minorEastAsia" w:eastAsiaTheme="minorEastAsia" w:cstheme="minorEastAsia"/>
          <w:b w:val="0"/>
          <w:bCs w:val="0"/>
          <w:color w:val="auto"/>
          <w:sz w:val="24"/>
          <w:szCs w:val="24"/>
        </w:rPr>
        <w:t>必须提前联系项目负责人到施工现场察看，清晰了解</w:t>
      </w:r>
      <w:r>
        <w:rPr>
          <w:rFonts w:hint="eastAsia" w:asciiTheme="minorEastAsia" w:hAnsiTheme="minorEastAsia" w:eastAsiaTheme="minorEastAsia" w:cstheme="minorEastAsia"/>
          <w:b w:val="0"/>
          <w:bCs w:val="0"/>
          <w:color w:val="auto"/>
          <w:sz w:val="24"/>
          <w:szCs w:val="24"/>
          <w:lang w:val="en-US" w:eastAsia="zh-CN"/>
        </w:rPr>
        <w:t>乙二醇泵和电动阀及周边情况，了解</w:t>
      </w:r>
      <w:r>
        <w:rPr>
          <w:rFonts w:hint="eastAsia" w:asciiTheme="minorEastAsia" w:hAnsiTheme="minorEastAsia" w:eastAsiaTheme="minorEastAsia" w:cstheme="minorEastAsia"/>
          <w:b w:val="0"/>
          <w:bCs w:val="0"/>
          <w:color w:val="auto"/>
          <w:sz w:val="24"/>
          <w:szCs w:val="24"/>
        </w:rPr>
        <w:t>施工要求及其工作内容</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如二层设备、管线、地面、吊装口现状、周边安装环境、吊装作业环境</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b/>
          <w:bCs/>
          <w:color w:val="auto"/>
          <w:sz w:val="24"/>
          <w:szCs w:val="24"/>
          <w:lang w:val="en-US" w:eastAsia="zh-CN"/>
        </w:rPr>
        <w:t>特别注意，施工前对旧设备进行拍照留底（设备、阀门、止回阀、Y型过滤器、压力表、排污阀和排污管、压差开关、自控电缆接入方式），以便指导后续施工并核验。</w:t>
      </w:r>
    </w:p>
    <w:p>
      <w:pPr>
        <w:spacing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二</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本项目涉及动火</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高处作业、吊装</w:t>
      </w:r>
      <w:r>
        <w:rPr>
          <w:rFonts w:hint="eastAsia" w:asciiTheme="minorEastAsia" w:hAnsiTheme="minorEastAsia" w:eastAsiaTheme="minorEastAsia" w:cstheme="minorEastAsia"/>
          <w:b w:val="0"/>
          <w:bCs w:val="0"/>
          <w:color w:val="auto"/>
          <w:sz w:val="24"/>
          <w:szCs w:val="24"/>
        </w:rPr>
        <w:t>，必须严格按照甲方</w:t>
      </w:r>
      <w:r>
        <w:rPr>
          <w:rFonts w:hint="eastAsia" w:asciiTheme="minorEastAsia" w:hAnsiTheme="minorEastAsia" w:eastAsiaTheme="minorEastAsia" w:cstheme="minorEastAsia"/>
          <w:b w:val="0"/>
          <w:bCs w:val="0"/>
          <w:color w:val="auto"/>
          <w:sz w:val="24"/>
          <w:szCs w:val="24"/>
          <w:lang w:val="en-US" w:eastAsia="zh-CN"/>
        </w:rPr>
        <w:t>制度、办票后执行；办票进场施工</w:t>
      </w:r>
      <w:r>
        <w:rPr>
          <w:rFonts w:hint="eastAsia" w:asciiTheme="minorEastAsia" w:hAnsiTheme="minorEastAsia" w:eastAsiaTheme="minorEastAsia" w:cstheme="minorEastAsia"/>
          <w:b w:val="0"/>
          <w:bCs w:val="0"/>
          <w:color w:val="auto"/>
          <w:sz w:val="24"/>
          <w:szCs w:val="24"/>
        </w:rPr>
        <w:t>相关手续，遵守相应的管理规定和要求。</w:t>
      </w:r>
    </w:p>
    <w:p>
      <w:pPr>
        <w:spacing w:line="360" w:lineRule="auto"/>
        <w:ind w:firstLine="482" w:firstLineChars="200"/>
        <w:jc w:val="left"/>
        <w:rPr>
          <w:rFonts w:hint="default"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rPr>
        <w:t>本项目所涉及的管道焊接，外委施工方需按我司《焊接质量管理制度》执行，进场施工的焊工必须先试焊</w:t>
      </w:r>
      <w:r>
        <w:rPr>
          <w:rFonts w:hint="eastAsia" w:asciiTheme="minorEastAsia" w:hAnsiTheme="minorEastAsia" w:eastAsiaTheme="minorEastAsia" w:cstheme="minorEastAsia"/>
          <w:b/>
          <w:bCs/>
          <w:color w:val="auto"/>
          <w:sz w:val="24"/>
          <w:szCs w:val="24"/>
          <w:lang w:val="en-US" w:eastAsia="zh-CN"/>
        </w:rPr>
        <w:t>考试</w:t>
      </w:r>
      <w:r>
        <w:rPr>
          <w:rFonts w:hint="eastAsia" w:asciiTheme="minorEastAsia" w:hAnsiTheme="minorEastAsia" w:eastAsiaTheme="minorEastAsia" w:cstheme="minorEastAsia"/>
          <w:b/>
          <w:bCs/>
          <w:color w:val="auto"/>
          <w:sz w:val="24"/>
          <w:szCs w:val="24"/>
        </w:rPr>
        <w:t>合格。</w:t>
      </w:r>
      <w:r>
        <w:rPr>
          <w:rFonts w:hint="eastAsia" w:asciiTheme="minorEastAsia" w:hAnsiTheme="minorEastAsia" w:eastAsiaTheme="minorEastAsia" w:cstheme="minorEastAsia"/>
          <w:b/>
          <w:bCs/>
          <w:color w:val="auto"/>
          <w:sz w:val="24"/>
          <w:szCs w:val="24"/>
          <w:lang w:val="en-US" w:eastAsia="zh-CN"/>
        </w:rPr>
        <w:t>本项目施工方应高度重视焊接质量，避免返工增加不必要的成本。管道焊缝须进行探伤，由发包方指定的检测公司进行，费用由发包方负责，施工单位协助探伤。如检测不合格，由施工单位返工并承担二次检测费用。</w:t>
      </w:r>
    </w:p>
    <w:p>
      <w:pPr>
        <w:spacing w:line="360" w:lineRule="auto"/>
        <w:ind w:firstLine="482"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val="en-US" w:eastAsia="zh-CN"/>
        </w:rPr>
        <w:t>本项目管道焊接时，可能少量水流渗出，焊接时，需采取措施。</w:t>
      </w:r>
      <w:r>
        <w:rPr>
          <w:rFonts w:hint="eastAsia" w:asciiTheme="minorEastAsia" w:hAnsiTheme="minorEastAsia" w:eastAsiaTheme="minorEastAsia" w:cstheme="minorEastAsia"/>
          <w:color w:val="auto"/>
          <w:sz w:val="24"/>
          <w:szCs w:val="24"/>
        </w:rPr>
        <w:t>管道切割后，清除焊渣，管道开坡口，坡口的尺寸应符合现行国家标准的有关规定。焊缝外观质量不允许有裂纹、气孔、夹渣、熔合性飞溅和未焊透，咬边深度不大于0.5mm。</w:t>
      </w:r>
    </w:p>
    <w:p>
      <w:pPr>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四</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管道切割和焊接必须做好保护措施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如封堵措施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，防止焊渣进入管道，法兰焊接完安装阀门前，须清理干净，并经双方确认，管道内无遗留物物体和杂质。</w:t>
      </w:r>
    </w:p>
    <w:p>
      <w:pPr>
        <w:spacing w:line="360" w:lineRule="auto"/>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五</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新</w:t>
      </w:r>
      <w:r>
        <w:rPr>
          <w:rFonts w:hint="eastAsia" w:asciiTheme="minorEastAsia" w:hAnsiTheme="minorEastAsia" w:eastAsiaTheme="minorEastAsia" w:cstheme="minorEastAsia"/>
          <w:color w:val="auto"/>
          <w:sz w:val="24"/>
          <w:szCs w:val="24"/>
          <w:lang w:val="en-US" w:eastAsia="zh-CN"/>
        </w:rPr>
        <w:t>法兰盘、</w:t>
      </w:r>
      <w:r>
        <w:rPr>
          <w:rFonts w:hint="eastAsia" w:asciiTheme="minorEastAsia" w:hAnsiTheme="minorEastAsia" w:eastAsiaTheme="minorEastAsia" w:cstheme="minorEastAsia"/>
          <w:color w:val="auto"/>
          <w:sz w:val="24"/>
          <w:szCs w:val="24"/>
        </w:rPr>
        <w:t>阀门安装包括更换螺栓和密封垫，螺栓要求专业厂家生产，强度等级要求4.8级，表面镀锌，含一母一弹一平。密封垫</w:t>
      </w:r>
      <w:r>
        <w:rPr>
          <w:rFonts w:hint="eastAsia" w:asciiTheme="minorEastAsia" w:hAnsiTheme="minorEastAsia" w:eastAsiaTheme="minorEastAsia" w:cstheme="minorEastAsia"/>
          <w:color w:val="auto"/>
          <w:sz w:val="24"/>
          <w:szCs w:val="24"/>
          <w:lang w:val="en-US" w:eastAsia="zh-CN"/>
        </w:rPr>
        <w:t>采用金属复合波齿垫片。</w:t>
      </w:r>
    </w:p>
    <w:p>
      <w:pPr>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六</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管道防腐应在阀门安装完工、管道探伤、试压后进行，管道表面清除锈迹、焊渣、水份，</w:t>
      </w:r>
      <w:r>
        <w:rPr>
          <w:rFonts w:hint="eastAsia" w:asciiTheme="minorEastAsia" w:hAnsiTheme="minorEastAsia" w:eastAsiaTheme="minorEastAsia" w:cstheme="minorEastAsia"/>
          <w:b/>
          <w:bCs/>
          <w:color w:val="auto"/>
          <w:sz w:val="24"/>
          <w:szCs w:val="24"/>
        </w:rPr>
        <w:t>涂刷两遍</w:t>
      </w:r>
      <w:r>
        <w:rPr>
          <w:rFonts w:hint="eastAsia" w:asciiTheme="minorEastAsia" w:hAnsiTheme="minorEastAsia" w:eastAsiaTheme="minorEastAsia" w:cstheme="minorEastAsia"/>
          <w:b/>
          <w:bCs/>
          <w:color w:val="auto"/>
          <w:sz w:val="24"/>
          <w:szCs w:val="24"/>
          <w:lang w:val="en-US" w:eastAsia="zh-CN"/>
        </w:rPr>
        <w:t>底漆、面漆一遍</w:t>
      </w:r>
      <w:r>
        <w:rPr>
          <w:rFonts w:hint="eastAsia" w:asciiTheme="minorEastAsia" w:hAnsiTheme="minorEastAsia" w:eastAsiaTheme="minorEastAsia" w:cstheme="minorEastAsia"/>
          <w:b/>
          <w:bCs/>
          <w:color w:val="auto"/>
          <w:sz w:val="24"/>
          <w:szCs w:val="24"/>
        </w:rPr>
        <w:t>。</w:t>
      </w:r>
    </w:p>
    <w:p>
      <w:pPr>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七</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拆除下来的</w:t>
      </w:r>
      <w:r>
        <w:rPr>
          <w:rFonts w:hint="eastAsia" w:asciiTheme="minorEastAsia" w:hAnsiTheme="minorEastAsia" w:eastAsiaTheme="minorEastAsia" w:cstheme="minorEastAsia"/>
          <w:color w:val="auto"/>
          <w:sz w:val="24"/>
          <w:szCs w:val="24"/>
          <w:lang w:val="en-US" w:eastAsia="zh-CN"/>
        </w:rPr>
        <w:t>管道、乙二醇泵、电机、旧阀门</w:t>
      </w:r>
      <w:r>
        <w:rPr>
          <w:rFonts w:hint="eastAsia" w:asciiTheme="minorEastAsia" w:hAnsiTheme="minorEastAsia" w:eastAsiaTheme="minorEastAsia" w:cstheme="minorEastAsia"/>
          <w:color w:val="auto"/>
          <w:sz w:val="24"/>
          <w:szCs w:val="24"/>
        </w:rPr>
        <w:t>等材料由乙方负责从施工现场运送至甲方仓库。</w:t>
      </w:r>
    </w:p>
    <w:p>
      <w:pPr>
        <w:pStyle w:val="9"/>
        <w:spacing w:line="360" w:lineRule="auto"/>
        <w:ind w:firstLine="480" w:firstLineChars="2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八</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施工地点在</w:t>
      </w:r>
      <w:r>
        <w:rPr>
          <w:rFonts w:hint="eastAsia" w:asciiTheme="minorEastAsia" w:hAnsiTheme="minorEastAsia" w:eastAsiaTheme="minorEastAsia" w:cstheme="minorEastAsia"/>
          <w:color w:val="auto"/>
          <w:sz w:val="24"/>
          <w:szCs w:val="24"/>
          <w:lang w:val="en-US" w:eastAsia="zh-CN"/>
        </w:rPr>
        <w:t>三号冷站二层机房，与其他冬季检修一同施工，注意施工区域隔离、避免垂直交叉作业，注意二层主机地面保护措施、如地面破损则需修复</w:t>
      </w:r>
      <w:r>
        <w:rPr>
          <w:rFonts w:hint="eastAsia" w:asciiTheme="minorEastAsia" w:hAnsiTheme="minorEastAsia" w:eastAsiaTheme="minorEastAsia" w:cstheme="minorEastAsia"/>
          <w:b/>
          <w:bCs/>
          <w:color w:val="auto"/>
          <w:sz w:val="24"/>
          <w:szCs w:val="24"/>
          <w:lang w:val="en-US" w:eastAsia="zh-CN"/>
        </w:rPr>
        <w:t>。</w:t>
      </w:r>
    </w:p>
    <w:p>
      <w:pPr>
        <w:spacing w:line="360" w:lineRule="auto"/>
        <w:ind w:firstLine="482"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九</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二层机房甲方可提供接电，施工单位应自配电箱（带漏电开关）。</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本工程施工需在今年冬季停冷后分批进行，具体开工时间</w:t>
      </w:r>
      <w:r>
        <w:rPr>
          <w:rFonts w:hint="eastAsia" w:asciiTheme="minorEastAsia" w:hAnsiTheme="minorEastAsia" w:eastAsiaTheme="minorEastAsia" w:cstheme="minorEastAsia"/>
          <w:color w:val="auto"/>
          <w:sz w:val="24"/>
          <w:szCs w:val="24"/>
          <w:lang w:val="en-US" w:eastAsia="zh-CN"/>
        </w:rPr>
        <w:t>以</w:t>
      </w:r>
      <w:r>
        <w:rPr>
          <w:rFonts w:hint="eastAsia" w:asciiTheme="minorEastAsia" w:hAnsiTheme="minorEastAsia" w:eastAsiaTheme="minorEastAsia" w:cstheme="minorEastAsia"/>
          <w:color w:val="auto"/>
          <w:sz w:val="24"/>
          <w:szCs w:val="24"/>
        </w:rPr>
        <w:t>我司通知为准。</w:t>
      </w:r>
    </w:p>
    <w:p>
      <w:pPr>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十一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包</w:t>
      </w:r>
      <w:r>
        <w:rPr>
          <w:rFonts w:hint="eastAsia" w:asciiTheme="minorEastAsia" w:hAnsiTheme="minorEastAsia" w:eastAsiaTheme="minorEastAsia" w:cstheme="minorEastAsia"/>
          <w:color w:val="auto"/>
          <w:sz w:val="24"/>
          <w:szCs w:val="24"/>
          <w:lang w:val="en-US" w:eastAsia="zh-CN"/>
        </w:rPr>
        <w:t>废弃物、</w:t>
      </w:r>
      <w:r>
        <w:rPr>
          <w:rFonts w:hint="eastAsia" w:asciiTheme="minorEastAsia" w:hAnsiTheme="minorEastAsia" w:eastAsiaTheme="minorEastAsia" w:cstheme="minorEastAsia"/>
          <w:color w:val="auto"/>
          <w:sz w:val="24"/>
          <w:szCs w:val="24"/>
        </w:rPr>
        <w:t>垃圾外运，完工后场地清理。</w:t>
      </w:r>
    </w:p>
    <w:p>
      <w:pPr>
        <w:pStyle w:val="9"/>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十二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进入施工现场必须遵守安全操作规程和安全生产纪律，</w:t>
      </w:r>
      <w:r>
        <w:rPr>
          <w:rFonts w:hint="eastAsia" w:asciiTheme="minorEastAsia" w:hAnsiTheme="minorEastAsia" w:eastAsiaTheme="minorEastAsia" w:cstheme="minorEastAsia"/>
          <w:color w:val="auto"/>
          <w:sz w:val="24"/>
          <w:szCs w:val="24"/>
          <w:lang w:val="en-US" w:eastAsia="zh-CN"/>
        </w:rPr>
        <w:t>注意文明施工，</w:t>
      </w:r>
      <w:r>
        <w:rPr>
          <w:rFonts w:hint="eastAsia" w:asciiTheme="minorEastAsia" w:hAnsiTheme="minorEastAsia" w:eastAsiaTheme="minorEastAsia" w:cstheme="minorEastAsia"/>
          <w:color w:val="auto"/>
          <w:sz w:val="24"/>
          <w:szCs w:val="24"/>
        </w:rPr>
        <w:t>特种作业人员必须持证上岗，如焊工证等。</w:t>
      </w:r>
    </w:p>
    <w:p>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十三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现场起重吊装（含起重机吊装、自搭架子吊装等）、动火作业、高处作业等，安全员应到场管理。</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项目工期、验收标准及质保期限</w:t>
      </w:r>
    </w:p>
    <w:p>
      <w:pPr>
        <w:numPr>
          <w:ilvl w:val="0"/>
          <w:numId w:val="4"/>
        </w:numPr>
        <w:spacing w:before="120" w:beforeLines="50" w:after="120" w:afterLines="50" w:line="240" w:lineRule="auto"/>
        <w:ind w:left="0"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施工工期</w:t>
      </w:r>
    </w:p>
    <w:p>
      <w:pPr>
        <w:spacing w:after="100" w:afterAutospacing="1" w:line="240" w:lineRule="auto"/>
        <w:ind w:firstLine="480" w:firstLineChars="200"/>
        <w:jc w:val="lef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sz w:val="24"/>
        </w:rPr>
        <w:t>本项目工期90日历天。预计自2025年12月下旬开始，春节期间停工，要求在2026年4月10前完工。</w:t>
      </w:r>
      <w:r>
        <w:rPr>
          <w:rFonts w:hint="eastAsia" w:asciiTheme="minorEastAsia" w:hAnsiTheme="minorEastAsia" w:eastAsiaTheme="minorEastAsia" w:cstheme="minorEastAsia"/>
          <w:sz w:val="24"/>
          <w:lang w:val="en-US" w:eastAsia="zh-CN"/>
        </w:rPr>
        <w:t>具体开工日期以甲方采购人通知为准。</w:t>
      </w:r>
    </w:p>
    <w:p>
      <w:pPr>
        <w:numPr>
          <w:ilvl w:val="0"/>
          <w:numId w:val="4"/>
        </w:numPr>
        <w:spacing w:before="120" w:beforeLines="50" w:after="120" w:afterLines="50" w:line="240" w:lineRule="auto"/>
        <w:ind w:left="0"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sz w:val="24"/>
          <w:szCs w:val="24"/>
          <w:lang w:val="en-US" w:eastAsia="zh-CN"/>
        </w:rPr>
        <w:t>验收标准</w:t>
      </w:r>
    </w:p>
    <w:p>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《通风与空调工程施工质量验收规范》（GB/T 50243-2016）</w:t>
      </w:r>
      <w:r>
        <w:rPr>
          <w:rFonts w:hint="eastAsia" w:asciiTheme="minorEastAsia" w:hAnsiTheme="minorEastAsia" w:eastAsiaTheme="minorEastAsia" w:cstheme="minorEastAsia"/>
          <w:color w:val="auto"/>
          <w:sz w:val="24"/>
        </w:rPr>
        <w:t>及国家和行业相关的其他质量验收标准要求执行</w:t>
      </w:r>
      <w:r>
        <w:rPr>
          <w:rFonts w:hint="eastAsia" w:asciiTheme="minorEastAsia" w:hAnsiTheme="minorEastAsia" w:eastAsiaTheme="minorEastAsia" w:cstheme="minorEastAsia"/>
          <w:color w:val="auto"/>
          <w:sz w:val="24"/>
          <w:szCs w:val="24"/>
          <w:lang w:eastAsia="zh-CN"/>
        </w:rPr>
        <w:t>。</w:t>
      </w:r>
    </w:p>
    <w:p>
      <w:pPr>
        <w:spacing w:line="360" w:lineRule="auto"/>
        <w:ind w:firstLine="482" w:firstLineChars="200"/>
        <w:jc w:val="left"/>
        <w:rPr>
          <w:rFonts w:hint="default"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焊接完成后需进行探伤检测；项目完工后，需试运行，试运行无异常后方可验收。</w:t>
      </w:r>
    </w:p>
    <w:p>
      <w:pPr>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乙方采购的</w:t>
      </w:r>
      <w:r>
        <w:rPr>
          <w:rFonts w:hint="eastAsia" w:asciiTheme="minorEastAsia" w:hAnsiTheme="minorEastAsia" w:eastAsiaTheme="minorEastAsia" w:cstheme="minorEastAsia"/>
          <w:color w:val="auto"/>
          <w:sz w:val="24"/>
          <w:szCs w:val="24"/>
          <w:lang w:val="en-US" w:eastAsia="zh-CN"/>
        </w:rPr>
        <w:t>设备及</w:t>
      </w:r>
      <w:r>
        <w:rPr>
          <w:rFonts w:hint="eastAsia" w:asciiTheme="minorEastAsia" w:hAnsiTheme="minorEastAsia" w:eastAsiaTheme="minorEastAsia" w:cstheme="minorEastAsia"/>
          <w:color w:val="auto"/>
          <w:sz w:val="24"/>
          <w:szCs w:val="24"/>
        </w:rPr>
        <w:t>主材，须提供厂家合格证、检验证明、发货单、货运单、订货合同等证明文件，材料到达现场应通知甲方项目负责人现场检查查验，确认合格后方可安装使用。</w:t>
      </w:r>
    </w:p>
    <w:p>
      <w:pPr>
        <w:pStyle w:val="2"/>
        <w:spacing w:before="120" w:beforeLines="50" w:after="120" w:afterLines="50" w:line="360" w:lineRule="auto"/>
        <w:ind w:left="420" w:leftChars="200"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（四）工程验收的方式</w:t>
      </w:r>
    </w:p>
    <w:p>
      <w:pPr>
        <w:numPr>
          <w:ilvl w:val="0"/>
          <w:numId w:val="5"/>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项目分材料验收、过程验收及竣工验收。</w:t>
      </w:r>
    </w:p>
    <w:p>
      <w:pPr>
        <w:numPr>
          <w:ilvl w:val="0"/>
          <w:numId w:val="5"/>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施工单位在完工后，须提前3天提交工程验收进度计划给采购人，以便采购人组织相关人员对项目进行验收。</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3.施工方全部施工完毕，通知采购方，由采购方根据现场条件组织验收。</w:t>
      </w:r>
    </w:p>
    <w:p>
      <w:pPr>
        <w:numPr>
          <w:ilvl w:val="255"/>
          <w:numId w:val="0"/>
        </w:numPr>
        <w:spacing w:before="120" w:beforeLines="50" w:after="120" w:afterLines="50"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4.施工单位必须将产品所有随机资料（包括但不限于设备及材料检验合格证书等）提交采购方，同时将与项目有关的竣工资料一式两份一起提交给采购人</w:t>
      </w:r>
      <w:r>
        <w:rPr>
          <w:rFonts w:hint="eastAsia" w:asciiTheme="minorEastAsia" w:hAnsiTheme="minorEastAsia" w:eastAsiaTheme="minorEastAsia" w:cstheme="minorEastAsia"/>
          <w:kern w:val="0"/>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（五）质保期：本工程质保期要求为1年，</w:t>
      </w:r>
      <w:r>
        <w:rPr>
          <w:rFonts w:hint="eastAsia" w:asciiTheme="minorEastAsia" w:hAnsiTheme="minorEastAsia" w:eastAsiaTheme="minorEastAsia" w:cstheme="minorEastAsia"/>
          <w:sz w:val="24"/>
          <w:lang w:bidi="ar"/>
        </w:rPr>
        <w:t>质保期从设备安装调试验收合格之日起计算，质保期内出现任何质量问题均由施工单位免费负责维修。</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工程费用及支付方式</w:t>
      </w:r>
    </w:p>
    <w:p>
      <w:pPr>
        <w:numPr>
          <w:ilvl w:val="0"/>
          <w:numId w:val="6"/>
        </w:numPr>
        <w:spacing w:before="120" w:beforeLines="50" w:after="120" w:afterLines="50" w:line="360" w:lineRule="auto"/>
        <w:ind w:left="0" w:firstLine="480" w:firstLineChars="200"/>
        <w:rPr>
          <w:sz w:val="24"/>
        </w:rPr>
      </w:pPr>
      <w:r>
        <w:rPr>
          <w:rFonts w:hint="eastAsia"/>
          <w:sz w:val="24"/>
        </w:rPr>
        <w:t>本工程采</w:t>
      </w:r>
      <w:r>
        <w:rPr>
          <w:rFonts w:hint="eastAsia"/>
          <w:b w:val="0"/>
          <w:bCs w:val="0"/>
          <w:color w:val="auto"/>
          <w:sz w:val="24"/>
        </w:rPr>
        <w:t>用</w:t>
      </w:r>
      <w:r>
        <w:rPr>
          <w:rFonts w:hint="eastAsia"/>
          <w:b w:val="0"/>
          <w:bCs w:val="0"/>
          <w:color w:val="FF0000"/>
          <w:sz w:val="24"/>
        </w:rPr>
        <w:t>合同</w:t>
      </w:r>
      <w:r>
        <w:rPr>
          <w:rFonts w:hint="eastAsia"/>
          <w:b w:val="0"/>
          <w:bCs w:val="0"/>
          <w:color w:val="FF0000"/>
          <w:sz w:val="24"/>
          <w:lang w:val="en-US" w:eastAsia="zh-CN"/>
        </w:rPr>
        <w:t>综合单价</w:t>
      </w:r>
      <w:r>
        <w:rPr>
          <w:rFonts w:hint="eastAsia"/>
          <w:b w:val="0"/>
          <w:bCs w:val="0"/>
          <w:color w:val="FF0000"/>
          <w:sz w:val="24"/>
        </w:rPr>
        <w:t>包干</w:t>
      </w:r>
      <w:r>
        <w:rPr>
          <w:rFonts w:hint="eastAsia"/>
          <w:sz w:val="24"/>
        </w:rPr>
        <w:t>。包工、包料、包工期、包质量、包安全、包安全文明施工、包验收、包结算、包资料整理、包综合治理、包现场卫生清洁、包风险、包利润和管理费等完成本项目的全部费用</w:t>
      </w:r>
      <w:r>
        <w:rPr>
          <w:sz w:val="24"/>
        </w:rPr>
        <w:t>。</w:t>
      </w:r>
    </w:p>
    <w:p>
      <w:pPr>
        <w:numPr>
          <w:ilvl w:val="0"/>
          <w:numId w:val="6"/>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6"/>
        </w:numPr>
        <w:spacing w:before="120" w:beforeLines="50" w:after="120" w:afterLines="50" w:line="360" w:lineRule="auto"/>
        <w:ind w:left="0" w:firstLine="480" w:firstLineChars="200"/>
        <w:rPr>
          <w:sz w:val="24"/>
        </w:rPr>
      </w:pPr>
      <w:r>
        <w:rPr>
          <w:rFonts w:hint="eastAsia"/>
          <w:sz w:val="24"/>
        </w:rPr>
        <w:t>付款方式</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在本合同履行期内，若国家税费调整，合同含税金额按国家规定税率作出相应调整，供方每次申请付款应按照合同内容开具相应税率的合法有效的增值税专用发票。</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合同付款按施工进度支付，具体为：</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（1）合同签订并进场后，甲方收到乙方请款资料后15个工作日内支付暂定合同总价20%的预付款。</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（2）项目形象进度完成合同工程量</w:t>
      </w:r>
      <w:r>
        <w:rPr>
          <w:rFonts w:hint="eastAsia" w:ascii="宋体" w:hAnsi="宋体" w:cs="Arial"/>
          <w:color w:val="000000"/>
          <w:sz w:val="24"/>
          <w:lang w:val="en-US" w:eastAsia="zh-CN"/>
        </w:rPr>
        <w:t>6</w:t>
      </w:r>
      <w:r>
        <w:rPr>
          <w:rFonts w:hint="eastAsia" w:ascii="宋体" w:hAnsi="宋体" w:cs="Arial"/>
          <w:color w:val="000000"/>
          <w:sz w:val="24"/>
        </w:rPr>
        <w:t>0%，甲方收到乙方请款资料后15个工作日内支付至合同总价的</w:t>
      </w:r>
      <w:r>
        <w:rPr>
          <w:rFonts w:hint="eastAsia" w:ascii="宋体" w:hAnsi="宋体" w:cs="Arial"/>
          <w:color w:val="000000"/>
          <w:sz w:val="24"/>
          <w:lang w:val="en-US" w:eastAsia="zh-CN"/>
        </w:rPr>
        <w:t>4</w:t>
      </w:r>
      <w:r>
        <w:rPr>
          <w:rFonts w:hint="eastAsia" w:ascii="宋体" w:hAnsi="宋体" w:cs="Arial"/>
          <w:color w:val="000000"/>
          <w:sz w:val="24"/>
        </w:rPr>
        <w:t>0%</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项目形象进度完成合同工程量80%，甲方收到乙方请款资料后15个工作日内支付至合同总价的60%。</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（3）工程全部完工，甲方收到乙方请款资料后15个工作日内支付至合同总价的80%。</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（4）项目竣工验收合格并按甲方要求完成合同结算手续后，甲方收到乙方请款资料后15个工作日内支付工程款至合同结算总造价的97%。</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（5）质保期期满且乙方质保期义务按要求履行完毕后，甲方收到乙方请款资料后15个工作日内付清余款（不计利息）。</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8"/>
        </w:numPr>
        <w:spacing w:before="120" w:beforeLines="50" w:after="120" w:afterLines="50" w:line="360" w:lineRule="auto"/>
        <w:ind w:left="0" w:firstLine="480" w:firstLineChars="200"/>
        <w:rPr>
          <w:sz w:val="24"/>
        </w:rPr>
      </w:pPr>
      <w:r>
        <w:rPr>
          <w:rFonts w:hint="eastAsia"/>
          <w:sz w:val="24"/>
        </w:rPr>
        <w:t>商务部分（提供复印件，并加盖公章）</w:t>
      </w:r>
    </w:p>
    <w:p>
      <w:pPr>
        <w:spacing w:before="120" w:beforeLines="50" w:after="120" w:afterLines="50" w:line="360" w:lineRule="auto"/>
        <w:ind w:firstLine="480" w:firstLineChars="200"/>
        <w:rPr>
          <w:rFonts w:ascii="宋体" w:hAnsi="宋体"/>
          <w:sz w:val="24"/>
        </w:rPr>
      </w:pPr>
      <w:bookmarkStart w:id="1" w:name="_Hlk33472787"/>
      <w:r>
        <w:rPr>
          <w:rFonts w:hint="eastAsia" w:ascii="宋体" w:hAnsi="宋体"/>
          <w:sz w:val="24"/>
        </w:rPr>
        <w:t>1.提供营业执照或法人证书的盖章扫描件证明；</w:t>
      </w:r>
    </w:p>
    <w:p>
      <w:pPr>
        <w:spacing w:before="120" w:beforeLines="50" w:after="120" w:afterLines="50" w:line="360" w:lineRule="auto"/>
        <w:ind w:firstLine="480" w:firstLineChars="200"/>
        <w:rPr>
          <w:rFonts w:ascii="宋体" w:hAnsi="宋体"/>
          <w:sz w:val="24"/>
        </w:rPr>
      </w:pPr>
      <w:r>
        <w:rPr>
          <w:rFonts w:hint="eastAsia" w:ascii="宋体" w:hAnsi="宋体"/>
          <w:sz w:val="24"/>
        </w:rPr>
        <w:t>2.投标人未被列入“信用中国”网站(www.creditchina.gov.cn)记录失信被执行人名单,须提供“信用中国”网站(www.creditchina.gov.cn)的信用记录查询结果截图或信用信息报告并打印页面加盖公章；</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sz w:val="24"/>
        </w:rPr>
        <w:t>3.投标人没有处于被责令停业或破产状态，且资产未被重组、接管和冻结，声明在投标活动中3年内没有重大违法活动和涉嫌违规行为（附投标声明函，见附件2格式4）；</w:t>
      </w:r>
    </w:p>
    <w:p>
      <w:pPr>
        <w:numPr>
          <w:ilvl w:val="255"/>
          <w:numId w:val="0"/>
        </w:numPr>
        <w:spacing w:before="120" w:beforeLines="50" w:after="120" w:afterLines="50" w:line="360" w:lineRule="auto"/>
        <w:ind w:left="420" w:leftChars="200"/>
        <w:rPr>
          <w:rFonts w:ascii="宋体" w:hAnsi="宋体" w:cs="Arial"/>
          <w:color w:val="000000"/>
          <w:sz w:val="24"/>
        </w:rPr>
      </w:pPr>
      <w:r>
        <w:rPr>
          <w:rFonts w:hint="eastAsia" w:ascii="宋体" w:hAnsi="宋体" w:cs="Arial"/>
          <w:color w:val="000000"/>
          <w:sz w:val="24"/>
        </w:rPr>
        <w:t>4.供应商调查表（</w:t>
      </w:r>
      <w:r>
        <w:rPr>
          <w:rFonts w:hint="eastAsia" w:ascii="宋体" w:hAnsi="宋体"/>
          <w:sz w:val="24"/>
        </w:rPr>
        <w:t>见附件2格式3</w:t>
      </w:r>
      <w:r>
        <w:rPr>
          <w:rFonts w:hint="eastAsia" w:ascii="宋体" w:hAnsi="宋体" w:cs="Arial"/>
          <w:color w:val="000000"/>
          <w:sz w:val="24"/>
        </w:rPr>
        <w:t>）</w:t>
      </w:r>
    </w:p>
    <w:p>
      <w:pPr>
        <w:pStyle w:val="40"/>
        <w:numPr>
          <w:ilvl w:val="255"/>
          <w:numId w:val="0"/>
        </w:numPr>
        <w:tabs>
          <w:tab w:val="left" w:pos="851"/>
        </w:tabs>
        <w:spacing w:line="360" w:lineRule="auto"/>
        <w:ind w:firstLine="480" w:firstLineChars="200"/>
        <w:rPr>
          <w:rFonts w:asciiTheme="minorEastAsia" w:hAnsiTheme="minorEastAsia"/>
          <w:sz w:val="24"/>
          <w:szCs w:val="28"/>
        </w:rPr>
      </w:pPr>
      <w:r>
        <w:rPr>
          <w:rFonts w:hint="eastAsia" w:asciiTheme="minorEastAsia" w:hAnsiTheme="minorEastAsia"/>
          <w:sz w:val="24"/>
          <w:szCs w:val="28"/>
        </w:rPr>
        <w:t>5.法定代表人证明书、法定代表人授权委托书原件（</w:t>
      </w:r>
      <w:r>
        <w:rPr>
          <w:rFonts w:hint="eastAsia" w:ascii="宋体" w:hAnsi="宋体"/>
          <w:sz w:val="24"/>
        </w:rPr>
        <w:t>见附件2格式2</w:t>
      </w:r>
      <w:r>
        <w:rPr>
          <w:rFonts w:hint="eastAsia" w:asciiTheme="minorEastAsia" w:hAnsiTheme="minorEastAsia"/>
          <w:sz w:val="24"/>
          <w:szCs w:val="28"/>
        </w:rPr>
        <w:t>）；</w:t>
      </w:r>
    </w:p>
    <w:p>
      <w:pPr>
        <w:numPr>
          <w:ilvl w:val="255"/>
          <w:numId w:val="0"/>
        </w:numPr>
        <w:spacing w:before="120" w:beforeLines="50" w:after="120" w:afterLines="50" w:line="360" w:lineRule="auto"/>
        <w:ind w:left="420" w:leftChars="200"/>
        <w:rPr>
          <w:rFonts w:ascii="宋体" w:hAnsi="宋体" w:cs="Arial"/>
          <w:color w:val="000000"/>
          <w:sz w:val="24"/>
        </w:rPr>
      </w:pPr>
      <w:r>
        <w:rPr>
          <w:rFonts w:hint="eastAsia" w:ascii="宋体" w:hAnsi="宋体" w:cs="Arial"/>
          <w:color w:val="000000"/>
          <w:sz w:val="24"/>
        </w:rPr>
        <w:t>6.有效的安全生产许可证及资质证书；</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7.本工程拟派项目负责人简历表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8.近3年内(2022年1月1日至今) 完成过质量合格的类似项目业绩（需提供合同等相关证明材料复印件；</w:t>
      </w:r>
    </w:p>
    <w:p>
      <w:pPr>
        <w:numPr>
          <w:ilvl w:val="255"/>
          <w:numId w:val="0"/>
        </w:num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9.</w:t>
      </w:r>
      <w:r>
        <w:rPr>
          <w:rFonts w:hint="eastAsia" w:ascii="宋体" w:hAnsi="宋体" w:cs="Arial"/>
          <w:color w:val="000000"/>
          <w:sz w:val="24"/>
          <w:highlight w:val="none"/>
        </w:rPr>
        <w:t>专职安全员具有有效的安全生产考核合格证（C类）或建筑施工企业专职安全生产管理人员有安全生产考核合格证书（C3），提供复印件；</w:t>
      </w:r>
    </w:p>
    <w:p>
      <w:pPr>
        <w:pStyle w:val="2"/>
      </w:pPr>
    </w:p>
    <w:p>
      <w:pPr>
        <w:numPr>
          <w:ilvl w:val="255"/>
          <w:numId w:val="0"/>
        </w:numPr>
        <w:spacing w:before="120" w:beforeLines="50" w:after="120" w:afterLines="50" w:line="360" w:lineRule="auto"/>
        <w:ind w:left="420" w:leftChars="200"/>
        <w:rPr>
          <w:rFonts w:hint="default" w:ascii="宋体" w:hAnsi="宋体" w:eastAsia="宋体" w:cs="Arial"/>
          <w:color w:val="000000"/>
          <w:sz w:val="24"/>
          <w:lang w:val="en-US" w:eastAsia="zh-CN"/>
        </w:rPr>
      </w:pPr>
      <w:r>
        <w:rPr>
          <w:rFonts w:hint="eastAsia" w:ascii="宋体" w:hAnsi="宋体" w:cs="Arial"/>
          <w:color w:val="000000"/>
          <w:sz w:val="24"/>
        </w:rPr>
        <w:t>10.</w:t>
      </w:r>
      <w:r>
        <w:rPr>
          <w:rFonts w:hint="eastAsia" w:ascii="宋体" w:hAnsi="宋体" w:cs="Arial"/>
          <w:b/>
          <w:bCs/>
          <w:color w:val="000000"/>
          <w:sz w:val="24"/>
          <w:lang w:val="en-US" w:eastAsia="zh-CN"/>
        </w:rPr>
        <w:t>投标偏差表</w:t>
      </w:r>
      <w:r>
        <w:rPr>
          <w:rFonts w:hint="eastAsia" w:asciiTheme="minorEastAsia" w:hAnsiTheme="minorEastAsia"/>
          <w:sz w:val="24"/>
          <w:szCs w:val="28"/>
        </w:rPr>
        <w:t>（</w:t>
      </w:r>
      <w:r>
        <w:rPr>
          <w:rFonts w:hint="eastAsia" w:ascii="宋体" w:hAnsi="宋体"/>
          <w:sz w:val="24"/>
        </w:rPr>
        <w:t>见附件2格式</w:t>
      </w:r>
      <w:r>
        <w:rPr>
          <w:rFonts w:hint="eastAsia" w:ascii="宋体" w:hAnsi="宋体"/>
          <w:sz w:val="24"/>
          <w:lang w:val="en-US" w:eastAsia="zh-CN"/>
        </w:rPr>
        <w:t>5</w:t>
      </w:r>
      <w:r>
        <w:rPr>
          <w:rFonts w:hint="eastAsia" w:asciiTheme="minorEastAsia" w:hAnsiTheme="minorEastAsia"/>
          <w:sz w:val="24"/>
          <w:szCs w:val="28"/>
        </w:rPr>
        <w:t>）</w:t>
      </w:r>
    </w:p>
    <w:p>
      <w:pPr>
        <w:numPr>
          <w:ilvl w:val="255"/>
          <w:numId w:val="0"/>
        </w:numPr>
        <w:spacing w:before="120" w:beforeLines="50" w:after="120" w:afterLines="50" w:line="360" w:lineRule="auto"/>
        <w:ind w:left="420" w:leftChars="200"/>
        <w:rPr>
          <w:sz w:val="28"/>
          <w:szCs w:val="28"/>
        </w:rPr>
      </w:pPr>
      <w:r>
        <w:rPr>
          <w:rFonts w:hint="eastAsia" w:ascii="宋体" w:hAnsi="宋体" w:cs="Arial"/>
          <w:color w:val="000000"/>
          <w:sz w:val="24"/>
          <w:lang w:val="en-US" w:eastAsia="zh-CN"/>
        </w:rPr>
        <w:t>11.</w:t>
      </w:r>
      <w:r>
        <w:rPr>
          <w:rFonts w:hint="eastAsia" w:ascii="宋体" w:hAnsi="宋体" w:cs="Arial"/>
          <w:color w:val="000000"/>
          <w:sz w:val="24"/>
        </w:rPr>
        <w:t>投标人认为有必要的其他材料复印件</w:t>
      </w:r>
      <w:bookmarkEnd w:id="1"/>
      <w:r>
        <w:rPr>
          <w:rFonts w:hint="eastAsia" w:ascii="宋体" w:hAnsi="宋体" w:cs="Arial"/>
          <w:color w:val="000000"/>
          <w:sz w:val="24"/>
        </w:rPr>
        <w:t>。</w:t>
      </w:r>
    </w:p>
    <w:p>
      <w:pPr>
        <w:numPr>
          <w:ilvl w:val="0"/>
          <w:numId w:val="8"/>
        </w:numPr>
        <w:spacing w:before="120" w:beforeLines="50" w:after="120" w:afterLines="50" w:line="360" w:lineRule="auto"/>
        <w:ind w:left="0" w:firstLine="480" w:firstLineChars="200"/>
        <w:rPr>
          <w:sz w:val="24"/>
        </w:rPr>
      </w:pPr>
      <w:r>
        <w:rPr>
          <w:rFonts w:hint="eastAsia"/>
          <w:sz w:val="24"/>
        </w:rPr>
        <w:t>技术部分（格式自定，加盖公章）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9"/>
        </w:numPr>
        <w:spacing w:before="120" w:beforeLines="50" w:after="120" w:afterLines="50" w:line="360" w:lineRule="auto"/>
        <w:ind w:left="0" w:firstLine="480" w:firstLineChars="200"/>
        <w:rPr>
          <w:rFonts w:ascii="宋体" w:hAnsi="宋体" w:cs="Arial"/>
          <w:color w:val="000000"/>
          <w:sz w:val="24"/>
        </w:rPr>
      </w:pPr>
      <w:bookmarkStart w:id="2" w:name="_Hlk33472829"/>
      <w:r>
        <w:rPr>
          <w:rFonts w:hint="eastAsia" w:ascii="宋体" w:hAnsi="宋体" w:cs="Arial"/>
          <w:color w:val="000000"/>
          <w:sz w:val="24"/>
        </w:rPr>
        <w:t>总体实施方案</w:t>
      </w:r>
      <w:r>
        <w:rPr>
          <w:rFonts w:hint="eastAsia" w:asciiTheme="minorEastAsia" w:hAnsiTheme="minorEastAsia" w:eastAsiaTheme="minorEastAsia" w:cstheme="minorEastAsia"/>
          <w:color w:val="000000"/>
          <w:sz w:val="24"/>
        </w:rPr>
        <w:t>；</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实施进度计划和工期承诺书；</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确保实施进度的技术和组织措施</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投入的机械设备；</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投标人认为其它需要说明的文字</w:t>
      </w:r>
      <w:bookmarkEnd w:id="2"/>
      <w:r>
        <w:rPr>
          <w:rFonts w:hint="eastAsia" w:ascii="宋体" w:hAnsi="宋体" w:cs="Arial"/>
          <w:color w:val="000000"/>
          <w:sz w:val="24"/>
        </w:rPr>
        <w:t>。</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说明：投标人如没有提供施工方案的，视为投标人承诺中标后的施工能完全满足竞选文件的要求。</w:t>
      </w:r>
    </w:p>
    <w:p>
      <w:pPr>
        <w:numPr>
          <w:ilvl w:val="0"/>
          <w:numId w:val="8"/>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10"/>
        </w:numPr>
        <w:spacing w:before="120" w:beforeLines="50" w:after="120" w:afterLines="50" w:line="360" w:lineRule="auto"/>
        <w:ind w:left="0" w:firstLine="480" w:firstLineChars="200"/>
        <w:rPr>
          <w:rFonts w:ascii="宋体" w:hAnsi="宋体" w:cs="Arial"/>
          <w:color w:val="000000"/>
          <w:sz w:val="24"/>
        </w:rPr>
      </w:pPr>
      <w:bookmarkStart w:id="3" w:name="_Hlk33472852"/>
      <w:r>
        <w:rPr>
          <w:rFonts w:hint="eastAsia" w:ascii="宋体" w:hAnsi="宋体" w:cs="Arial"/>
          <w:color w:val="000000"/>
          <w:sz w:val="24"/>
        </w:rPr>
        <w:t>报价一览表（格式见附件1）</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报价明细表：采用工程量清单计价，按本竞选文件所附工程量清单和乙供主要材料清单报价，包括但不限于工程量清单和乙供主要材料清单各项目单价及综合总报价，并注明未含税总价、税率和含税总价</w:t>
      </w:r>
      <w:bookmarkEnd w:id="3"/>
      <w:r>
        <w:rPr>
          <w:rFonts w:hint="eastAsia" w:ascii="宋体" w:hAnsi="宋体" w:cs="Arial"/>
          <w:color w:val="000000"/>
          <w:sz w:val="24"/>
        </w:rPr>
        <w:t>。</w:t>
      </w:r>
    </w:p>
    <w:p>
      <w:pPr>
        <w:pStyle w:val="8"/>
        <w:rPr>
          <w:rFonts w:hint="default" w:eastAsia="宋体"/>
          <w:lang w:val="en-US" w:eastAsia="zh-CN"/>
        </w:rPr>
      </w:pPr>
      <w:r>
        <w:rPr>
          <w:rFonts w:hint="eastAsia" w:ascii="宋体" w:hAnsi="宋体" w:cs="Arial"/>
          <w:color w:val="000000"/>
          <w:sz w:val="24"/>
          <w:lang w:val="en-US" w:eastAsia="zh-CN"/>
        </w:rPr>
        <w:t xml:space="preserve"> 3.主要设备报价品牌响应表</w:t>
      </w:r>
    </w:p>
    <w:p>
      <w:pPr>
        <w:numPr>
          <w:ilvl w:val="255"/>
          <w:numId w:val="0"/>
        </w:numPr>
        <w:spacing w:line="360" w:lineRule="auto"/>
        <w:ind w:firstLine="482" w:firstLineChars="200"/>
        <w:rPr>
          <w:rFonts w:ascii="宋体" w:hAnsi="宋体"/>
          <w:b/>
          <w:sz w:val="24"/>
        </w:rPr>
      </w:pPr>
      <w:r>
        <w:rPr>
          <w:rFonts w:hint="eastAsia" w:ascii="宋体" w:hAnsi="宋体"/>
          <w:b/>
          <w:sz w:val="24"/>
        </w:rPr>
        <w:t>九、特别注意</w:t>
      </w:r>
    </w:p>
    <w:p>
      <w:pPr>
        <w:tabs>
          <w:tab w:val="left" w:pos="540"/>
          <w:tab w:val="left" w:pos="720"/>
        </w:tabs>
        <w:spacing w:before="120" w:beforeLines="50" w:after="120" w:afterLines="50" w:line="360" w:lineRule="auto"/>
        <w:ind w:firstLine="480" w:firstLineChars="200"/>
        <w:rPr>
          <w:bCs/>
          <w:sz w:val="24"/>
        </w:rPr>
      </w:pPr>
      <w:r>
        <w:rPr>
          <w:rFonts w:hint="eastAsia"/>
          <w:bCs/>
          <w:sz w:val="24"/>
        </w:rPr>
        <w:t>（一）本项目公告未明确事项，按采购文件执行。供应商响应报价即为认同本项目所有文件中的约定，本项目报价文件为采购方免费提供，无论成交与否，均默认授权由采购方自行处理，不作退回。</w:t>
      </w:r>
    </w:p>
    <w:p>
      <w:pPr>
        <w:tabs>
          <w:tab w:val="left" w:pos="540"/>
          <w:tab w:val="left" w:pos="720"/>
        </w:tabs>
        <w:spacing w:before="120" w:beforeLines="50" w:after="120" w:afterLines="50" w:line="360" w:lineRule="auto"/>
        <w:ind w:firstLine="480" w:firstLineChars="200"/>
        <w:rPr>
          <w:bCs/>
          <w:sz w:val="24"/>
        </w:rPr>
      </w:pPr>
      <w:r>
        <w:rPr>
          <w:rFonts w:hint="eastAsia"/>
          <w:bCs/>
          <w:sz w:val="24"/>
        </w:rPr>
        <w:t>（二）供应商之间不得与同一个第三人存在关联关系，如存在关联关系，则投标无效。如果发现供应商存在围标、串标等违法情形，将列入采购黑名单，不得参与采购人的采购项目。</w:t>
      </w:r>
    </w:p>
    <w:p>
      <w:pPr>
        <w:tabs>
          <w:tab w:val="left" w:pos="540"/>
          <w:tab w:val="left" w:pos="720"/>
        </w:tabs>
        <w:spacing w:before="120" w:beforeLines="50" w:after="120" w:afterLines="50" w:line="360" w:lineRule="auto"/>
        <w:ind w:firstLine="480" w:firstLineChars="200"/>
        <w:rPr>
          <w:bCs/>
          <w:sz w:val="24"/>
        </w:rPr>
      </w:pPr>
      <w:r>
        <w:rPr>
          <w:rFonts w:hint="eastAsia"/>
          <w:bCs/>
          <w:sz w:val="24"/>
        </w:rPr>
        <w:t>（三）采购项目若存在项目调整或计划变动，采购人有权单方面终止采购。</w:t>
      </w:r>
    </w:p>
    <w:p>
      <w:pPr>
        <w:numPr>
          <w:ilvl w:val="255"/>
          <w:numId w:val="0"/>
        </w:numPr>
        <w:tabs>
          <w:tab w:val="left" w:pos="540"/>
          <w:tab w:val="left" w:pos="720"/>
        </w:tabs>
        <w:spacing w:before="120" w:beforeLines="50" w:after="120" w:afterLines="50" w:line="360" w:lineRule="auto"/>
        <w:ind w:firstLine="480" w:firstLineChars="200"/>
        <w:rPr>
          <w:rFonts w:hint="eastAsia" w:ascii="宋体" w:hAnsi="宋体"/>
          <w:sz w:val="24"/>
        </w:rPr>
      </w:pPr>
      <w:r>
        <w:rPr>
          <w:rFonts w:hint="eastAsia"/>
          <w:bCs/>
          <w:sz w:val="24"/>
        </w:rPr>
        <w:t>（四）</w:t>
      </w:r>
      <w:r>
        <w:rPr>
          <w:rFonts w:hint="eastAsia" w:ascii="宋体" w:hAnsi="宋体"/>
          <w:sz w:val="24"/>
        </w:rPr>
        <w:t>如乙方所提供的服务未达甲方要求的，甲方书面提出整改通知，乙方未按要求及时整改或未达整改要求的属于违约行为，甲方有权单方面终止合同，由此造成甲方经济损失的，乙方应给予赔偿。</w:t>
      </w:r>
    </w:p>
    <w:p>
      <w:pPr>
        <w:numPr>
          <w:ilvl w:val="255"/>
          <w:numId w:val="0"/>
        </w:numPr>
        <w:tabs>
          <w:tab w:val="left" w:pos="540"/>
          <w:tab w:val="left" w:pos="720"/>
        </w:tabs>
        <w:spacing w:before="120" w:beforeLines="50" w:after="120" w:afterLines="50" w:line="360" w:lineRule="auto"/>
        <w:ind w:left="0" w:firstLine="480" w:firstLineChars="200"/>
        <w:rPr>
          <w:rFonts w:hint="eastAsia" w:ascii="宋体" w:hAnsi="宋体"/>
          <w:sz w:val="24"/>
        </w:rPr>
      </w:pPr>
      <w:r>
        <w:rPr>
          <w:rFonts w:hint="eastAsia" w:ascii="宋体" w:hAnsi="宋体"/>
          <w:sz w:val="24"/>
          <w:lang w:val="en-US" w:eastAsia="zh-CN"/>
        </w:rPr>
        <w:t xml:space="preserve">  （五）中标后，</w:t>
      </w:r>
      <w:r>
        <w:rPr>
          <w:rFonts w:hint="eastAsia" w:ascii="宋体" w:hAnsi="宋体"/>
          <w:sz w:val="24"/>
        </w:rPr>
        <w:t>乙方须按规定缴纳安全履约保证金，每个项目按合同金额的10%缴纳（最低500—最高10000元），施工结束后未发生安全扣罚事件凭收据予以归还。</w:t>
      </w:r>
    </w:p>
    <w:p>
      <w:pPr>
        <w:pStyle w:val="2"/>
        <w:rPr>
          <w:rFonts w:hint="default" w:eastAsia="宋体"/>
          <w:lang w:val="en-US" w:eastAsia="zh-CN"/>
        </w:rPr>
      </w:pPr>
    </w:p>
    <w:p>
      <w:pPr>
        <w:numPr>
          <w:ilvl w:val="255"/>
          <w:numId w:val="0"/>
        </w:numPr>
        <w:spacing w:before="120" w:beforeLines="50" w:after="120" w:afterLines="50" w:line="360" w:lineRule="auto"/>
        <w:ind w:left="420" w:leftChars="200"/>
        <w:rPr>
          <w:rFonts w:hint="eastAsia" w:ascii="宋体" w:hAnsi="宋体"/>
          <w:b/>
          <w:sz w:val="24"/>
          <w:highlight w:val="none"/>
          <w:lang w:val="en-US" w:eastAsia="zh-CN"/>
        </w:rPr>
      </w:pPr>
      <w:r>
        <w:rPr>
          <w:rFonts w:hint="eastAsia" w:ascii="宋体" w:hAnsi="宋体"/>
          <w:b/>
          <w:sz w:val="24"/>
          <w:highlight w:val="none"/>
        </w:rPr>
        <w:t>十、</w:t>
      </w:r>
      <w:r>
        <w:rPr>
          <w:rFonts w:hint="eastAsia" w:ascii="宋体" w:hAnsi="宋体"/>
          <w:b/>
          <w:sz w:val="24"/>
          <w:highlight w:val="none"/>
          <w:lang w:val="en-US" w:eastAsia="zh-CN"/>
        </w:rPr>
        <w:t>项目违约责任</w:t>
      </w:r>
    </w:p>
    <w:p>
      <w:pPr>
        <w:spacing w:before="0" w:after="0" w:line="360" w:lineRule="auto"/>
        <w:ind w:firstLine="480"/>
        <w:rPr>
          <w:rFonts w:hint="eastAsia"/>
        </w:rPr>
      </w:pPr>
      <w:r>
        <w:rPr>
          <w:rFonts w:hint="eastAsia"/>
          <w:lang w:eastAsia="zh-CN"/>
        </w:rPr>
        <w:t>（</w:t>
      </w:r>
      <w:r>
        <w:rPr>
          <w:rFonts w:hint="eastAsia"/>
          <w:lang w:val="en-US" w:eastAsia="zh-CN"/>
        </w:rPr>
        <w:t>一</w:t>
      </w:r>
      <w:r>
        <w:rPr>
          <w:rFonts w:hint="eastAsia"/>
          <w:lang w:eastAsia="zh-CN"/>
        </w:rPr>
        <w:t>）</w:t>
      </w:r>
      <w:r>
        <w:rPr>
          <w:rFonts w:hint="eastAsia"/>
        </w:rPr>
        <w:t>甲方发现乙方施工过程存在违规、违章，不按施工方案施工或施工进度滞后、不服从甲方管理等行为，情节较轻时，可直接扣罚乙方</w:t>
      </w:r>
      <w:r>
        <w:t>100-1000元，重犯或态度恶劣的加倍扣罚。情节严重的按以下方式处理。</w:t>
      </w:r>
    </w:p>
    <w:p>
      <w:pPr>
        <w:numPr>
          <w:ilvl w:val="0"/>
          <w:numId w:val="11"/>
        </w:numPr>
        <w:spacing w:before="0" w:after="0" w:line="360" w:lineRule="auto"/>
        <w:ind w:firstLine="480"/>
        <w:rPr>
          <w:rFonts w:hint="eastAsia"/>
        </w:rPr>
      </w:pPr>
      <w:r>
        <w:rPr>
          <w:rFonts w:hint="eastAsia"/>
        </w:rPr>
        <w:t>书面警告。乙方未履行或未按时履行或未按质履行义务时，甲方有权向乙方发出书面警告，每次书面警告，乙方应当支付违约金人民币</w:t>
      </w:r>
      <w:r>
        <w:t>500元给甲方</w:t>
      </w:r>
      <w:r>
        <w:rPr>
          <w:rFonts w:hint="eastAsia"/>
        </w:rPr>
        <w:t>。</w:t>
      </w:r>
    </w:p>
    <w:p>
      <w:pPr>
        <w:numPr>
          <w:ilvl w:val="0"/>
          <w:numId w:val="11"/>
        </w:numPr>
        <w:spacing w:before="0" w:after="0" w:line="360" w:lineRule="auto"/>
        <w:ind w:firstLine="480"/>
        <w:rPr>
          <w:rFonts w:hint="eastAsia"/>
        </w:rPr>
      </w:pPr>
      <w:r>
        <w:rPr>
          <w:rFonts w:hint="eastAsia"/>
          <w:bCs/>
        </w:rPr>
        <w:t>限</w:t>
      </w:r>
      <w:r>
        <w:t>期改正。乙方受到书面警告后仍不改正，甲方有权向乙方发出《违约责任通知书》，要求乙方必须在甲方限定的时间内履行义务，同时，乙方应当向甲方支付违约金人民币1000元</w:t>
      </w:r>
      <w:r>
        <w:rPr>
          <w:rFonts w:hint="eastAsia"/>
        </w:rPr>
        <w:t>。</w:t>
      </w:r>
    </w:p>
    <w:p>
      <w:pPr>
        <w:numPr>
          <w:ilvl w:val="0"/>
          <w:numId w:val="11"/>
        </w:numPr>
        <w:spacing w:before="0" w:after="0" w:line="360" w:lineRule="auto"/>
        <w:ind w:firstLine="480"/>
        <w:rPr>
          <w:rFonts w:hint="eastAsia"/>
        </w:rPr>
      </w:pPr>
      <w:r>
        <w:rPr>
          <w:rFonts w:hint="eastAsia"/>
        </w:rPr>
        <w:t>一</w:t>
      </w:r>
      <w:r>
        <w:t>般违约责任。乙方违反本合同的约定须承担一般违约责任时，必须主动向甲方交纳违约金</w:t>
      </w:r>
      <w:r>
        <w:rPr>
          <w:rFonts w:hint="eastAsia"/>
          <w:bCs/>
        </w:rPr>
        <w:t>（合同价</w:t>
      </w:r>
      <w:r>
        <w:rPr>
          <w:bCs/>
        </w:rPr>
        <w:t>50</w:t>
      </w:r>
      <w:r>
        <w:rPr>
          <w:rFonts w:hint="eastAsia"/>
          <w:bCs/>
        </w:rPr>
        <w:t>万元以下的按0.2万元/次；</w:t>
      </w:r>
      <w:r>
        <w:rPr>
          <w:bCs/>
        </w:rPr>
        <w:t>5</w:t>
      </w:r>
      <w:r>
        <w:rPr>
          <w:rFonts w:hint="eastAsia"/>
          <w:bCs/>
        </w:rPr>
        <w:t>0万元≤合同价&lt;100万（含）的按</w:t>
      </w:r>
      <w:r>
        <w:rPr>
          <w:bCs/>
        </w:rPr>
        <w:t>0.3</w:t>
      </w:r>
      <w:r>
        <w:rPr>
          <w:rFonts w:hint="eastAsia"/>
          <w:bCs/>
        </w:rPr>
        <w:t>万元/次；</w:t>
      </w:r>
      <w:r>
        <w:rPr>
          <w:bCs/>
        </w:rPr>
        <w:t>10</w:t>
      </w:r>
      <w:r>
        <w:rPr>
          <w:rFonts w:hint="eastAsia"/>
          <w:bCs/>
        </w:rPr>
        <w:t>0万元≤合同价</w:t>
      </w:r>
      <w:r>
        <w:rPr>
          <w:bCs/>
        </w:rPr>
        <w:t>&lt;4</w:t>
      </w:r>
      <w:r>
        <w:rPr>
          <w:rFonts w:hint="eastAsia"/>
          <w:bCs/>
        </w:rPr>
        <w:t>00万的按</w:t>
      </w:r>
      <w:r>
        <w:rPr>
          <w:bCs/>
        </w:rPr>
        <w:t>0.5</w:t>
      </w:r>
      <w:r>
        <w:rPr>
          <w:rFonts w:hint="eastAsia"/>
          <w:bCs/>
        </w:rPr>
        <w:t>万元/次）。</w:t>
      </w:r>
      <w:r>
        <w:t>若乙方再犯性质相同的违约行为，</w:t>
      </w:r>
      <w:r>
        <w:rPr>
          <w:rFonts w:hint="eastAsia"/>
        </w:rPr>
        <w:t>加倍扣罚。</w:t>
      </w:r>
    </w:p>
    <w:p>
      <w:pPr>
        <w:numPr>
          <w:ilvl w:val="0"/>
          <w:numId w:val="11"/>
        </w:numPr>
        <w:spacing w:before="0" w:after="0" w:line="360" w:lineRule="auto"/>
        <w:ind w:firstLine="480"/>
        <w:rPr>
          <w:rFonts w:hint="eastAsia"/>
        </w:rPr>
      </w:pPr>
      <w:r>
        <w:rPr>
          <w:rFonts w:hint="eastAsia"/>
        </w:rPr>
        <w:t>严</w:t>
      </w:r>
      <w:r>
        <w:t>重违约责任。乙方违反本合同的约定须承担严重违约责任时，必须向甲方交纳违约金</w:t>
      </w:r>
      <w:r>
        <w:rPr>
          <w:rFonts w:hint="eastAsia"/>
          <w:bCs/>
        </w:rPr>
        <w:t>（合同价</w:t>
      </w:r>
      <w:r>
        <w:rPr>
          <w:bCs/>
        </w:rPr>
        <w:t>50</w:t>
      </w:r>
      <w:r>
        <w:rPr>
          <w:rFonts w:hint="eastAsia"/>
          <w:bCs/>
        </w:rPr>
        <w:t>万元以下的按0.</w:t>
      </w:r>
      <w:r>
        <w:rPr>
          <w:bCs/>
        </w:rPr>
        <w:t>5</w:t>
      </w:r>
      <w:r>
        <w:rPr>
          <w:rFonts w:hint="eastAsia"/>
          <w:bCs/>
        </w:rPr>
        <w:t>万元/次；</w:t>
      </w:r>
      <w:r>
        <w:rPr>
          <w:bCs/>
        </w:rPr>
        <w:t>5</w:t>
      </w:r>
      <w:r>
        <w:rPr>
          <w:rFonts w:hint="eastAsia"/>
          <w:bCs/>
        </w:rPr>
        <w:t>0万元≤合同价&lt;100万（含）的按</w:t>
      </w:r>
      <w:r>
        <w:rPr>
          <w:bCs/>
        </w:rPr>
        <w:t>1</w:t>
      </w:r>
      <w:r>
        <w:rPr>
          <w:rFonts w:hint="eastAsia"/>
          <w:bCs/>
        </w:rPr>
        <w:t>万元/次；</w:t>
      </w:r>
      <w:r>
        <w:rPr>
          <w:bCs/>
        </w:rPr>
        <w:t>10</w:t>
      </w:r>
      <w:r>
        <w:rPr>
          <w:rFonts w:hint="eastAsia"/>
          <w:bCs/>
        </w:rPr>
        <w:t>0万元≤合同价</w:t>
      </w:r>
      <w:r>
        <w:rPr>
          <w:bCs/>
        </w:rPr>
        <w:t>&lt;4</w:t>
      </w:r>
      <w:r>
        <w:rPr>
          <w:rFonts w:hint="eastAsia"/>
          <w:bCs/>
        </w:rPr>
        <w:t>00万的按</w:t>
      </w:r>
      <w:r>
        <w:rPr>
          <w:bCs/>
        </w:rPr>
        <w:t>2</w:t>
      </w:r>
      <w:r>
        <w:rPr>
          <w:rFonts w:hint="eastAsia"/>
          <w:bCs/>
        </w:rPr>
        <w:t>万元/次）。</w:t>
      </w:r>
    </w:p>
    <w:p>
      <w:pPr>
        <w:numPr>
          <w:ilvl w:val="0"/>
          <w:numId w:val="11"/>
        </w:numPr>
        <w:spacing w:before="0" w:after="0" w:line="360" w:lineRule="auto"/>
        <w:ind w:firstLine="480"/>
        <w:rPr>
          <w:rFonts w:hint="eastAsia"/>
          <w:bCs/>
        </w:rPr>
      </w:pPr>
      <w:r>
        <w:rPr>
          <w:rFonts w:hint="eastAsia"/>
          <w:bCs/>
        </w:rPr>
        <w:t>解除合同。当乙方严重违反合同约定时，甲方有权向乙方发出书面解除全部合同的通知，该通知在送达乙方时解除合同即生效。解除合同不减免乙方应承担的违约责任和赔偿损失的责任。</w:t>
      </w:r>
    </w:p>
    <w:p>
      <w:pPr>
        <w:numPr>
          <w:ilvl w:val="0"/>
          <w:numId w:val="11"/>
        </w:numPr>
        <w:spacing w:before="0" w:after="0" w:line="360" w:lineRule="auto"/>
        <w:ind w:firstLine="480"/>
        <w:rPr>
          <w:rFonts w:hint="eastAsia"/>
          <w:bCs/>
        </w:rPr>
      </w:pPr>
      <w:r>
        <w:rPr>
          <w:rFonts w:hint="eastAsia"/>
          <w:bCs/>
        </w:rPr>
        <w:t>赔偿损失。因乙方原因造成甲方经济损失的，乙方除按上述规定承担责任违约责任外，乙方还应向甲方赔偿因其造成的直接经济损失。</w:t>
      </w:r>
    </w:p>
    <w:p>
      <w:pPr>
        <w:numPr>
          <w:ilvl w:val="-1"/>
          <w:numId w:val="0"/>
        </w:numPr>
        <w:spacing w:before="0" w:after="0" w:line="360" w:lineRule="auto"/>
        <w:ind w:firstLine="420" w:firstLineChars="200"/>
        <w:rPr>
          <w:rFonts w:hint="eastAsia"/>
        </w:rPr>
      </w:pPr>
      <w:r>
        <w:rPr>
          <w:rFonts w:hint="eastAsia"/>
          <w:bCs/>
        </w:rPr>
        <w:t>乙方违约须向甲方支付违约金或赔偿金时，甲方有权从应支付给乙方的工程款中直接抵扣，乙方不得有异议。</w:t>
      </w:r>
    </w:p>
    <w:p>
      <w:pPr>
        <w:numPr>
          <w:ilvl w:val="-1"/>
          <w:numId w:val="0"/>
        </w:numPr>
        <w:spacing w:before="0" w:after="0" w:line="360" w:lineRule="auto"/>
        <w:ind w:left="480" w:firstLine="0"/>
        <w:rPr>
          <w:rFonts w:hint="eastAsia"/>
        </w:rPr>
      </w:pPr>
      <w:r>
        <w:rPr>
          <w:rFonts w:hint="eastAsia"/>
          <w:lang w:val="en-US" w:eastAsia="zh-CN"/>
        </w:rPr>
        <w:t>(二)</w:t>
      </w:r>
      <w:r>
        <w:rPr>
          <w:rFonts w:hint="eastAsia"/>
        </w:rPr>
        <w:t>工期延误方面的违约责任</w:t>
      </w:r>
    </w:p>
    <w:p>
      <w:pPr>
        <w:numPr>
          <w:ilvl w:val="-1"/>
          <w:numId w:val="0"/>
        </w:numPr>
        <w:spacing w:before="0" w:after="0" w:line="360" w:lineRule="auto"/>
        <w:ind w:firstLine="420" w:firstLineChars="200"/>
        <w:rPr>
          <w:bCs/>
        </w:rPr>
      </w:pPr>
      <w:r>
        <w:rPr>
          <w:rFonts w:hint="eastAsia"/>
          <w:bCs/>
          <w:lang w:val="en-US" w:eastAsia="zh-CN"/>
        </w:rPr>
        <w:t xml:space="preserve">(1)  </w:t>
      </w:r>
      <w:r>
        <w:rPr>
          <w:rFonts w:hint="eastAsia"/>
          <w:bCs/>
        </w:rPr>
        <w:t>乙方不能按照甲方通知时间进场施工或不能按合同约定的竣工日期竣工或不能按经甲方审核确认的施工进度完成节点工作的，每逾期</w:t>
      </w:r>
      <w:r>
        <w:rPr>
          <w:bCs/>
        </w:rPr>
        <w:t>1日，乙方按合同总价的1%向甲方支付违约金（违约金的总额不超过合同总价的30％），并赔偿甲方因此遭受的实际损失；逾期超过30天的，乙方除必须支付违约金和赔偿损失外，甲方还有权单方解除未完成部分工程合同。</w:t>
      </w:r>
    </w:p>
    <w:p>
      <w:pPr>
        <w:numPr>
          <w:ilvl w:val="-1"/>
          <w:numId w:val="0"/>
        </w:numPr>
        <w:spacing w:before="0" w:after="0" w:line="360" w:lineRule="auto"/>
        <w:ind w:firstLine="420" w:firstLineChars="200"/>
        <w:rPr>
          <w:rFonts w:hint="eastAsia"/>
        </w:rPr>
      </w:pPr>
      <w:r>
        <w:rPr>
          <w:rFonts w:hint="eastAsia"/>
          <w:bCs/>
          <w:lang w:val="en-US" w:eastAsia="zh-CN"/>
        </w:rPr>
        <w:t xml:space="preserve">(2) </w:t>
      </w:r>
      <w:r>
        <w:rPr>
          <w:rFonts w:hint="eastAsia"/>
          <w:bCs/>
        </w:rPr>
        <w:t>乙方在接到甲方的进场通知后，应在甲方要求的时间内提供满足项目要求的人员、设备、物资材料如期进场。因乙方原因每逾期一天进场，乙方必须按合同总价的</w:t>
      </w:r>
      <w:r>
        <w:rPr>
          <w:bCs/>
        </w:rPr>
        <w:t>1%向甲方支付违约金（违约金的总额不超过合同总价的30％），逾期进场时间超过10天的，甲方有权单方解除合同，乙方向甲方全额退回已收取的合同款</w:t>
      </w:r>
      <w:r>
        <w:rPr>
          <w:rFonts w:hint="eastAsia"/>
        </w:rPr>
        <w:t>。</w:t>
      </w:r>
    </w:p>
    <w:p>
      <w:pPr>
        <w:numPr>
          <w:ilvl w:val="-1"/>
          <w:numId w:val="0"/>
        </w:numPr>
        <w:spacing w:before="0" w:after="0" w:line="360" w:lineRule="auto"/>
        <w:ind w:left="480" w:firstLine="0"/>
        <w:rPr>
          <w:rFonts w:hint="eastAsia"/>
        </w:rPr>
      </w:pPr>
      <w:r>
        <w:rPr>
          <w:rFonts w:hint="eastAsia"/>
          <w:lang w:val="en-US" w:eastAsia="zh-CN"/>
        </w:rPr>
        <w:t xml:space="preserve">(三） </w:t>
      </w:r>
      <w:r>
        <w:rPr>
          <w:rFonts w:hint="eastAsia"/>
        </w:rPr>
        <w:t>工程质量方面的违约责任</w:t>
      </w:r>
    </w:p>
    <w:p>
      <w:pPr>
        <w:numPr>
          <w:ilvl w:val="-1"/>
          <w:numId w:val="0"/>
        </w:numPr>
        <w:spacing w:before="0" w:after="0" w:line="360" w:lineRule="auto"/>
        <w:ind w:firstLine="420" w:firstLineChars="200"/>
        <w:rPr>
          <w:bCs/>
        </w:rPr>
      </w:pPr>
      <w:r>
        <w:rPr>
          <w:rFonts w:hint="eastAsia"/>
          <w:bCs/>
          <w:lang w:eastAsia="zh-CN"/>
        </w:rPr>
        <w:t>（</w:t>
      </w:r>
      <w:r>
        <w:rPr>
          <w:rFonts w:hint="eastAsia"/>
          <w:bCs/>
          <w:lang w:val="en-US" w:eastAsia="zh-CN"/>
        </w:rPr>
        <w:t>1</w:t>
      </w:r>
      <w:r>
        <w:rPr>
          <w:rFonts w:hint="eastAsia"/>
          <w:bCs/>
          <w:lang w:eastAsia="zh-CN"/>
        </w:rPr>
        <w:t>）</w:t>
      </w:r>
      <w:r>
        <w:rPr>
          <w:rFonts w:hint="eastAsia"/>
          <w:bCs/>
        </w:rPr>
        <w:t>甲方在抽查乙方的工程材料时，发现所检查的材料与报价上的任何一项不符合时，甲方有权要求乙方全部退货、返工，并赔偿由此造成的损失。乙方采取整改措施后效果仍不明显的，甲方有权与其解除合同。</w:t>
      </w:r>
    </w:p>
    <w:p>
      <w:pPr>
        <w:numPr>
          <w:ilvl w:val="-1"/>
          <w:numId w:val="0"/>
        </w:numPr>
        <w:spacing w:before="0" w:after="0" w:line="360" w:lineRule="auto"/>
        <w:ind w:firstLine="420" w:firstLineChars="200"/>
        <w:rPr>
          <w:rFonts w:hint="eastAsia"/>
          <w:bCs/>
        </w:rPr>
      </w:pPr>
      <w:r>
        <w:rPr>
          <w:rFonts w:hint="eastAsia"/>
          <w:bCs/>
          <w:lang w:eastAsia="zh-CN"/>
        </w:rPr>
        <w:t>（</w:t>
      </w:r>
      <w:r>
        <w:rPr>
          <w:rFonts w:hint="eastAsia"/>
          <w:bCs/>
          <w:lang w:val="en-US" w:eastAsia="zh-CN"/>
        </w:rPr>
        <w:t>2</w:t>
      </w:r>
      <w:r>
        <w:rPr>
          <w:rFonts w:hint="eastAsia"/>
          <w:bCs/>
          <w:lang w:eastAsia="zh-CN"/>
        </w:rPr>
        <w:t>）</w:t>
      </w:r>
      <w:r>
        <w:rPr>
          <w:rFonts w:hint="eastAsia"/>
          <w:bCs/>
        </w:rPr>
        <w:t>甲方在抽查乙方的工程材料时，发现承包人未按报价或合同要求采购的设备、材料的，甲方有权要求乙方全部退换货，拒绝验收，直至满足合同要求质量，可根据情节严重程度</w:t>
      </w:r>
      <w:r>
        <w:rPr>
          <w:rFonts w:hint="eastAsia"/>
        </w:rPr>
        <w:t>直接扣罚乙方5</w:t>
      </w:r>
      <w:r>
        <w:t>00-5000元</w:t>
      </w:r>
      <w:r>
        <w:rPr>
          <w:rFonts w:hint="eastAsia"/>
        </w:rPr>
        <w:t>/次。</w:t>
      </w:r>
    </w:p>
    <w:p>
      <w:pPr>
        <w:numPr>
          <w:ilvl w:val="-1"/>
          <w:numId w:val="0"/>
        </w:numPr>
        <w:spacing w:before="0" w:after="0" w:line="360" w:lineRule="auto"/>
        <w:ind w:firstLine="420" w:firstLineChars="200"/>
        <w:rPr>
          <w:bCs/>
        </w:rPr>
      </w:pPr>
      <w:r>
        <w:rPr>
          <w:rFonts w:hint="eastAsia"/>
          <w:bCs/>
          <w:lang w:eastAsia="zh-CN"/>
        </w:rPr>
        <w:t>（</w:t>
      </w:r>
      <w:r>
        <w:rPr>
          <w:rFonts w:hint="eastAsia"/>
          <w:bCs/>
          <w:lang w:val="en-US" w:eastAsia="zh-CN"/>
        </w:rPr>
        <w:t>3</w:t>
      </w:r>
      <w:r>
        <w:rPr>
          <w:rFonts w:hint="eastAsia"/>
          <w:bCs/>
          <w:lang w:eastAsia="zh-CN"/>
        </w:rPr>
        <w:t>）</w:t>
      </w:r>
      <w:r>
        <w:rPr>
          <w:rFonts w:hint="eastAsia"/>
          <w:bCs/>
        </w:rPr>
        <w:t>乙方在施工过程中，出现施工质量不合格的情况，除要求乙方免费返工外，并可直接扣罚200-2000元/次。</w:t>
      </w:r>
      <w:r>
        <w:t>重犯或态度恶劣的加倍扣罚</w:t>
      </w:r>
      <w:r>
        <w:rPr>
          <w:rFonts w:hint="eastAsia"/>
        </w:rPr>
        <w:t>。</w:t>
      </w:r>
    </w:p>
    <w:p>
      <w:pPr>
        <w:numPr>
          <w:ilvl w:val="-1"/>
          <w:numId w:val="0"/>
        </w:numPr>
        <w:spacing w:before="0" w:after="0" w:line="360" w:lineRule="auto"/>
        <w:ind w:firstLine="420" w:firstLineChars="200"/>
        <w:rPr>
          <w:bCs/>
        </w:rPr>
      </w:pPr>
      <w:r>
        <w:rPr>
          <w:rFonts w:hint="eastAsia"/>
          <w:bCs/>
          <w:lang w:eastAsia="zh-CN"/>
        </w:rPr>
        <w:t>（</w:t>
      </w:r>
      <w:r>
        <w:rPr>
          <w:rFonts w:hint="eastAsia"/>
          <w:bCs/>
          <w:lang w:val="en-US" w:eastAsia="zh-CN"/>
        </w:rPr>
        <w:t>4</w:t>
      </w:r>
      <w:r>
        <w:rPr>
          <w:rFonts w:hint="eastAsia"/>
          <w:bCs/>
          <w:lang w:eastAsia="zh-CN"/>
        </w:rPr>
        <w:t>）</w:t>
      </w:r>
      <w:r>
        <w:rPr>
          <w:rFonts w:hint="eastAsia"/>
          <w:bCs/>
        </w:rPr>
        <w:t>乙方应按设计要求和合同约定要求提供工程所需设备、材料。过程中如发现乙方提供的材料（包括但不限于管道、阀门、保温、电缆、开关水泵等）不符合要求的，乙方应无条件退换；若因实际情况无法更换的，经甲方同意后，甲方按满足标准要求的材料价格与实际供货的材料价格两者的差价扣减费用，同时按9</w:t>
      </w:r>
      <w:r>
        <w:rPr>
          <w:bCs/>
        </w:rPr>
        <w:t>.3.2</w:t>
      </w:r>
      <w:r>
        <w:rPr>
          <w:rFonts w:hint="eastAsia"/>
          <w:bCs/>
        </w:rPr>
        <w:t>条对乙方进行违约扣罚。</w:t>
      </w:r>
    </w:p>
    <w:p>
      <w:pPr>
        <w:numPr>
          <w:ilvl w:val="-1"/>
          <w:numId w:val="0"/>
        </w:numPr>
        <w:spacing w:before="0" w:after="0" w:line="360" w:lineRule="auto"/>
        <w:ind w:firstLine="420" w:firstLineChars="200"/>
        <w:rPr>
          <w:bCs/>
        </w:rPr>
      </w:pPr>
      <w:r>
        <w:rPr>
          <w:rFonts w:hint="eastAsia"/>
          <w:bCs/>
          <w:lang w:eastAsia="zh-CN"/>
        </w:rPr>
        <w:t>（</w:t>
      </w:r>
      <w:r>
        <w:rPr>
          <w:rFonts w:hint="eastAsia"/>
          <w:bCs/>
          <w:lang w:val="en-US" w:eastAsia="zh-CN"/>
        </w:rPr>
        <w:t>5</w:t>
      </w:r>
      <w:r>
        <w:rPr>
          <w:rFonts w:hint="eastAsia"/>
          <w:bCs/>
          <w:lang w:eastAsia="zh-CN"/>
        </w:rPr>
        <w:t>）</w:t>
      </w:r>
      <w:r>
        <w:rPr>
          <w:rFonts w:hint="eastAsia"/>
          <w:bCs/>
        </w:rPr>
        <w:t>工程竣工验收达不到合同约定质量标准的，乙方应免费返工，如因此而造成甲方损失的，甲方有权要求乙方赔偿。</w:t>
      </w:r>
    </w:p>
    <w:p>
      <w:pPr>
        <w:numPr>
          <w:ilvl w:val="-1"/>
          <w:numId w:val="0"/>
        </w:numPr>
        <w:spacing w:before="0" w:after="0" w:line="360" w:lineRule="auto"/>
        <w:ind w:firstLine="420" w:firstLineChars="200"/>
        <w:rPr>
          <w:rFonts w:hint="eastAsia"/>
          <w:bCs/>
        </w:rPr>
      </w:pPr>
      <w:r>
        <w:rPr>
          <w:rFonts w:hint="eastAsia"/>
          <w:bCs/>
          <w:lang w:eastAsia="zh-CN"/>
        </w:rPr>
        <w:t>（</w:t>
      </w:r>
      <w:r>
        <w:rPr>
          <w:rFonts w:hint="eastAsia"/>
          <w:bCs/>
          <w:lang w:val="en-US" w:eastAsia="zh-CN"/>
        </w:rPr>
        <w:t>6</w:t>
      </w:r>
      <w:r>
        <w:rPr>
          <w:rFonts w:hint="eastAsia"/>
          <w:bCs/>
          <w:lang w:eastAsia="zh-CN"/>
        </w:rPr>
        <w:t>）</w:t>
      </w:r>
      <w:r>
        <w:rPr>
          <w:rFonts w:hint="eastAsia"/>
          <w:bCs/>
        </w:rPr>
        <w:t>质保期内发现重大质量不合格问题（该重大质量问题应界定为达不到要求的质量标准，属质量保修的问题除外），乙方必须在规定的期限返工并达到合同约定的质量等级，拒不返工的，甲方有权扣除乙方该工程项目的质保金，必要时有权向乙方索赔。</w:t>
      </w:r>
    </w:p>
    <w:p>
      <w:pPr>
        <w:numPr>
          <w:ilvl w:val="-1"/>
          <w:numId w:val="0"/>
        </w:numPr>
        <w:spacing w:before="0" w:after="0" w:line="360" w:lineRule="auto"/>
        <w:ind w:firstLine="420" w:firstLineChars="200"/>
        <w:rPr>
          <w:rFonts w:hint="eastAsia"/>
          <w:bCs/>
        </w:rPr>
      </w:pPr>
      <w:r>
        <w:rPr>
          <w:rFonts w:hint="eastAsia"/>
          <w:bCs/>
          <w:lang w:eastAsia="zh-CN"/>
        </w:rPr>
        <w:t>（</w:t>
      </w:r>
      <w:r>
        <w:rPr>
          <w:rFonts w:hint="eastAsia"/>
          <w:bCs/>
          <w:lang w:val="en-US" w:eastAsia="zh-CN"/>
        </w:rPr>
        <w:t>7</w:t>
      </w:r>
      <w:r>
        <w:rPr>
          <w:rFonts w:hint="eastAsia"/>
          <w:bCs/>
          <w:lang w:eastAsia="zh-CN"/>
        </w:rPr>
        <w:t>）</w:t>
      </w:r>
      <w:r>
        <w:rPr>
          <w:rFonts w:hint="eastAsia"/>
          <w:bCs/>
        </w:rPr>
        <w:t>乙方在施工过程中质量存在问题（如焊接、防腐、保温冲洗、回填等），乙方应按要求负责整改，直至合格，且甲方有权视工程情况进行扣罚，扣罚金额为500-5000元/次。</w:t>
      </w:r>
    </w:p>
    <w:p>
      <w:pPr>
        <w:pStyle w:val="9"/>
        <w:rPr>
          <w:rFonts w:hint="default"/>
          <w:lang w:val="en-US" w:eastAsia="zh-CN"/>
        </w:rPr>
      </w:pPr>
    </w:p>
    <w:p>
      <w:pPr>
        <w:numPr>
          <w:ilvl w:val="255"/>
          <w:numId w:val="0"/>
        </w:numPr>
        <w:spacing w:before="120" w:beforeLines="50" w:after="120" w:afterLines="50" w:line="360" w:lineRule="auto"/>
        <w:ind w:left="420" w:leftChars="200"/>
        <w:rPr>
          <w:rFonts w:ascii="宋体" w:hAnsi="宋体"/>
          <w:b/>
          <w:sz w:val="24"/>
          <w:highlight w:val="none"/>
        </w:rPr>
      </w:pPr>
      <w:r>
        <w:rPr>
          <w:rFonts w:hint="eastAsia" w:ascii="宋体" w:hAnsi="宋体"/>
          <w:b/>
          <w:sz w:val="24"/>
          <w:highlight w:val="none"/>
          <w:lang w:val="en-US" w:eastAsia="zh-CN"/>
        </w:rPr>
        <w:t>十一、</w:t>
      </w:r>
      <w:r>
        <w:rPr>
          <w:rFonts w:hint="eastAsia" w:ascii="宋体" w:hAnsi="宋体"/>
          <w:b/>
          <w:sz w:val="24"/>
          <w:highlight w:val="none"/>
        </w:rPr>
        <w:t>评标方法</w:t>
      </w:r>
    </w:p>
    <w:p>
      <w:pPr>
        <w:spacing w:before="120" w:beforeLines="50" w:after="120" w:afterLines="50" w:line="360" w:lineRule="auto"/>
        <w:ind w:firstLine="480" w:firstLineChars="200"/>
        <w:rPr>
          <w:sz w:val="24"/>
        </w:rPr>
      </w:pPr>
      <w:bookmarkStart w:id="4" w:name="_Hlk33472865"/>
      <w:r>
        <w:rPr>
          <w:rFonts w:hint="eastAsia"/>
          <w:sz w:val="24"/>
        </w:rPr>
        <w:t>（一）</w:t>
      </w:r>
      <w:bookmarkStart w:id="5" w:name="OLE_LINK1"/>
      <w:r>
        <w:rPr>
          <w:rFonts w:hint="eastAsia"/>
          <w:sz w:val="24"/>
        </w:rPr>
        <w:t>本项目采用综合评分法，对投标人进行价格、商务和技术评审，其中价格评审部分占</w:t>
      </w:r>
      <w:r>
        <w:rPr>
          <w:rFonts w:hint="eastAsia"/>
          <w:sz w:val="24"/>
          <w:lang w:val="en-US" w:eastAsia="zh-CN"/>
        </w:rPr>
        <w:t>6</w:t>
      </w:r>
      <w:r>
        <w:rPr>
          <w:rFonts w:hint="eastAsia"/>
          <w:sz w:val="24"/>
        </w:rPr>
        <w:t>0%，技术</w:t>
      </w:r>
      <w:r>
        <w:rPr>
          <w:rFonts w:hint="eastAsia"/>
          <w:sz w:val="24"/>
          <w:lang w:val="en-US" w:eastAsia="zh-CN"/>
        </w:rPr>
        <w:t>方案</w:t>
      </w:r>
      <w:r>
        <w:rPr>
          <w:rFonts w:hint="eastAsia"/>
          <w:sz w:val="24"/>
        </w:rPr>
        <w:t>评审占</w:t>
      </w:r>
      <w:r>
        <w:rPr>
          <w:rFonts w:hint="eastAsia"/>
          <w:sz w:val="24"/>
          <w:lang w:val="en-US" w:eastAsia="zh-CN"/>
        </w:rPr>
        <w:t>40</w:t>
      </w:r>
      <w:r>
        <w:rPr>
          <w:rFonts w:hint="eastAsia"/>
          <w:sz w:val="24"/>
        </w:rPr>
        <w:t>%，投标人评审得分=价格得分+技术</w:t>
      </w:r>
      <w:r>
        <w:rPr>
          <w:rFonts w:hint="eastAsia"/>
          <w:sz w:val="24"/>
          <w:lang w:val="en-US" w:eastAsia="zh-CN"/>
        </w:rPr>
        <w:t>方案</w:t>
      </w:r>
      <w:r>
        <w:rPr>
          <w:rFonts w:hint="eastAsia"/>
          <w:sz w:val="24"/>
        </w:rPr>
        <w:t>得分。同时通过投标人资格审查和投标文件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5"/>
    <w:p>
      <w:pPr>
        <w:numPr>
          <w:ilvl w:val="255"/>
          <w:numId w:val="0"/>
        </w:numPr>
        <w:spacing w:line="360" w:lineRule="auto"/>
        <w:ind w:firstLine="420" w:firstLineChars="200"/>
        <w:rPr>
          <w:rFonts w:ascii="宋体" w:hAnsi="宋体"/>
          <w:sz w:val="24"/>
        </w:rPr>
      </w:pPr>
      <w:r>
        <w:rPr>
          <w:rFonts w:hint="eastAsia"/>
        </w:rPr>
        <w:t xml:space="preserve">（二） </w:t>
      </w:r>
      <w:r>
        <w:rPr>
          <w:rFonts w:hint="eastAsia" w:ascii="宋体" w:hAnsi="宋体"/>
          <w:sz w:val="24"/>
        </w:rPr>
        <w:t>采购人不对未成交人就评标过程以及未能成交原因作出任何解释。未成交人不得向评标委员会组成人员或其他有关人员索问评标过程的情况和材料。</w:t>
      </w:r>
    </w:p>
    <w:p>
      <w:pPr>
        <w:numPr>
          <w:ilvl w:val="255"/>
          <w:numId w:val="0"/>
        </w:numPr>
        <w:spacing w:line="360" w:lineRule="auto"/>
        <w:ind w:firstLine="480" w:firstLineChars="200"/>
        <w:rPr>
          <w:rFonts w:ascii="宋体" w:hAnsi="宋体"/>
          <w:sz w:val="24"/>
        </w:rPr>
      </w:pPr>
      <w:r>
        <w:rPr>
          <w:rFonts w:hint="eastAsia" w:ascii="宋体" w:hAnsi="宋体"/>
          <w:sz w:val="24"/>
        </w:rPr>
        <w:t>（三）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pStyle w:val="2"/>
        <w:rPr>
          <w:sz w:val="24"/>
        </w:rPr>
      </w:pPr>
      <w:r>
        <w:rPr>
          <w:rFonts w:hint="eastAsia" w:ascii="宋体" w:hAnsi="宋体"/>
          <w:sz w:val="24"/>
        </w:rPr>
        <w:t xml:space="preserve">     （四）成交方式：收到我司通知单位为成交单位，无收到通知单位为未成交单位。</w:t>
      </w:r>
    </w:p>
    <w:bookmarkEnd w:id="4"/>
    <w:p>
      <w:pPr>
        <w:numPr>
          <w:ilvl w:val="255"/>
          <w:numId w:val="0"/>
        </w:numPr>
        <w:spacing w:before="120" w:beforeLines="50" w:after="120" w:afterLines="50" w:line="360" w:lineRule="auto"/>
        <w:ind w:left="420" w:leftChars="200"/>
        <w:rPr>
          <w:rFonts w:ascii="宋体" w:hAnsi="宋体"/>
          <w:b/>
          <w:sz w:val="24"/>
        </w:rPr>
      </w:pPr>
      <w:r>
        <w:rPr>
          <w:rFonts w:hint="eastAsia" w:ascii="宋体" w:hAnsi="宋体"/>
          <w:b/>
          <w:sz w:val="24"/>
        </w:rPr>
        <w:t>十</w:t>
      </w:r>
      <w:r>
        <w:rPr>
          <w:rFonts w:hint="eastAsia" w:ascii="宋体" w:hAnsi="宋体"/>
          <w:b/>
          <w:sz w:val="24"/>
          <w:lang w:val="en-US" w:eastAsia="zh-CN"/>
        </w:rPr>
        <w:t>二</w:t>
      </w:r>
      <w:r>
        <w:rPr>
          <w:rFonts w:hint="eastAsia" w:ascii="宋体" w:hAnsi="宋体"/>
          <w:b/>
          <w:sz w:val="24"/>
        </w:rPr>
        <w:t>、勘踏现场</w:t>
      </w:r>
    </w:p>
    <w:p>
      <w:pPr>
        <w:spacing w:before="120" w:beforeLines="50" w:after="120" w:afterLines="50" w:line="360" w:lineRule="auto"/>
        <w:ind w:firstLine="480" w:firstLineChars="200"/>
        <w:rPr>
          <w:sz w:val="24"/>
        </w:rPr>
      </w:pPr>
      <w:bookmarkStart w:id="6"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Pr>
          <w:rFonts w:hint="eastAsia"/>
          <w:sz w:val="24"/>
        </w:rPr>
        <w:t>。勘踏现场时间：</w:t>
      </w:r>
      <w:r>
        <w:rPr>
          <w:color w:val="FF0000"/>
          <w:sz w:val="24"/>
          <w:highlight w:val="none"/>
        </w:rPr>
        <w:t>202</w:t>
      </w:r>
      <w:r>
        <w:rPr>
          <w:rFonts w:hint="eastAsia"/>
          <w:color w:val="FF0000"/>
          <w:sz w:val="24"/>
          <w:highlight w:val="none"/>
        </w:rPr>
        <w:t>5年</w:t>
      </w:r>
      <w:r>
        <w:rPr>
          <w:rFonts w:hint="eastAsia"/>
          <w:color w:val="FF0000"/>
          <w:sz w:val="24"/>
          <w:highlight w:val="none"/>
          <w:lang w:val="en-US" w:eastAsia="zh-CN"/>
        </w:rPr>
        <w:t>12</w:t>
      </w:r>
      <w:r>
        <w:rPr>
          <w:rFonts w:hint="eastAsia"/>
          <w:color w:val="FF0000"/>
          <w:sz w:val="24"/>
          <w:highlight w:val="none"/>
        </w:rPr>
        <w:t>月</w:t>
      </w:r>
      <w:r>
        <w:rPr>
          <w:rFonts w:hint="eastAsia"/>
          <w:color w:val="FF0000"/>
          <w:sz w:val="24"/>
          <w:highlight w:val="none"/>
          <w:lang w:val="en-US" w:eastAsia="zh-CN"/>
        </w:rPr>
        <w:t>16</w:t>
      </w:r>
      <w:r>
        <w:rPr>
          <w:rFonts w:hint="eastAsia"/>
          <w:color w:val="FF0000"/>
          <w:sz w:val="24"/>
          <w:highlight w:val="none"/>
        </w:rPr>
        <w:t>日</w:t>
      </w:r>
      <w:r>
        <w:rPr>
          <w:rFonts w:hint="eastAsia"/>
          <w:color w:val="FF0000"/>
          <w:sz w:val="24"/>
          <w:highlight w:val="none"/>
          <w:lang w:val="en-US" w:eastAsia="zh-CN"/>
        </w:rPr>
        <w:t>10</w:t>
      </w:r>
      <w:r>
        <w:rPr>
          <w:rFonts w:hint="eastAsia"/>
          <w:color w:val="FF0000"/>
          <w:sz w:val="24"/>
          <w:highlight w:val="none"/>
        </w:rPr>
        <w:t>时0分</w:t>
      </w:r>
      <w:r>
        <w:rPr>
          <w:rFonts w:hint="eastAsia"/>
          <w:sz w:val="24"/>
        </w:rPr>
        <w:t>，集中地点：广州市番禺区大学城明志街1号信息枢纽楼一楼西门。勘踏现场联系人</w:t>
      </w:r>
      <w:r>
        <w:rPr>
          <w:rFonts w:hint="eastAsia"/>
          <w:sz w:val="24"/>
          <w:lang w:val="en-US" w:eastAsia="zh-CN"/>
        </w:rPr>
        <w:t>工程部周工</w:t>
      </w:r>
      <w:r>
        <w:rPr>
          <w:rFonts w:hint="eastAsia"/>
          <w:sz w:val="24"/>
        </w:rPr>
        <w:t>，联系电话：</w:t>
      </w:r>
      <w:r>
        <w:rPr>
          <w:rFonts w:hint="eastAsia" w:ascii="宋体" w:hAnsi="宋体" w:eastAsia="宋体"/>
          <w:sz w:val="24"/>
          <w:szCs w:val="24"/>
          <w:lang w:val="en-US" w:eastAsia="zh-CN"/>
        </w:rPr>
        <w:t>020-31100995转707</w:t>
      </w:r>
      <w:r>
        <w:rPr>
          <w:rFonts w:hint="eastAsia"/>
          <w:sz w:val="24"/>
        </w:rPr>
        <w:t>。投标人未在规定时间勘踏现场的，采购人不再另行组织，由投标人自行前往勘踏。</w:t>
      </w:r>
    </w:p>
    <w:p>
      <w:pPr>
        <w:numPr>
          <w:ilvl w:val="255"/>
          <w:numId w:val="0"/>
        </w:numPr>
        <w:spacing w:before="120" w:beforeLines="50" w:after="120" w:afterLines="50" w:line="360" w:lineRule="auto"/>
        <w:ind w:left="420" w:leftChars="200"/>
        <w:rPr>
          <w:rFonts w:ascii="宋体" w:hAnsi="宋体"/>
          <w:b/>
          <w:sz w:val="24"/>
        </w:rPr>
      </w:pPr>
      <w:bookmarkStart w:id="7" w:name="_Hlk33473031"/>
      <w:r>
        <w:rPr>
          <w:rFonts w:hint="eastAsia" w:ascii="宋体" w:hAnsi="宋体"/>
          <w:b/>
          <w:sz w:val="24"/>
        </w:rPr>
        <w:t>十</w:t>
      </w:r>
      <w:r>
        <w:rPr>
          <w:rFonts w:hint="eastAsia" w:ascii="宋体" w:hAnsi="宋体"/>
          <w:b/>
          <w:sz w:val="24"/>
          <w:lang w:val="en-US" w:eastAsia="zh-CN"/>
        </w:rPr>
        <w:t>三</w:t>
      </w:r>
      <w:r>
        <w:rPr>
          <w:rFonts w:hint="eastAsia" w:ascii="宋体" w:hAnsi="宋体"/>
          <w:b/>
          <w:sz w:val="24"/>
        </w:rPr>
        <w:t>、递交投标文件</w:t>
      </w:r>
    </w:p>
    <w:p>
      <w:pPr>
        <w:numPr>
          <w:ilvl w:val="0"/>
          <w:numId w:val="12"/>
        </w:numPr>
        <w:spacing w:before="120" w:beforeLines="50" w:after="120" w:afterLines="50" w:line="360" w:lineRule="auto"/>
        <w:ind w:left="0" w:firstLine="480" w:firstLineChars="200"/>
        <w:rPr>
          <w:sz w:val="24"/>
        </w:rPr>
      </w:pPr>
      <w:bookmarkStart w:id="8" w:name="_Hlk33472917"/>
      <w:bookmarkStart w:id="9" w:name="_Hlk33473061"/>
      <w:r>
        <w:rPr>
          <w:rFonts w:hint="eastAsia"/>
          <w:sz w:val="24"/>
        </w:rPr>
        <w:t>投标文件递交截止时间</w:t>
      </w:r>
      <w:r>
        <w:rPr>
          <w:rFonts w:hint="eastAsia"/>
          <w:color w:val="FF0000"/>
          <w:sz w:val="24"/>
        </w:rPr>
        <w:t>：</w:t>
      </w:r>
      <w:r>
        <w:rPr>
          <w:color w:val="FF0000"/>
          <w:sz w:val="24"/>
        </w:rPr>
        <w:t>202</w:t>
      </w:r>
      <w:r>
        <w:rPr>
          <w:rFonts w:hint="eastAsia"/>
          <w:color w:val="FF0000"/>
          <w:sz w:val="24"/>
        </w:rPr>
        <w:t>5年</w:t>
      </w:r>
      <w:r>
        <w:rPr>
          <w:rFonts w:hint="eastAsia"/>
          <w:color w:val="FF0000"/>
          <w:sz w:val="24"/>
          <w:lang w:val="en-US" w:eastAsia="zh-CN"/>
        </w:rPr>
        <w:t>12</w:t>
      </w:r>
      <w:r>
        <w:rPr>
          <w:rFonts w:hint="eastAsia"/>
          <w:color w:val="FF0000"/>
          <w:sz w:val="24"/>
        </w:rPr>
        <w:t>月</w:t>
      </w:r>
      <w:r>
        <w:rPr>
          <w:rFonts w:hint="eastAsia"/>
          <w:color w:val="FF0000"/>
          <w:sz w:val="24"/>
          <w:lang w:val="en-US" w:eastAsia="zh-CN"/>
        </w:rPr>
        <w:t>26</w:t>
      </w:r>
      <w:r>
        <w:rPr>
          <w:rFonts w:hint="eastAsia"/>
          <w:color w:val="FF0000"/>
          <w:sz w:val="24"/>
        </w:rPr>
        <w:t>日</w:t>
      </w:r>
      <w:r>
        <w:rPr>
          <w:rFonts w:hint="eastAsia"/>
          <w:sz w:val="24"/>
        </w:rPr>
        <w:t>北京时间</w:t>
      </w:r>
      <w:r>
        <w:rPr>
          <w:rFonts w:hint="eastAsia"/>
          <w:sz w:val="24"/>
          <w:lang w:val="en-US" w:eastAsia="zh-CN"/>
        </w:rPr>
        <w:t>14</w:t>
      </w:r>
      <w:r>
        <w:rPr>
          <w:rFonts w:hint="eastAsia"/>
          <w:sz w:val="24"/>
        </w:rPr>
        <w:t>时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lang w:eastAsia="zh-CN"/>
        </w:rPr>
        <w:t>2025年3#站水泵更新改造工程</w:t>
      </w:r>
      <w:r>
        <w:rPr>
          <w:rFonts w:hint="eastAsia" w:ascii="宋体"/>
          <w:sz w:val="24"/>
        </w:rPr>
        <w:t>投标文件</w:t>
      </w:r>
      <w:r>
        <w:rPr>
          <w:rFonts w:hint="eastAsia"/>
          <w:sz w:val="24"/>
        </w:rPr>
        <w:t>”字样。投标人递交投标文件后，请联系采购人确认。</w:t>
      </w:r>
    </w:p>
    <w:p>
      <w:pPr>
        <w:numPr>
          <w:ilvl w:val="0"/>
          <w:numId w:val="12"/>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8"/>
      <w:r>
        <w:rPr>
          <w:sz w:val="24"/>
        </w:rPr>
        <w:t>。</w:t>
      </w:r>
    </w:p>
    <w:bookmarkEnd w:id="9"/>
    <w:p>
      <w:pPr>
        <w:numPr>
          <w:ilvl w:val="255"/>
          <w:numId w:val="0"/>
        </w:numPr>
        <w:spacing w:before="120" w:beforeLines="50" w:after="120" w:afterLines="50" w:line="360" w:lineRule="auto"/>
        <w:ind w:left="420" w:leftChars="200"/>
        <w:rPr>
          <w:rFonts w:ascii="宋体" w:hAnsi="宋体"/>
          <w:b/>
          <w:sz w:val="24"/>
        </w:rPr>
      </w:pPr>
      <w:bookmarkStart w:id="10" w:name="_Hlk33473147"/>
      <w:bookmarkStart w:id="11" w:name="_Hlk33472987"/>
      <w:r>
        <w:rPr>
          <w:rFonts w:hint="eastAsia" w:ascii="宋体" w:hAnsi="宋体"/>
          <w:b/>
          <w:sz w:val="24"/>
        </w:rPr>
        <w:t>十</w:t>
      </w:r>
      <w:r>
        <w:rPr>
          <w:rFonts w:hint="eastAsia" w:ascii="宋体" w:hAnsi="宋体"/>
          <w:b/>
          <w:sz w:val="24"/>
          <w:lang w:val="en-US" w:eastAsia="zh-CN"/>
        </w:rPr>
        <w:t>四</w:t>
      </w:r>
      <w:r>
        <w:rPr>
          <w:rFonts w:hint="eastAsia" w:ascii="宋体" w:hAnsi="宋体"/>
          <w:b/>
          <w:sz w:val="24"/>
        </w:rPr>
        <w:t>、竞选文件公示</w:t>
      </w:r>
    </w:p>
    <w:p>
      <w:pPr>
        <w:spacing w:before="120" w:beforeLines="50" w:after="120" w:afterLines="50" w:line="360" w:lineRule="auto"/>
        <w:ind w:firstLine="480" w:firstLineChars="200"/>
        <w:rPr>
          <w:sz w:val="24"/>
        </w:rPr>
      </w:pPr>
      <w:r>
        <w:rPr>
          <w:rFonts w:hint="eastAsia"/>
          <w:sz w:val="24"/>
        </w:rPr>
        <w:t>本竞选文件在广州国企阳光采购服务平台（http://ygcg.gzggzy.cn））、广州城投综合能源投资经营管理有限公司网站（网址：</w:t>
      </w:r>
      <w:r>
        <w:rPr>
          <w:sz w:val="24"/>
        </w:rPr>
        <w:t>https://www.gzuci.com/</w:t>
      </w:r>
      <w:r>
        <w:rPr>
          <w:rFonts w:hint="eastAsia"/>
          <w:sz w:val="24"/>
        </w:rPr>
        <w:t>）同时发布。本竞选文件在各媒体发布的文本如有不同之处，以在广州城投综合能源投资经营管理有限公司网站发布的文本为准。</w:t>
      </w:r>
    </w:p>
    <w:bookmarkEnd w:id="10"/>
    <w:p>
      <w:pPr>
        <w:numPr>
          <w:ilvl w:val="255"/>
          <w:numId w:val="0"/>
        </w:numPr>
        <w:spacing w:before="120" w:beforeLines="50" w:after="120" w:afterLines="50" w:line="360" w:lineRule="auto"/>
        <w:ind w:left="420" w:leftChars="200"/>
        <w:rPr>
          <w:rFonts w:ascii="宋体" w:hAnsi="宋体"/>
          <w:b/>
          <w:sz w:val="24"/>
        </w:rPr>
      </w:pPr>
      <w:r>
        <w:rPr>
          <w:rFonts w:hint="eastAsia" w:ascii="宋体" w:hAnsi="宋体"/>
          <w:b/>
          <w:sz w:val="24"/>
        </w:rPr>
        <w:t>十</w:t>
      </w:r>
      <w:r>
        <w:rPr>
          <w:rFonts w:hint="eastAsia" w:ascii="宋体" w:hAnsi="宋体"/>
          <w:b/>
          <w:sz w:val="24"/>
          <w:lang w:val="en-US" w:eastAsia="zh-CN"/>
        </w:rPr>
        <w:t>五</w:t>
      </w:r>
      <w:r>
        <w:rPr>
          <w:rFonts w:hint="eastAsia" w:ascii="宋体" w:hAnsi="宋体"/>
          <w:b/>
          <w:sz w:val="24"/>
        </w:rPr>
        <w:t>、采购人地址和联系方式</w:t>
      </w:r>
    </w:p>
    <w:p>
      <w:pPr>
        <w:spacing w:before="120" w:beforeLines="50" w:after="120" w:afterLines="50" w:line="360" w:lineRule="auto"/>
        <w:ind w:firstLine="480" w:firstLineChars="200"/>
        <w:rPr>
          <w:rFonts w:ascii="宋体" w:hAnsi="宋体"/>
          <w:sz w:val="24"/>
        </w:rPr>
      </w:pPr>
      <w:r>
        <w:rPr>
          <w:rFonts w:hint="eastAsia" w:ascii="宋体" w:hAnsi="宋体"/>
          <w:sz w:val="24"/>
        </w:rPr>
        <w:t>（一）采购单位：广州城投综合能源投资经营管理有限公司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（二）联系地址：广州市番禺区大学城明志街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ascii="宋体" w:hAnsi="宋体"/>
          <w:sz w:val="24"/>
        </w:rPr>
      </w:pPr>
      <w:r>
        <w:rPr>
          <w:rFonts w:hint="eastAsia" w:ascii="宋体" w:hAnsi="宋体"/>
          <w:sz w:val="24"/>
        </w:rPr>
        <w:t>（三）联系人：詹工  联系电话：</w:t>
      </w:r>
      <w:bookmarkStart w:id="12" w:name="_Hlk33473223"/>
      <w:r>
        <w:rPr>
          <w:rFonts w:hint="eastAsia" w:ascii="宋体" w:hAnsi="宋体" w:eastAsia="宋体"/>
          <w:sz w:val="24"/>
          <w:szCs w:val="24"/>
          <w:lang w:val="en-US" w:eastAsia="zh-CN"/>
        </w:rPr>
        <w:t>020-31100995转877</w:t>
      </w:r>
    </w:p>
    <w:p>
      <w:pPr>
        <w:spacing w:before="120" w:beforeLines="50" w:after="120" w:afterLines="50" w:line="360" w:lineRule="auto"/>
        <w:ind w:firstLine="480" w:firstLineChars="200"/>
        <w:rPr>
          <w:rFonts w:hint="default" w:ascii="宋体" w:hAnsi="宋体" w:eastAsia="宋体" w:cs="Arial"/>
          <w:sz w:val="24"/>
          <w:lang w:val="en-US" w:eastAsia="zh-CN"/>
        </w:rPr>
      </w:pPr>
      <w:r>
        <w:rPr>
          <w:rFonts w:hint="eastAsia" w:ascii="宋体" w:hAnsi="宋体" w:cs="Arial"/>
          <w:sz w:val="24"/>
        </w:rPr>
        <w:t>附件1：</w:t>
      </w:r>
      <w:r>
        <w:rPr>
          <w:rFonts w:hint="eastAsia" w:ascii="宋体" w:hAnsi="宋体" w:cs="Arial"/>
          <w:sz w:val="24"/>
          <w:lang w:val="en-US" w:eastAsia="zh-CN"/>
        </w:rPr>
        <w:t>乙供材料技术需求书</w:t>
      </w:r>
    </w:p>
    <w:p>
      <w:pPr>
        <w:spacing w:before="120" w:beforeLines="50" w:after="120" w:afterLines="50" w:line="360" w:lineRule="auto"/>
        <w:ind w:firstLine="480" w:firstLineChars="200"/>
        <w:rPr>
          <w:rFonts w:ascii="宋体" w:hAnsi="宋体" w:cs="Arial"/>
          <w:sz w:val="24"/>
        </w:rPr>
      </w:pPr>
      <w:r>
        <w:rPr>
          <w:rFonts w:hint="eastAsia" w:ascii="宋体" w:hAnsi="宋体" w:cs="Arial"/>
          <w:sz w:val="24"/>
        </w:rPr>
        <w:t>附件2：投标文件目录及格式要求</w:t>
      </w:r>
    </w:p>
    <w:p>
      <w:pPr>
        <w:spacing w:before="120" w:beforeLines="50" w:after="120" w:afterLines="50" w:line="360" w:lineRule="auto"/>
        <w:ind w:firstLine="480" w:firstLineChars="200"/>
        <w:rPr>
          <w:rFonts w:ascii="宋体" w:hAnsi="宋体" w:cs="Arial"/>
          <w:sz w:val="24"/>
        </w:rPr>
      </w:pPr>
      <w:r>
        <w:rPr>
          <w:rFonts w:hint="eastAsia" w:ascii="宋体" w:hAnsi="宋体" w:cs="Arial"/>
          <w:sz w:val="24"/>
        </w:rPr>
        <w:t>附件:3：评审办法</w:t>
      </w:r>
    </w:p>
    <w:p>
      <w:pPr>
        <w:spacing w:before="120" w:beforeLines="50" w:after="120" w:afterLines="50" w:line="360" w:lineRule="auto"/>
        <w:ind w:right="560" w:firstLine="3780" w:firstLineChars="1800"/>
      </w:pPr>
      <w:r>
        <w:rPr>
          <w:rFonts w:hint="eastAsia"/>
        </w:rPr>
        <w:t>采购人：广州城投综合能源投资经营管理有限公司</w:t>
      </w:r>
    </w:p>
    <w:p>
      <w:pPr>
        <w:pStyle w:val="10"/>
        <w:spacing w:before="120" w:beforeLines="50" w:after="120" w:afterLines="50" w:line="360" w:lineRule="auto"/>
        <w:ind w:left="0" w:leftChars="0" w:right="560"/>
        <w:jc w:val="right"/>
      </w:pPr>
      <w:r>
        <w:rPr>
          <w:rFonts w:hint="eastAsia"/>
        </w:rPr>
        <w:t>2025年</w:t>
      </w:r>
      <w:r>
        <w:rPr>
          <w:rFonts w:hint="eastAsia"/>
          <w:lang w:val="en-US" w:eastAsia="zh-CN"/>
        </w:rPr>
        <w:t>12</w:t>
      </w:r>
      <w:r>
        <w:rPr>
          <w:rFonts w:hint="eastAsia"/>
        </w:rPr>
        <w:t>月</w:t>
      </w:r>
      <w:r>
        <w:rPr>
          <w:rFonts w:hint="eastAsia"/>
          <w:lang w:val="en-US" w:eastAsia="zh-CN"/>
        </w:rPr>
        <w:t>11</w:t>
      </w:r>
      <w:r>
        <w:rPr>
          <w:rFonts w:hint="eastAsia"/>
        </w:rPr>
        <w:t>日</w:t>
      </w:r>
      <w:bookmarkEnd w:id="7"/>
    </w:p>
    <w:bookmarkEnd w:id="11"/>
    <w:bookmarkEnd w:id="12"/>
    <w:p>
      <w:pPr>
        <w:spacing w:before="120" w:beforeLines="50" w:after="120" w:afterLines="50" w:line="360" w:lineRule="auto"/>
        <w:rPr>
          <w:rFonts w:ascii="宋体" w:hAnsi="宋体" w:cs="Arial"/>
          <w:color w:val="000000"/>
          <w:sz w:val="30"/>
          <w:szCs w:val="30"/>
        </w:rPr>
      </w:pPr>
      <w:r>
        <w:rPr>
          <w:rFonts w:hint="eastAsia" w:ascii="宋体" w:hAnsi="宋体" w:cs="Arial"/>
          <w:color w:val="000000"/>
          <w:sz w:val="30"/>
          <w:szCs w:val="30"/>
        </w:rPr>
        <w:br w:type="page"/>
      </w:r>
      <w:r>
        <w:rPr>
          <w:rFonts w:hint="eastAsia" w:ascii="宋体" w:hAnsi="宋体" w:cs="Arial"/>
          <w:color w:val="000000"/>
          <w:sz w:val="30"/>
          <w:szCs w:val="30"/>
        </w:rPr>
        <w:t>附件1</w:t>
      </w:r>
    </w:p>
    <w:p>
      <w:pPr>
        <w:tabs>
          <w:tab w:val="left" w:pos="567"/>
        </w:tabs>
        <w:spacing w:before="120" w:beforeLines="50" w:after="120" w:afterLines="50" w:line="360" w:lineRule="auto"/>
        <w:ind w:left="420"/>
        <w:jc w:val="center"/>
        <w:rPr>
          <w:rFonts w:hint="eastAsia" w:ascii="宋体" w:hAnsi="宋体" w:eastAsia="宋体"/>
          <w:b/>
          <w:sz w:val="24"/>
          <w:lang w:eastAsia="zh-CN"/>
        </w:rPr>
      </w:pPr>
      <w:r>
        <w:rPr>
          <w:rFonts w:hint="eastAsia" w:ascii="宋体" w:hAnsi="宋体"/>
          <w:b/>
          <w:sz w:val="24"/>
          <w:lang w:eastAsia="zh-CN"/>
        </w:rPr>
        <w:t>2025年3#站水泵更新改造工程</w:t>
      </w:r>
    </w:p>
    <w:p>
      <w:pPr>
        <w:tabs>
          <w:tab w:val="left" w:pos="567"/>
        </w:tabs>
        <w:spacing w:before="120" w:beforeLines="50" w:after="120" w:afterLines="50" w:line="360" w:lineRule="auto"/>
        <w:ind w:left="420"/>
        <w:jc w:val="center"/>
        <w:rPr>
          <w:rFonts w:hint="eastAsia" w:ascii="宋体" w:hAnsi="宋体" w:cs="宋体"/>
          <w:b/>
          <w:sz w:val="24"/>
        </w:rPr>
      </w:pPr>
      <w:r>
        <w:rPr>
          <w:rFonts w:hint="eastAsia" w:ascii="宋体" w:hAnsi="宋体" w:cs="宋体"/>
          <w:b/>
          <w:sz w:val="24"/>
          <w:lang w:val="en-US" w:eastAsia="zh-CN"/>
        </w:rPr>
        <w:t>乙供材料技术需求书</w:t>
      </w:r>
    </w:p>
    <w:p>
      <w:pPr>
        <w:pStyle w:val="21"/>
        <w:spacing w:before="0" w:after="0"/>
        <w:ind w:firstLine="200"/>
        <w:contextualSpacing/>
        <w:jc w:val="left"/>
        <w:rPr>
          <w:rFonts w:hint="eastAsia" w:ascii="宋体" w:hAnsi="宋体" w:cs="宋体"/>
          <w:sz w:val="24"/>
          <w:szCs w:val="24"/>
        </w:rPr>
      </w:pPr>
      <w:r>
        <w:rPr>
          <w:rFonts w:hint="eastAsia" w:ascii="宋体" w:hAnsi="宋体" w:cs="宋体"/>
          <w:sz w:val="24"/>
          <w:szCs w:val="24"/>
        </w:rPr>
        <w:t>一、阀门及附件</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1.1静音止回阀</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本项目需求为静音止回阀DN400，数量为5个。</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1.1.1安装形式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安装形式：法兰式</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1.1.2各部件材料</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阀体：球墨铸铁（QT450-10）；</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导流体：球墨铸铁（QT450-10）；</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★阀瓣：不锈钢（SUS304及以上）；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阀轴：不锈钢（2Cr13及以上）；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阀座：不锈钢（SUS304及以上）；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★弹簧：不锈钢（SUS304及以上）。</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1.1.3性能技术要求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1）阀体、导流体应采取喷涂环氧树脂等防腐及耐磨处理措施；</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2）阀座密封为聚四氟乙烯覆盖或由制造厂建议适用之材料；</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3）中心导向的阀瓣须随着水流速度自由浮动而无需利用润滑脂或反重量平衡的装置配合。</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4）须防止阀瓣和阀座于装配后互相磨损。</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5）须设置可拆除的帽盖，以检查轴承及阀瓣的工作状况。</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6）设计流量下对应的压力降≤10kPa。</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1.1.4使用流体介质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使用流体介质：28%乙二醇溶液</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1.1.5品牌要求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上海冠龙阀门节能设备股份有限公司（合资）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德森云阀科技（江苏）有限公司（合资）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浙江班尼戈流体控制有限公司（外资）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广东永泉阀门科技有限公司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中核苏阀科技实业股份有限公司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上海良工阀门厂有限公司</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1.2 Y型过滤器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本项目需求为Y型过滤器DN400，数量为5个。</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1.2.1安装形式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安装形式：法兰式</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1.2.2各部件材料</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★阀体：球墨铸铁（QT450-10）；</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★阀盖：球墨铸铁（QT450-10）；</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★滤网：不锈钢。</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1.2.3性能技术要求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阀体阀盖表面处理：应采取喷涂环氧树脂等防腐及耐磨处理措施。</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滤网：为304不锈钢板一次冲压成型，滤网应有加强筋结构；水泵吸入口处过滤器精度20目。</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过滤网应配有膛锁装置以便当拆除盖板时不影响笼网位置。滤网盖板应配有特别铰链及以螺栓及六角丝帽牢固。</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设计流量下对应的压力降≤10kPa。</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1.2.4使用流体介质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使用流体介质：28%乙二醇溶液</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1.2.5品牌要求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上海冠龙阀门节能设备股份有限公司（合资）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德森云阀科技（江苏）有限公司（合资）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浙江班尼戈流体控制有限公司（外资）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广东永泉阀门科技有限公司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中核苏阀科技实业股份有限公司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上海良工阀门厂有限公司</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1.3 电动开关蝶阀</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本项目需求为电动开关蝶阀DN1000，数量为1个。</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1.3.1安装形式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安装形式：法兰式</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1.3.2各部件材料</w:t>
      </w:r>
    </w:p>
    <w:p>
      <w:pPr>
        <w:ind w:firstLine="480" w:firstLineChars="200"/>
        <w:contextualSpacing/>
        <w:jc w:val="left"/>
        <w:rPr>
          <w:rFonts w:hint="eastAsia" w:ascii="宋体" w:hAnsi="宋体" w:cs="宋体"/>
          <w:sz w:val="24"/>
          <w:szCs w:val="24"/>
        </w:rPr>
      </w:pPr>
      <w:r>
        <w:rPr>
          <w:rFonts w:hint="eastAsia" w:ascii="宋体" w:hAnsi="宋体" w:cs="宋体"/>
          <w:bCs/>
          <w:kern w:val="28"/>
          <w:sz w:val="24"/>
          <w:szCs w:val="24"/>
        </w:rPr>
        <w:t>★</w:t>
      </w:r>
      <w:r>
        <w:rPr>
          <w:rFonts w:hint="eastAsia" w:ascii="宋体" w:hAnsi="宋体" w:cs="宋体"/>
          <w:sz w:val="24"/>
          <w:szCs w:val="24"/>
        </w:rPr>
        <w:t>阀座： EPDM（三元乙丙橡胶）,具有食品卫生级认证。</w:t>
      </w:r>
    </w:p>
    <w:p>
      <w:pPr>
        <w:ind w:firstLine="480" w:firstLineChars="200"/>
        <w:contextualSpacing/>
        <w:jc w:val="left"/>
        <w:rPr>
          <w:rFonts w:hint="eastAsia" w:ascii="宋体" w:hAnsi="宋体" w:cs="宋体"/>
          <w:sz w:val="24"/>
          <w:szCs w:val="24"/>
        </w:rPr>
      </w:pPr>
      <w:r>
        <w:rPr>
          <w:rFonts w:hint="eastAsia" w:ascii="宋体" w:hAnsi="宋体" w:cs="宋体"/>
          <w:bCs/>
          <w:kern w:val="28"/>
          <w:sz w:val="24"/>
          <w:szCs w:val="24"/>
        </w:rPr>
        <w:t>★</w:t>
      </w:r>
      <w:r>
        <w:rPr>
          <w:rFonts w:hint="eastAsia" w:ascii="宋体" w:hAnsi="宋体" w:cs="宋体"/>
          <w:sz w:val="24"/>
          <w:szCs w:val="24"/>
        </w:rPr>
        <w:t>阀体：球墨铸铁QT450-10。</w:t>
      </w:r>
    </w:p>
    <w:p>
      <w:pPr>
        <w:ind w:firstLine="480" w:firstLineChars="200"/>
        <w:contextualSpacing/>
        <w:jc w:val="left"/>
        <w:rPr>
          <w:rFonts w:hint="eastAsia" w:ascii="宋体" w:hAnsi="宋体" w:cs="宋体"/>
          <w:sz w:val="24"/>
          <w:szCs w:val="24"/>
        </w:rPr>
      </w:pPr>
      <w:r>
        <w:rPr>
          <w:rFonts w:hint="eastAsia" w:ascii="宋体" w:hAnsi="宋体" w:cs="宋体"/>
          <w:bCs/>
          <w:kern w:val="28"/>
          <w:sz w:val="24"/>
          <w:szCs w:val="24"/>
        </w:rPr>
        <w:t>★</w:t>
      </w:r>
      <w:r>
        <w:rPr>
          <w:rFonts w:hint="eastAsia" w:ascii="宋体" w:hAnsi="宋体" w:cs="宋体"/>
          <w:sz w:val="24"/>
          <w:szCs w:val="24"/>
        </w:rPr>
        <w:t>阀板：材质为304不锈钢。</w:t>
      </w:r>
    </w:p>
    <w:p>
      <w:pPr>
        <w:ind w:firstLine="480" w:firstLineChars="200"/>
        <w:contextualSpacing/>
        <w:jc w:val="left"/>
        <w:rPr>
          <w:rFonts w:hint="eastAsia" w:ascii="宋体" w:hAnsi="宋体" w:cs="宋体"/>
          <w:sz w:val="24"/>
          <w:szCs w:val="24"/>
        </w:rPr>
      </w:pPr>
      <w:r>
        <w:rPr>
          <w:rFonts w:hint="eastAsia" w:ascii="宋体" w:hAnsi="宋体" w:cs="宋体"/>
          <w:sz w:val="24"/>
          <w:szCs w:val="24"/>
        </w:rPr>
        <w:t>阀杆：材质为416ss不锈钢材料。</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1.3.3性能技术要求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1）阀门型号、规格、耐压强度和严密性试验结果符合设计及有关规范、标准要求。★电动双位蝶阀承压1.6MPa。</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2）外观良好、无锈斑；阀门的铭牌应符合现行国家标准《通用阀门标志》(GB12220)的规定。</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3）阀体应采取喷涂环氧树脂等防腐及耐磨处理措施。</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4）舌槽结合式阀座，能够完全把阀体和管内介质隔离，就地更换阀座方便快捷。阀座有模压成一体的O型环，不需要在安装时另加法兰垫片。</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5）阀杆与阀座的连接：高强度的阀杆穿过阀板，并用紧密配合的双扁式来驱动阀板，这样的设计是阀杆避免与管道内流体接触，轴和阀板采用无销式连接。</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6）操纵把手：模块化设计理念，大于直径150毫米以上的蝶形阀，须设置涡轮，并有位置指示及开关上下限位装置。</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7）保温管道上之阀门：须按照保温额定厚度将轴杆及颈管相应加长并有足够距离以操作手动执行器。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8）密封等级要达到或高于六级：双向零泄漏。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9）★阀杆与阀体结合部位不渗漏，采用优质密封材料。严禁使用再生橡胶。具有较好的抗老化和耐磨性。</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10）除易损件可在正常寿命期间更换外，阀门的密封材料10年以上，不锈钢金属约20年，整体使用寿命不少于10年。承包商应提供阀门的整体使用寿命、平均无故障时间、平均故障修复时间以及主要部件和易损件的使用年限。</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11）执行器：380V供电，4～20Ma信号控制，具有位置信号(4～20Ma DC)反馈。执行器应具有全行程的过载保护装置，以免在阀门堵塞或关闭压差过大时烧毁电机。执行器在断电后，可以弹簧复位安全关闭。</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12）调节特性: 理想的等百分比（要求提供阀门调节特性曲线图）。</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13）电动执行器外壳采用铝合金表面喷涂环氧树脂，防腐能力高，防护等级：IP67。</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14）带手动装置，在掉电或停机时系统处于安全状态，也应能手动操作，以便该执行器自动功能故障时不致使整台机组停机；</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15）★电动双位蝶阀具备断电后自保持和信号缺失自保持功能。</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16）接收无源干接点信号（脉冲命令），执行全开和全关动作。反馈信号：提供无源干接点的“开到位”和“关到位”信号。”</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17）安全开关运行次数应不低于100,000次，并提供国内权威机构出具的检测报告。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18）须根据实际通过阀门的最大流量和允许的最大压降计算选择合适Kvs值的阀门规格，并提供完整、正确的阀门规格计算选型书。</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19）阀体与驱动器为同一生产厂商供应，最小关闭压差均在1.5bar以上。</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1.3.4使用流体介质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使用流体介质：清水</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1.3.5品牌要求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搏力谋自控设备（上海）有限公司（外资）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欧文托普（中国）暖通空调系统技术有限公司（外资）</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泰德尔物联（辽宁）有限公司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罗斯韦尔流体控制（广州/天津）有限公司</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1.4 不锈钢波纹管</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1.4.1安装形式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安装形式：法兰式</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1.4.2各部件材料</w:t>
      </w:r>
    </w:p>
    <w:p>
      <w:pPr>
        <w:ind w:firstLine="480" w:firstLineChars="200"/>
        <w:contextualSpacing/>
        <w:jc w:val="left"/>
        <w:rPr>
          <w:rFonts w:hint="eastAsia" w:ascii="宋体" w:hAnsi="宋体" w:cs="宋体"/>
          <w:sz w:val="24"/>
          <w:szCs w:val="24"/>
        </w:rPr>
      </w:pPr>
      <w:r>
        <w:rPr>
          <w:rFonts w:hint="eastAsia" w:ascii="宋体" w:hAnsi="宋体" w:cs="宋体"/>
          <w:sz w:val="24"/>
          <w:szCs w:val="24"/>
        </w:rPr>
        <w:t>接头、法兰、管体、网套：304不锈钢；</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1.4.3性能技术要求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L=500mm，许可压缩位移30mm，许可拉伸位移15mm；</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1.4.4使用流体介质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使用流体介质：28%乙二醇溶液</w:t>
      </w:r>
    </w:p>
    <w:p>
      <w:pPr>
        <w:ind w:firstLine="480" w:firstLineChars="200"/>
        <w:contextualSpacing/>
        <w:jc w:val="left"/>
        <w:outlineLvl w:val="2"/>
        <w:rPr>
          <w:rFonts w:hint="eastAsia" w:ascii="宋体" w:hAnsi="宋体" w:cs="宋体"/>
          <w:bCs/>
          <w:kern w:val="28"/>
          <w:sz w:val="24"/>
          <w:szCs w:val="24"/>
        </w:rPr>
      </w:pPr>
      <w:r>
        <w:rPr>
          <w:rFonts w:hint="eastAsia" w:ascii="宋体" w:hAnsi="宋体" w:cs="宋体"/>
          <w:bCs/>
          <w:kern w:val="28"/>
          <w:sz w:val="24"/>
          <w:szCs w:val="24"/>
        </w:rPr>
        <w:t>1.4.5品牌要求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杭州万全金属软管有限公司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广州市天河新三和阀门有限公司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浙江正康实业股份有限公司</w:t>
      </w:r>
    </w:p>
    <w:p>
      <w:pPr>
        <w:pStyle w:val="21"/>
        <w:spacing w:before="0" w:after="0"/>
        <w:contextualSpacing/>
        <w:jc w:val="left"/>
        <w:rPr>
          <w:rFonts w:hint="eastAsia" w:ascii="宋体" w:hAnsi="宋体" w:cs="宋体"/>
          <w:sz w:val="24"/>
          <w:szCs w:val="24"/>
        </w:rPr>
      </w:pPr>
      <w:r>
        <w:rPr>
          <w:rFonts w:hint="eastAsia" w:ascii="宋体" w:hAnsi="宋体" w:cs="宋体"/>
          <w:sz w:val="24"/>
          <w:szCs w:val="24"/>
        </w:rPr>
        <w:t>二、管道</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2.1工作钢管技术参数要求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工作管采用螺旋焊缝钢管，要求使用卷板制造焊接钢管。使用的卷板板宽要求：DN800及以上管道，板宽不小于1.5米，其余管道板宽不小于1.2米，不允许使用带钢制造焊接钢管。在一段钢管中，只允许有一条制管钢板对头焊缝。</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2）管材执行标准：GB/T9711-2011《石油天然气工业管线输送系统用钢管》</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材质：Q235B；</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化学成分：GB700-88；</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屈服极限：235MPa；</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抗拉强度：430MPa；</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伸长率：8%；</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弹性模量：20600MPa；</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线膨胀系数：0.12×10-8m/℃；</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密度：7850kg/m3；</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进行100%X光探伤；</w:t>
      </w:r>
    </w:p>
    <w:tbl>
      <w:tblPr>
        <w:tblStyle w:val="29"/>
        <w:tblW w:w="9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944"/>
        <w:gridCol w:w="943"/>
        <w:gridCol w:w="944"/>
        <w:gridCol w:w="943"/>
        <w:gridCol w:w="944"/>
        <w:gridCol w:w="943"/>
        <w:gridCol w:w="944"/>
        <w:gridCol w:w="943"/>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标准号</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牌号</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C</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Si</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Mn</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P</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S</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Cr</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Ni</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GB/T9711-97</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Q235B</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0.12-0.20</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≤0.30</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0.30-0.70</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≤0.045</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0.045</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≤0.30</w:t>
            </w:r>
          </w:p>
        </w:tc>
        <w:tc>
          <w:tcPr>
            <w:tcW w:w="943"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≤0.30</w:t>
            </w:r>
          </w:p>
        </w:tc>
        <w:tc>
          <w:tcPr>
            <w:tcW w:w="944" w:type="dxa"/>
          </w:tcPr>
          <w:p>
            <w:pPr>
              <w:widowControl/>
              <w:contextualSpacing/>
              <w:jc w:val="left"/>
              <w:rPr>
                <w:rFonts w:hint="eastAsia" w:ascii="宋体" w:hAnsi="宋体" w:cs="宋体"/>
                <w:kern w:val="0"/>
                <w:sz w:val="24"/>
                <w:szCs w:val="24"/>
              </w:rPr>
            </w:pPr>
            <w:r>
              <w:rPr>
                <w:rFonts w:hint="eastAsia" w:ascii="宋体" w:hAnsi="宋体" w:cs="宋体"/>
                <w:kern w:val="0"/>
                <w:sz w:val="24"/>
                <w:szCs w:val="24"/>
              </w:rPr>
              <w:t>≤0.30</w:t>
            </w:r>
          </w:p>
        </w:tc>
      </w:tr>
    </w:tbl>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3）管道焊接应符合下列要求：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a）工作管的对接焊缝应采用氩弧焊接打底配以CO2气体保护焊或电弧焊盖面，角焊缝宜采用CO2气体保护焊或电弧焊。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b）焊接前，端面应进行坡口加工。</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c）对接焊缝应进行100%超声波无损探伤。</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4）所有钢管均按公称外径和公称壁厚交货（即公称外径×公称壁厚），各管径管道外径及壁厚详见供货范围表。</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5）钢管应按定尺长度12m，长度偏差为-20，+50mm。</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6）任一钢管的每米弯曲度应符合如下规定：</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钢管弯曲度不得大于1.5mm/m；</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同时，任一钢管的全长弯曲度应不大于钢管总长度的1.5‰。</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7）任一钢管同一截面的不圆度和壁厚不均应分别不超过外径和壁厚公差的80％。</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8）端头外形：钢管两端端面应与钢管轴线切成直角，并清除毛刺。</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9）交货钢管实际重量与理论重量的偏差应符合如下规定：</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单根钢管为±5％，同时每批最小10吨的钢管为±3.5％。</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10）钢管的包装、标志和质量证明书应符合GB/T2102的规定。其中包装应能避免钢管在正常装卸、运输、贮存中松散和受损；标志应至少包含以下内容：制造厂名称或商标、产品标准号、钢的牌号、产品规格及可追踪性识别号码；每批交货的钢管应附有证明该钢管符合订货合同和产品标准规定的质量证明书。</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11）钢管应进行弯曲试验。</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12）钢管应逐根进行液压试验，可以采用涡流探伤、漏磁探伤或超声波探伤代替液压试验。</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13）表面质量</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钢管的内外表面不允许有裂纹、折叠、结疤、轧折和离层。这些缺陷应完全清除掉，清除深度应不超过公称壁厚的负偏差，清理处的实际壁厚应不得小于壁厚偏差所允许的最小值。</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14）工作管的表面锈蚀等级应符合GB/T8923.1-2011《涂覆涂料前钢材表面处理表面清洁度的目视评定第1部分：未涂覆过的钢材表面和全面清除原有涂层后的钢材表面的锈蚀等级和处理等级》中A级、B级的规定。</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15)螺旋钢管供应厂家应为国内通过ISO9000认证的大型生产厂家，中标人需提供钢管采购合同、付款凭证、购货发票等资料。</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2.2.弯头、三通、变径技术参数要求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弯头、三通、变径技术参数要求与直管段相同，板厚详清单。</w:t>
      </w:r>
    </w:p>
    <w:tbl>
      <w:tblPr>
        <w:tblStyle w:val="2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17"/>
        <w:gridCol w:w="1884"/>
        <w:gridCol w:w="951"/>
        <w:gridCol w:w="141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序号</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公称直径</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管道壁厚</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序号</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公称直径</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管道壁厚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DN50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Ф60*3.5</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10</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DN350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Ф377*8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2</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DN70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Ф76*3.5</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11</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DN400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3</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DN80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Ф89*4</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12</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DN500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Ф529*8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4</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DN100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Ф108*4.5</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13</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DN600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Ф630*10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5</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DN125</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Ф133*4.5</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14</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DN700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6</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DN150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Ф159*5</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15</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DN800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Ф820*10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7</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DN200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Ф219*7</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16</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DN900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Ф920*10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8</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DN250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Ф273*7</w:t>
            </w:r>
          </w:p>
        </w:tc>
        <w:tc>
          <w:tcPr>
            <w:tcW w:w="951"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17</w:t>
            </w:r>
          </w:p>
        </w:tc>
        <w:tc>
          <w:tcPr>
            <w:tcW w:w="1418"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DN1000</w:t>
            </w:r>
          </w:p>
        </w:tc>
        <w:tc>
          <w:tcPr>
            <w:tcW w:w="1780"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Ф1020*11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9</w:t>
            </w:r>
          </w:p>
        </w:tc>
        <w:tc>
          <w:tcPr>
            <w:tcW w:w="1417"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DN300</w:t>
            </w:r>
          </w:p>
        </w:tc>
        <w:tc>
          <w:tcPr>
            <w:tcW w:w="1884" w:type="dxa"/>
          </w:tcPr>
          <w:p>
            <w:pPr>
              <w:autoSpaceDE w:val="0"/>
              <w:autoSpaceDN w:val="0"/>
              <w:contextualSpacing/>
              <w:jc w:val="left"/>
              <w:rPr>
                <w:rFonts w:hint="eastAsia" w:ascii="宋体" w:hAnsi="宋体" w:cs="宋体"/>
                <w:color w:val="262626"/>
                <w:kern w:val="0"/>
                <w:sz w:val="24"/>
                <w:szCs w:val="24"/>
              </w:rPr>
            </w:pPr>
            <w:r>
              <w:rPr>
                <w:rFonts w:hint="eastAsia" w:ascii="宋体" w:hAnsi="宋体" w:cs="宋体"/>
                <w:color w:val="262626"/>
                <w:kern w:val="0"/>
                <w:sz w:val="24"/>
                <w:szCs w:val="24"/>
              </w:rPr>
              <w:t>Ф325*8</w:t>
            </w:r>
          </w:p>
        </w:tc>
        <w:tc>
          <w:tcPr>
            <w:tcW w:w="951" w:type="dxa"/>
          </w:tcPr>
          <w:p>
            <w:pPr>
              <w:autoSpaceDE w:val="0"/>
              <w:autoSpaceDN w:val="0"/>
              <w:contextualSpacing/>
              <w:jc w:val="left"/>
              <w:rPr>
                <w:rFonts w:hint="eastAsia" w:ascii="宋体" w:hAnsi="宋体" w:cs="宋体"/>
                <w:color w:val="262626"/>
                <w:kern w:val="0"/>
                <w:sz w:val="24"/>
                <w:szCs w:val="24"/>
              </w:rPr>
            </w:pPr>
          </w:p>
        </w:tc>
        <w:tc>
          <w:tcPr>
            <w:tcW w:w="1418" w:type="dxa"/>
          </w:tcPr>
          <w:p>
            <w:pPr>
              <w:autoSpaceDE w:val="0"/>
              <w:autoSpaceDN w:val="0"/>
              <w:contextualSpacing/>
              <w:jc w:val="left"/>
              <w:rPr>
                <w:rFonts w:hint="eastAsia" w:ascii="宋体" w:hAnsi="宋体" w:cs="宋体"/>
                <w:color w:val="262626"/>
                <w:kern w:val="0"/>
                <w:sz w:val="24"/>
                <w:szCs w:val="24"/>
              </w:rPr>
            </w:pPr>
          </w:p>
        </w:tc>
        <w:tc>
          <w:tcPr>
            <w:tcW w:w="1780" w:type="dxa"/>
          </w:tcPr>
          <w:p>
            <w:pPr>
              <w:autoSpaceDE w:val="0"/>
              <w:autoSpaceDN w:val="0"/>
              <w:contextualSpacing/>
              <w:jc w:val="left"/>
              <w:rPr>
                <w:rFonts w:hint="eastAsia" w:ascii="宋体" w:hAnsi="宋体" w:cs="宋体"/>
                <w:color w:val="262626"/>
                <w:kern w:val="0"/>
                <w:sz w:val="24"/>
                <w:szCs w:val="24"/>
              </w:rPr>
            </w:pPr>
          </w:p>
        </w:tc>
      </w:tr>
    </w:tbl>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2.3管件恢复</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1)过滤器前后要恢复DN15短管焊接，泵出口止回阀前也要恢复DN15短管焊接，（用于安装铜闸阀，压力表利旧）,具体安装位置由业主现场确定；</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2）水泵进口要按原样恢复焊接DN50短管（单边外牙）。</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2.3品牌要求</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宝鸡石油钢管有限责任公司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辽阳石油钢管制造有限公司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湖南胜利湘钢钢管有限公司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辽宁大型钢管有限公司</w:t>
      </w:r>
    </w:p>
    <w:p>
      <w:pPr>
        <w:pStyle w:val="21"/>
        <w:spacing w:before="0" w:after="0"/>
        <w:ind w:firstLine="200"/>
        <w:contextualSpacing/>
        <w:jc w:val="left"/>
        <w:rPr>
          <w:rFonts w:hint="eastAsia" w:ascii="宋体" w:hAnsi="宋体" w:cs="宋体"/>
          <w:sz w:val="24"/>
          <w:szCs w:val="24"/>
        </w:rPr>
      </w:pPr>
      <w:r>
        <w:rPr>
          <w:rFonts w:hint="eastAsia" w:ascii="宋体" w:hAnsi="宋体" w:cs="宋体"/>
          <w:sz w:val="24"/>
          <w:szCs w:val="24"/>
        </w:rPr>
        <w:t>三、油漆</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底漆环氧富锌底漆，面漆采用环氧面漆，面漆颜色与现场相同或相近。</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底漆刷两遍，面漆刷一遍。</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底漆品牌：中山森田、佐敦、海虹老人、国际或同等品牌。</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面漆品牌：沃马、佐敦、海虹老人、国际或同等品牌。</w:t>
      </w:r>
    </w:p>
    <w:p>
      <w:pPr>
        <w:pStyle w:val="21"/>
        <w:spacing w:before="0" w:after="0"/>
        <w:contextualSpacing/>
        <w:jc w:val="left"/>
        <w:rPr>
          <w:rFonts w:hint="eastAsia" w:ascii="宋体" w:hAnsi="宋体" w:cs="宋体"/>
          <w:sz w:val="24"/>
          <w:szCs w:val="24"/>
        </w:rPr>
      </w:pPr>
      <w:r>
        <w:rPr>
          <w:rFonts w:hint="eastAsia" w:ascii="宋体" w:hAnsi="宋体" w:cs="宋体"/>
          <w:sz w:val="24"/>
          <w:szCs w:val="24"/>
        </w:rPr>
        <w:t>四、保温</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供回水管、阀门均保温，制冷机房内管道保冷材料，均采用高品质闭泡橡塑防潮防结露绝热材料，燃烧性能等级应符合《建筑材料及制品燃烧性能分级》GB8624-2012，保温材料为B1级难燃型闭孔橡塑管壳及板材，穿墙处保温不能间断。橡塑保温后要求外包难燃型复合塑料管壳做保护层，其粘结剂要求采用不燃或难燃B1级材料。对冷冻水泵、接冷水侧的水处理设备等，需做好防结露保护措施，并满足正常的检修维护。</w:t>
      </w:r>
    </w:p>
    <w:p>
      <w:pPr>
        <w:ind w:firstLine="480" w:firstLineChars="200"/>
        <w:contextualSpacing/>
        <w:jc w:val="left"/>
        <w:rPr>
          <w:rFonts w:hint="eastAsia" w:ascii="宋体" w:hAnsi="宋体" w:cs="宋体"/>
          <w:bCs/>
          <w:kern w:val="28"/>
          <w:sz w:val="24"/>
          <w:szCs w:val="24"/>
        </w:rPr>
      </w:pPr>
      <w:r>
        <w:rPr>
          <w:rFonts w:hint="eastAsia" w:ascii="宋体" w:hAnsi="宋体" w:cs="宋体"/>
          <w:sz w:val="24"/>
          <w:szCs w:val="24"/>
        </w:rPr>
        <w:t>橡塑保温材料技术参数如下表:</w:t>
      </w:r>
    </w:p>
    <w:tbl>
      <w:tblPr>
        <w:tblStyle w:val="28"/>
        <w:tblW w:w="87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7"/>
        <w:gridCol w:w="1593"/>
        <w:gridCol w:w="2901"/>
        <w:gridCol w:w="2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性能参数</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单位</w:t>
            </w: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指标要求</w:t>
            </w:r>
          </w:p>
        </w:tc>
        <w:tc>
          <w:tcPr>
            <w:tcW w:w="235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1887" w:type="dxa"/>
            <w:tcBorders>
              <w:top w:val="nil"/>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导热系数</w:t>
            </w:r>
          </w:p>
        </w:tc>
        <w:tc>
          <w:tcPr>
            <w:tcW w:w="1593" w:type="dxa"/>
            <w:tcBorders>
              <w:top w:val="nil"/>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w/（m</w:t>
            </w:r>
            <w:r>
              <w:rPr>
                <w:rFonts w:hint="eastAsia" w:ascii="宋体" w:hAnsi="宋体" w:eastAsia="宋体" w:cs="宋体"/>
                <w:sz w:val="24"/>
                <w:szCs w:val="24"/>
              </w:rPr>
              <w:t>∙</w:t>
            </w:r>
            <w:r>
              <w:rPr>
                <w:rFonts w:hint="eastAsia" w:ascii="宋体" w:hAnsi="宋体" w:cs="宋体"/>
                <w:sz w:val="24"/>
                <w:szCs w:val="24"/>
              </w:rPr>
              <w:t>k）</w:t>
            </w:r>
          </w:p>
        </w:tc>
        <w:tc>
          <w:tcPr>
            <w:tcW w:w="2901" w:type="dxa"/>
            <w:tcBorders>
              <w:top w:val="single" w:color="000000" w:sz="4" w:space="0"/>
              <w:left w:val="nil"/>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0±2℃时，≤0.036</w:t>
            </w:r>
          </w:p>
        </w:tc>
        <w:tc>
          <w:tcPr>
            <w:tcW w:w="2351" w:type="dxa"/>
            <w:tcBorders>
              <w:top w:val="nil"/>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湿阻因子</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≥10000</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9"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表观密度</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Kg/m³</w:t>
            </w: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≤60</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0"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抗老化性能150h</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无裂纹，无针孔，不变形</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真空体积吸水率</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w:t>
            </w: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≤0.5</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90" w:hRule="atLeast"/>
          <w:jc w:val="center"/>
        </w:trPr>
        <w:tc>
          <w:tcPr>
            <w:tcW w:w="1887" w:type="dxa"/>
            <w:tcBorders>
              <w:top w:val="nil"/>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尺寸稳定性（105±3）℃7d</w:t>
            </w:r>
          </w:p>
        </w:tc>
        <w:tc>
          <w:tcPr>
            <w:tcW w:w="1593" w:type="dxa"/>
            <w:tcBorders>
              <w:top w:val="nil"/>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w:t>
            </w:r>
          </w:p>
        </w:tc>
        <w:tc>
          <w:tcPr>
            <w:tcW w:w="2901" w:type="dxa"/>
            <w:tcBorders>
              <w:top w:val="single" w:color="000000" w:sz="4" w:space="0"/>
              <w:left w:val="nil"/>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＜10%</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1"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压缩回弹率</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w:t>
            </w: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≥70</w:t>
            </w:r>
          </w:p>
        </w:tc>
        <w:tc>
          <w:tcPr>
            <w:tcW w:w="2351" w:type="dxa"/>
            <w:tcBorders>
              <w:top w:val="single" w:color="000000" w:sz="4" w:space="0"/>
              <w:left w:val="nil"/>
              <w:bottom w:val="single" w:color="000000" w:sz="4" w:space="0"/>
              <w:right w:val="single" w:color="000000" w:sz="4" w:space="0"/>
            </w:tcBorders>
          </w:tcPr>
          <w:p>
            <w:pPr>
              <w:contextualSpacing/>
              <w:jc w:val="left"/>
              <w:rPr>
                <w:rFonts w:hint="eastAsia" w:ascii="宋体" w:hAnsi="宋体" w:cs="宋体"/>
                <w:sz w:val="24"/>
                <w:szCs w:val="24"/>
              </w:rPr>
            </w:pPr>
            <w:r>
              <w:rPr>
                <w:rFonts w:hint="eastAsia" w:ascii="宋体" w:hAnsi="宋体" w:cs="宋体"/>
                <w:sz w:val="24"/>
                <w:szCs w:val="24"/>
              </w:rPr>
              <w:t>GB/T 17794-2021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1"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氧指数</w:t>
            </w:r>
          </w:p>
        </w:tc>
        <w:tc>
          <w:tcPr>
            <w:tcW w:w="1593"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w:t>
            </w:r>
          </w:p>
        </w:tc>
        <w:tc>
          <w:tcPr>
            <w:tcW w:w="290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r>
              <w:rPr>
                <w:rFonts w:hint="eastAsia" w:ascii="宋体" w:hAnsi="宋体" w:cs="宋体"/>
                <w:sz w:val="24"/>
                <w:szCs w:val="24"/>
              </w:rPr>
              <w:t>≥32</w:t>
            </w:r>
          </w:p>
        </w:tc>
        <w:tc>
          <w:tcPr>
            <w:tcW w:w="2351" w:type="dxa"/>
            <w:tcBorders>
              <w:top w:val="single" w:color="000000" w:sz="4" w:space="0"/>
              <w:left w:val="nil"/>
              <w:bottom w:val="single" w:color="000000" w:sz="4" w:space="0"/>
              <w:right w:val="single" w:color="000000" w:sz="4" w:space="0"/>
            </w:tcBorders>
            <w:vAlign w:val="center"/>
          </w:tcPr>
          <w:p>
            <w:pPr>
              <w:contextualSpacing/>
              <w:jc w:val="left"/>
              <w:rPr>
                <w:rFonts w:hint="eastAsia" w:ascii="宋体" w:hAnsi="宋体" w:cs="宋体"/>
                <w:sz w:val="24"/>
                <w:szCs w:val="24"/>
              </w:rPr>
            </w:pPr>
          </w:p>
        </w:tc>
      </w:tr>
    </w:tbl>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投标产品应具有由第三方检测机构出具的复合橡塑保温材料导热系数、湿阻因子、压缩回弹率、燃烧性能等性能检测报告。</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保温材料品牌：</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品牌等同或相当于以下厂家档次的产品</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杜肯新材料（武汉）集团股份有限公司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华美节能科技集团有限公司</w:t>
      </w:r>
    </w:p>
    <w:p>
      <w:pPr>
        <w:ind w:firstLine="480" w:firstLineChars="200"/>
        <w:contextualSpacing/>
        <w:jc w:val="left"/>
        <w:rPr>
          <w:rFonts w:hint="eastAsia" w:ascii="宋体" w:hAnsi="宋体" w:cs="宋体"/>
          <w:bCs/>
          <w:kern w:val="28"/>
          <w:sz w:val="24"/>
          <w:szCs w:val="24"/>
        </w:rPr>
      </w:pPr>
      <w:r>
        <w:rPr>
          <w:rFonts w:hint="eastAsia" w:ascii="宋体" w:hAnsi="宋体" w:cs="宋体"/>
          <w:bCs/>
          <w:kern w:val="28"/>
          <w:sz w:val="24"/>
          <w:szCs w:val="24"/>
        </w:rPr>
        <w:t>赢胜节能集团股份有限公司</w:t>
      </w:r>
    </w:p>
    <w:p>
      <w:pPr>
        <w:pStyle w:val="21"/>
        <w:spacing w:before="0" w:after="0"/>
        <w:contextualSpacing/>
        <w:jc w:val="left"/>
        <w:rPr>
          <w:rFonts w:hint="eastAsia" w:ascii="宋体" w:hAnsi="宋体" w:cs="宋体"/>
          <w:sz w:val="24"/>
          <w:szCs w:val="24"/>
        </w:rPr>
      </w:pPr>
      <w:r>
        <w:rPr>
          <w:rFonts w:hint="eastAsia" w:ascii="宋体" w:hAnsi="宋体" w:cs="宋体"/>
          <w:sz w:val="24"/>
          <w:szCs w:val="24"/>
        </w:rPr>
        <w:t>五、水泵技术要求</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4.1总则</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4.1.1范围：乙二醇泵</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4.1.2引用标准、规范、规定</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水泵满足国家和地方相关水泵设计、生产、检验的标准、规范和规定（包括推荐标准）。水泵除满足本技术规范要求外，同时还需满足</w:t>
      </w:r>
      <w:r>
        <w:rPr>
          <w:rFonts w:hint="eastAsia" w:ascii="宋体" w:hAnsi="宋体" w:cs="宋体"/>
          <w:color w:val="000000"/>
          <w:sz w:val="24"/>
          <w:szCs w:val="24"/>
          <w:lang w:val="en-US" w:eastAsia="zh-CN"/>
        </w:rPr>
        <w:t>方案、</w:t>
      </w:r>
      <w:r>
        <w:rPr>
          <w:rFonts w:hint="eastAsia" w:ascii="宋体" w:hAnsi="宋体" w:cs="宋体"/>
          <w:color w:val="000000"/>
          <w:sz w:val="24"/>
          <w:szCs w:val="24"/>
        </w:rPr>
        <w:t>设计</w:t>
      </w:r>
      <w:r>
        <w:rPr>
          <w:rFonts w:hint="eastAsia" w:ascii="宋体" w:hAnsi="宋体" w:cs="宋体"/>
          <w:color w:val="000000"/>
          <w:sz w:val="24"/>
          <w:szCs w:val="24"/>
          <w:lang w:val="en-US" w:eastAsia="zh-CN"/>
        </w:rPr>
        <w:t>文件</w:t>
      </w:r>
      <w:r>
        <w:rPr>
          <w:rFonts w:hint="eastAsia" w:ascii="宋体" w:hAnsi="宋体" w:cs="宋体"/>
          <w:color w:val="000000"/>
          <w:sz w:val="24"/>
          <w:szCs w:val="24"/>
        </w:rPr>
        <w:t>、相关国家标准及规定和业主的其它要求，如有矛盾，按较高(优)标准执行。包括且不仅限于以下规范：</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a)《离心泵效率》GB/T13007-2011</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b)《泵的噪声测量与评价方法》GB/T29529-2013</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c)《泵的振动测量与评价方法》GB/T29531-2013</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d)《球墨铸铁件》GB/T1348-2019</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e)《旋转电机定额和性能》GB/T 755-2019</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f)《电气绝缘 耐热性和表示方法》GB/T11021-2014</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g)《外壳防护等级(IP代码)》GB4208-2017</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h)《清水离心泵能效限定值及节能评价值》GB19762-2007</w:t>
      </w:r>
    </w:p>
    <w:p>
      <w:pPr>
        <w:tabs>
          <w:tab w:val="left" w:pos="832"/>
        </w:tabs>
        <w:ind w:firstLine="484" w:firstLineChars="202"/>
        <w:contextualSpacing/>
        <w:jc w:val="left"/>
        <w:rPr>
          <w:rFonts w:hint="eastAsia" w:ascii="宋体" w:hAnsi="宋体" w:cs="宋体"/>
          <w:color w:val="000000"/>
          <w:sz w:val="24"/>
          <w:szCs w:val="24"/>
        </w:rPr>
      </w:pPr>
      <w:r>
        <w:rPr>
          <w:rFonts w:hint="eastAsia" w:ascii="宋体" w:hAnsi="宋体" w:cs="宋体"/>
          <w:color w:val="000000"/>
          <w:sz w:val="24"/>
          <w:szCs w:val="24"/>
        </w:rPr>
        <w:t>i)《电动机能效限定值及能效等级》GB18613-2020</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4.1.3每台设备必须是一套完整的、满足使用功能的机器；已列出的设备、附件仅为最低要求，并非全部；须提供完整的水泵配套，包括水泵本体，配套电机、隔振台座、防滑构造及减震器。为满足机器正常使用所必须的设备附件、安装配件等也应一并提供。</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4.1.4</w:t>
      </w:r>
      <w:r>
        <w:rPr>
          <w:rFonts w:hint="eastAsia" w:ascii="宋体" w:hAnsi="宋体" w:cs="宋体"/>
          <w:bCs/>
          <w:kern w:val="28"/>
          <w:sz w:val="24"/>
          <w:szCs w:val="24"/>
        </w:rPr>
        <w:t>★</w:t>
      </w:r>
      <w:r>
        <w:rPr>
          <w:rFonts w:hint="eastAsia" w:ascii="宋体" w:hAnsi="宋体" w:cs="宋体"/>
          <w:color w:val="000000"/>
          <w:sz w:val="24"/>
          <w:szCs w:val="24"/>
        </w:rPr>
        <w:t>所用型号/产品及组件，不接受贴牌产品。</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4.1.5水泵选型资料组织结构清晰、逻辑性强，资料内容正确、准确、一致、清晰完整，满足工程要求。</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4.1.6水泵制造商须具有高精度的水泵测试平台，试验平台应满足（GB/T3216-2016）1级精度。</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4.1.7提供水泵需满足的重要性能指标：</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水泵效率满足《清水离心泵能效限定值及节能评价值》（GB19762-2007）目标能效限定值的要求。</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水泵振动符合《泵的振动测量与评价方法》（GB/T29531-2013）B级的要求。</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水泵噪声符合《泵的噪声测量与评价方法》（GB/T29529-2013）B级的要求。</w:t>
      </w:r>
    </w:p>
    <w:p>
      <w:pPr>
        <w:ind w:firstLine="480" w:firstLineChars="200"/>
        <w:contextualSpacing/>
        <w:jc w:val="left"/>
        <w:rPr>
          <w:rFonts w:hint="eastAsia" w:ascii="宋体" w:hAnsi="宋体" w:cs="宋体"/>
          <w:color w:val="000000"/>
          <w:sz w:val="24"/>
          <w:szCs w:val="24"/>
        </w:rPr>
      </w:pPr>
      <w:r>
        <w:rPr>
          <w:rFonts w:hint="eastAsia" w:ascii="宋体" w:hAnsi="宋体" w:cs="宋体"/>
          <w:bCs/>
          <w:kern w:val="28"/>
          <w:sz w:val="24"/>
          <w:szCs w:val="24"/>
        </w:rPr>
        <w:t>★</w:t>
      </w:r>
      <w:r>
        <w:rPr>
          <w:rFonts w:hint="eastAsia" w:ascii="宋体" w:hAnsi="宋体" w:cs="宋体"/>
          <w:color w:val="000000"/>
          <w:sz w:val="24"/>
          <w:szCs w:val="24"/>
        </w:rPr>
        <w:t>电机满足《电动机能效限定值及能效等级》（GB18613-2020）一级能效要求，并提供一级能效标示认证。</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选型：效率曲线需具有较宽广的高效区；泵在额定工作点时，应在稳定工作区内且在最高效率线的左边区域；水泵在额定工作点的流量应不超过水泵曲线末端(最大流量)的75%，并随时满足业主方现场复核。</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水泵电机功率应满足ISO5199安全余量要求且按全流量范围内轴功率不过载配置。</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水泵的型式和水泵进出口方向、大小尺寸等需满足现场布置和土建条件要求。</w:t>
      </w:r>
    </w:p>
    <w:p>
      <w:pPr>
        <w:tabs>
          <w:tab w:val="left" w:pos="832"/>
        </w:tabs>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4.1.8资料送审</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水泵参数表。水泵选型需采用专业水泵选型软件，不接受样本直接选型。在参数表中包含的内容：水泵种类、规格型号、流量、压头、效率、电机功率（含电压）、噪音。</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说明水泵主要部件（叶轮、壳体、底座、轴封、轴承、轴、联轴器、减震器、电机）材料、型号、厂家、产地、技术参数。</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提供水泵及其附件的完整样本及安装尺寸、外形尺寸、电气接线图、安装说明/详图。</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提供标明水泵工作点的水泵性能曲线（流量、压头、效率、轴功率、汽蚀余量），水泵变频调节范围25Hz~50Hz，并提供性能曲线图，性能曲线图包括水泵流量-扬程曲线，轴功率曲线，NPSH曲线，效率曲线，变频调节曲线（频率35Hz、40Hz，45Hz，50Hz），水泵并联曲线。</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提供水泵在故障时，详细的水泵维修方法说明。</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提供水泵使用寿命的承诺文件，并作为考察因素之一。</w:t>
      </w:r>
    </w:p>
    <w:p>
      <w:pPr>
        <w:ind w:firstLine="480" w:firstLineChars="200"/>
        <w:contextualSpacing/>
        <w:jc w:val="left"/>
        <w:rPr>
          <w:rFonts w:hint="eastAsia" w:ascii="宋体" w:hAnsi="宋体" w:cs="宋体"/>
          <w:color w:val="000000"/>
          <w:sz w:val="24"/>
          <w:szCs w:val="24"/>
        </w:rPr>
      </w:pPr>
      <w:r>
        <w:rPr>
          <w:rFonts w:hint="eastAsia" w:ascii="宋体" w:hAnsi="宋体" w:cs="宋体"/>
          <w:color w:val="000000"/>
          <w:sz w:val="24"/>
          <w:szCs w:val="24"/>
        </w:rPr>
        <w:t>提供设备到货后安装前的特殊说明（如有）。</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4.1.9水泵运转部份必须经静态及动态平衡并在生产工厂内进行标准试验。</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4.1.10水泵必须是技术先进，经济合理，成熟可靠的产品，并具有较高的灵活性，既能够满足机组各种运行方式的需要，亦能适应机组变负荷的要求。</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4.1.11每台水泵应附有原厂的标志牌要包括但不限于以下信息：制造商/产地，型号，序列号，规格，分钟转数，叶轮尺寸，泵的额定值，制造日期，工作电压，相位，电流和频率，额定电流和功率，启动方式和启动电流，功率系数。</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4.1.12在运送，储存及安装时应采取正确的保护设施，以避免水泵因碰撞及锈蚀而受损坏。所有受损坏的设备将不被接受。</w:t>
      </w:r>
    </w:p>
    <w:p>
      <w:pPr>
        <w:pStyle w:val="7"/>
        <w:ind w:firstLine="480" w:firstLineChars="200"/>
        <w:contextualSpacing/>
        <w:rPr>
          <w:rFonts w:hint="eastAsia" w:ascii="宋体" w:hAnsi="宋体" w:cs="宋体"/>
          <w:color w:val="0000FF"/>
          <w:sz w:val="24"/>
          <w:szCs w:val="24"/>
        </w:rPr>
      </w:pPr>
      <w:r>
        <w:rPr>
          <w:rFonts w:hint="eastAsia" w:ascii="宋体" w:hAnsi="宋体" w:cs="宋体"/>
          <w:color w:val="000000"/>
          <w:sz w:val="24"/>
          <w:szCs w:val="24"/>
        </w:rPr>
        <w:t>4.1.13</w:t>
      </w:r>
      <w:r>
        <w:rPr>
          <w:rFonts w:hint="eastAsia" w:ascii="宋体" w:hAnsi="宋体" w:cs="宋体"/>
          <w:b/>
          <w:color w:val="000000"/>
          <w:sz w:val="24"/>
          <w:szCs w:val="24"/>
        </w:rPr>
        <w:t>水泵电机接线应满足现场利旧电缆和便于检修的要求，电机接线盒尺寸、穿线孔尺寸、接线方向等应现场安装的要求。</w:t>
      </w:r>
      <w:r>
        <w:rPr>
          <w:rFonts w:hint="eastAsia" w:ascii="宋体" w:hAnsi="宋体" w:cs="宋体"/>
          <w:b/>
          <w:color w:val="0000FF"/>
          <w:sz w:val="24"/>
          <w:szCs w:val="24"/>
        </w:rPr>
        <w:t>穿线孔直径不小于6cm，且与电缆尺寸相配合。</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4.2产品</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4.2.1整体要求</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水泵形式：卧式双吸泵，工作温度范围：-15℃～50℃。</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水泵输送介质：28%质量浓度的工业抑制性乙二醇溶液（具体见设备表）（6台）。</w:t>
      </w:r>
    </w:p>
    <w:p>
      <w:pPr>
        <w:pStyle w:val="7"/>
        <w:ind w:firstLine="480" w:firstLineChars="200"/>
        <w:contextualSpacing/>
        <w:rPr>
          <w:rFonts w:hint="eastAsia" w:ascii="宋体" w:hAnsi="宋体" w:cs="宋体"/>
          <w:color w:val="000000"/>
          <w:sz w:val="24"/>
          <w:szCs w:val="24"/>
        </w:rPr>
      </w:pPr>
      <w:r>
        <w:rPr>
          <w:rFonts w:hint="eastAsia" w:ascii="宋体" w:hAnsi="宋体" w:cs="宋体"/>
          <w:bCs/>
          <w:kern w:val="28"/>
          <w:sz w:val="24"/>
          <w:szCs w:val="24"/>
        </w:rPr>
        <w:t>★</w:t>
      </w:r>
      <w:r>
        <w:rPr>
          <w:rFonts w:hint="eastAsia" w:ascii="宋体" w:hAnsi="宋体" w:cs="宋体"/>
          <w:color w:val="000000"/>
          <w:sz w:val="24"/>
          <w:szCs w:val="24"/>
        </w:rPr>
        <w:t>水泵承压1.6Mpa，所有水泵承压部件应能承受1.5倍工作压力的试验压力而不渗漏。</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应运行在最高效率点附近，当水泵的流量不超过设计流量25%的情况下运行时，水泵不应有破坏点，并且电机应不出现超铭牌上的额定功率的情况，同时在规定的环境条件下，电机应能长期运行，不得超过允许的温升。</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水泵应符合本技术规格书和相关规定的要求，并按经规定程序批准的图样和技术文件及供需双方技术协议的要求制造。</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必须在工厂组装完整，并且水泵制造商在国内的工厂必须自备能够测试供货水泵吨位的性能测试平台（包括压力测试、工作曲线测试及工作点测试），每一台供货水泵在出厂前都必须在工厂完成压力测试及性能测试，同时提供水泵的完整详实的性能测试报告，满足甲方或监理对产品目击测试考察的要求。</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水泵应在额定及实际运行电压下能正常启动和运转，每台泵在出厂前，应进行检查和试运转。</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水泵效率满足《清水离心泵能效限定值及节能评价值》（GB19762-2007）泵目标能效限定值的要求。水泵效率应大于86%，水泵汽蚀余量NPSH值小于5m。</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4.2.2泵壳</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泵壳采用铸铁HT250或力学性能不低于铸铁HT250的其他材质，并符合GB1348－2019，以保证足够的水泵承压，应设有排水及排气孔。外表面应平滑、无砂眼或其他铸造缺陷，内表面经过抛光处理或由精密树脂铸造。叶轮应加以固定以防止它按指定方向旋转时沿周向和轴向移动。泵壳叶轮导叶等金属材料，应满足强度和耐疲劳要求、有耐腐蚀措施。</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拆卸上泵壳以及轴承座时可将完整的旋转部件拆下而不影响管路连接；水泵有可移动的轴承座，以便在检查或更换机械密封，轴套以及轴承时，不用拆下叶轮等旋转部件或上部泵壳。</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采用补偿式双蜗壳结构，处于水泵高效区，设有独立轴承箱，可在不移除上泵壳情况下，拆卸轴承和机封，双吸泵泵头法兰采用整体铸造。</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应明确规定泵在最恶劣工作条件下的极限压力（最大允许压力）。包括轴封箱、密封端在内的压力壳体，须有适当的厚度使之能在工作温度下经受住最大容许压力并限制变形。泵体还应适合于环境温度下的水压实验压力。</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4.2.3叶轮</w:t>
      </w:r>
    </w:p>
    <w:p>
      <w:pPr>
        <w:pStyle w:val="7"/>
        <w:ind w:firstLine="480" w:firstLineChars="200"/>
        <w:contextualSpacing/>
        <w:rPr>
          <w:rFonts w:hint="eastAsia" w:ascii="宋体" w:hAnsi="宋体" w:cs="宋体"/>
          <w:color w:val="000000"/>
          <w:sz w:val="24"/>
          <w:szCs w:val="24"/>
        </w:rPr>
      </w:pPr>
      <w:r>
        <w:rPr>
          <w:rFonts w:hint="eastAsia" w:ascii="宋体" w:hAnsi="宋体" w:cs="宋体"/>
          <w:bCs/>
          <w:kern w:val="28"/>
          <w:sz w:val="24"/>
          <w:szCs w:val="24"/>
        </w:rPr>
        <w:t>★</w:t>
      </w:r>
      <w:r>
        <w:rPr>
          <w:rFonts w:hint="eastAsia" w:ascii="宋体" w:hAnsi="宋体" w:cs="宋体"/>
          <w:color w:val="000000"/>
          <w:sz w:val="24"/>
          <w:szCs w:val="24"/>
        </w:rPr>
        <w:t>双吸泵叶轮制造材料应为304不锈钢材质。</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叶轮应加以固定以防止它按指定方向旋转时沿周向和轴向移动。确定静止件和旋转件之间的运行间隙时，应考虑工作条件和这些零件所使用材料的性能。水泵叶轮平衡应按照ISO1940/1（最新版本）标准进行动、静平衡测试，动平衡等级不低于G6.3级，以保证水泵高效及平衡运行。</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叶轮应经水力平衡。叶轮的直径在工厂经计算机计算选择，在出厂前叶轮已经切割至用户实际需要的尺寸。</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4.2.4轴封及轴承</w:t>
      </w:r>
    </w:p>
    <w:p>
      <w:pPr>
        <w:pStyle w:val="7"/>
        <w:ind w:firstLine="480" w:firstLineChars="200"/>
        <w:contextualSpacing/>
        <w:rPr>
          <w:rFonts w:hint="eastAsia" w:ascii="宋体" w:hAnsi="宋体" w:cs="宋体"/>
          <w:color w:val="000000"/>
          <w:sz w:val="24"/>
          <w:szCs w:val="24"/>
        </w:rPr>
      </w:pPr>
      <w:r>
        <w:rPr>
          <w:rFonts w:hint="eastAsia" w:ascii="宋体" w:hAnsi="宋体" w:cs="宋体"/>
          <w:bCs/>
          <w:kern w:val="28"/>
          <w:sz w:val="24"/>
          <w:szCs w:val="24"/>
        </w:rPr>
        <w:t>★</w:t>
      </w:r>
      <w:r>
        <w:rPr>
          <w:rFonts w:hint="eastAsia" w:ascii="宋体" w:hAnsi="宋体" w:cs="宋体"/>
          <w:color w:val="000000"/>
          <w:sz w:val="24"/>
          <w:szCs w:val="24"/>
        </w:rPr>
        <w:t>泵轴采用SS420等实心不锈钢。</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轴承（包括推力轴承）采用NSK、NTN或者SKF轴承，优良的脂润滑保证轴承寿命不小于80,000小时。轴应有足够的尺寸和刚性以便传递电机的额定功率，使机械密封工作状况不良和卡住的危险程度降至最低，应对启动方法和有关惯性负荷给予应有的考虑。轴承容许的转子轴向位移不得对机械密封的性能产生有害的影响。轴承更换时不能影响管路连接。</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轴封采用国际名牌（参照或相当于：伯格曼、约翰克兰、福斯），平衡式免维护标准机械密封，应采用适合的材质以保证在225F度（100℃）的连续运行。满足耐磨损、耐腐蚀和机械应力等要求及更换周期，设计寿命不低于60000小时。</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水泵应带有可靠的轴套设计，以确保轴在运行中不被磨损、腐蚀，水泵制造商应提供相应技术证明资料。</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应阐述机械密封元件的材料、型式（平衡型、非平衡型、波纹管型等）。在给定的工作条件下，机械密封应满足耐腐蚀、耐磨损和机械应力等要求及更换周期。机械密封应采用质量可靠的优质产品，碳化钨/碳化钨等合金材质（乙二醇介质）等密封端面，不锈钢弹簧，可承受水泵压头要求。橡胶部分材质为EPDM。机械密封使用寿命不低于60000小时。</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4.2.5电机</w:t>
      </w:r>
    </w:p>
    <w:p>
      <w:pPr>
        <w:pStyle w:val="7"/>
        <w:topLinePunct/>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应采用国产优质同档次品牌高效低噪声电机，除符合国家相关标准外，还必须符合GB和IEC标准，并提供认证文件。</w:t>
      </w:r>
    </w:p>
    <w:p>
      <w:pPr>
        <w:pStyle w:val="7"/>
        <w:topLinePunct/>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应选用符合国际标准的通用电机。电机形式为风冷鼠笼式全封闭三相异步电机，应选用GB18613-2020一级能效或以上电机（提供一级能效标示认证），且满足IEC标准要求能效等级IE5。</w:t>
      </w:r>
    </w:p>
    <w:p>
      <w:pPr>
        <w:pStyle w:val="7"/>
        <w:topLinePunct/>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供电条件为：3/380V/50HZ，允许电压偏差：±6％，转速≤1500rpm。</w:t>
      </w:r>
    </w:p>
    <w:p>
      <w:pPr>
        <w:pStyle w:val="7"/>
        <w:topLinePunct/>
        <w:ind w:firstLine="480" w:firstLineChars="200"/>
        <w:contextualSpacing/>
        <w:rPr>
          <w:rFonts w:hint="eastAsia" w:ascii="宋体" w:hAnsi="宋体" w:cs="宋体"/>
          <w:color w:val="0000FF"/>
          <w:sz w:val="24"/>
          <w:szCs w:val="24"/>
        </w:rPr>
      </w:pPr>
      <w:r>
        <w:rPr>
          <w:rFonts w:hint="eastAsia" w:ascii="宋体" w:hAnsi="宋体" w:cs="宋体"/>
          <w:color w:val="0000FF"/>
          <w:sz w:val="24"/>
          <w:szCs w:val="24"/>
        </w:rPr>
        <w:t>电机接线盒接线孔接线孔直径不小于6cm，并应该与电缆的尺寸相配合。</w:t>
      </w:r>
    </w:p>
    <w:p>
      <w:pPr>
        <w:pStyle w:val="7"/>
        <w:topLinePunct/>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功率应保证水泵在其整个运行曲线范围内不会过载，电机防护等级为IP55，绝缘等级为F级。环境空气温度≤40℃，最大相对湿度为99%时，电机应保持稳定运行。电机必须内设防电机过载的热敏开关，确保电机过载时可自动停机。</w:t>
      </w:r>
    </w:p>
    <w:p>
      <w:pPr>
        <w:pStyle w:val="7"/>
        <w:topLinePunct/>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必须能传动设备由静止状态加速至额定的转速。在额定转矩和任何供应电压为50Hz标准电压的90%与106%之间时，电机须能连续地操作，或在额定短暂用途的电机上，也须可在短暂期间内操作。当在标准电压70%并运转10秒时，它们必须能提供额定转矩，而没有损害性过热，并在此情况下，转差百分数也不许超过10%。</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电机必须能在任何情况下充分地应付有关传动单位的工作要求及受机电保护装置的限制。</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电机必须能够持续操作而没有损害性影响，并能够在任何频率为48Hz至52Hz之间和任何电压在标准电压90%至106%之间把电机转动到它们额定的输出率。</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电机设计须能适用于低转轴电流，并必须具有适当设备，以防止转轴电流对轴承造成损毁。</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所有达至30kW的电机须有不少于88%的满载效率，和功率因子不少于0.85滞后。</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电机应能在额定电压为±15%，315KW及以下电机频率为25~50Hz以内变化时正常满载长期运行而无损害。</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电机应适应变频运行。</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电机服务系数：电机服务系数为1.0，不得采用大于1.0的电机服务系数。</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电机的正常起动次数应设计为不小于1000次/年，除特殊说明外，所选的电机在75%额定电压且带有实际负荷的条件下，应适应每小时三次连续冷起动和每小时两次两次连续热启动。</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电机须按照GB755/T《旋转电机定额和性能》及GB/T11021《电气绝缘 耐热性和表示方法》所定的“F”级物质作绝缘，并须采用非吸湿性及抗油的绝缘清漆浸染。绝缘物质须能适合不同的天气情况。</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保护：除特殊说明外，电机的保护程度至少须符合GB4208/T《外壳防护等级(IP代码)》标准的IP55的保护条件，前者说明在室内应用时要完全防水滴，后者说明在室外应用时要以全封闭扇冷作保护，还须符合以下的附加要求：</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a)坚强有力的钢或铸铁框架连铸铁框架的后部托架。</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b)接地的装置。</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c)外表面处理：红氧化铬酸锌底漆和两层灰漆（提供色卡由甲方确认）。</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4.2.6其它技术要求</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介质：28%质量浓度的工业抑制性乙二醇溶液（-15～50℃）。</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乙二醇泵为低温型离心泵，耐腐蚀性能佳。</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4.2.7联轴器</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水泵制造商需提供连轴器防护罩；水泵联轴器全部采用柔性连接，防护罩位于水泵和电机之间，并紧固于底座上。</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4.2.8泵底座</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泵底座的最低刚度满足ANSI/HI1.3.4-1997卧式泵底座设计标准。</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4.2.9减震措施</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水泵安装在其底座上必须采取适当的减震措施。</w:t>
      </w:r>
    </w:p>
    <w:p>
      <w:pPr>
        <w:pStyle w:val="7"/>
        <w:ind w:firstLine="480" w:firstLineChars="200"/>
        <w:contextualSpacing/>
        <w:outlineLvl w:val="2"/>
        <w:rPr>
          <w:rFonts w:hint="eastAsia" w:ascii="宋体" w:hAnsi="宋体" w:cs="宋体"/>
          <w:color w:val="000000"/>
          <w:sz w:val="24"/>
          <w:szCs w:val="24"/>
        </w:rPr>
      </w:pPr>
      <w:r>
        <w:rPr>
          <w:rFonts w:hint="eastAsia" w:ascii="宋体" w:hAnsi="宋体" w:cs="宋体"/>
          <w:color w:val="000000"/>
          <w:sz w:val="24"/>
          <w:szCs w:val="24"/>
        </w:rPr>
        <w:t>4.2.10泵、电机与底座的装配</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泵、电机与底座在工厂装配，经工厂测试。水泵和电机要在工厂做好预对中，并在水泵通电调试前对泵重新对中。</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4.3出厂前检测</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水泵制造过程中必须进行叶轮动平衡试验，以及承压部件的水压实验，出厂前必须按照GB/T3216-2016进行性能测试，并出具以上相关试验的检测报告。甲方可要求进行现监检。</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4.4现场测试及安装</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水泵安装完毕，应由厂家人员校准电机与水泵轴的同轴度。</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根据实际操作条件，验证水泵的功能与本技术说明书要求相符，检查所有线路和接驳口的完整。</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水泵运行时如发觉产生过量的震动或噪音或其它不良之地方时，须马上予以修理或更换损坏部件并重新进行测试。</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联同自动控制制造厂代表测试自动控制系统。</w:t>
      </w:r>
    </w:p>
    <w:p>
      <w:pPr>
        <w:pStyle w:val="7"/>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水泵混凝土基础现场利旧，水泵应按照现有混凝土基础适配安装。</w:t>
      </w:r>
    </w:p>
    <w:p>
      <w:pPr>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4.5品牌要求</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品牌等同或相当于以下厂家档次的产品：</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南方泵业股份有限公司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上海凯泉泵业（集团）有限公司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上海东方泵业（集团）有限公司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广东肯富来泵业股份有限公司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上海连成(集团)有限公司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广州广一泵业有限公司</w:t>
      </w:r>
    </w:p>
    <w:p>
      <w:pPr>
        <w:pStyle w:val="7"/>
        <w:ind w:firstLine="4" w:firstLineChars="2"/>
        <w:contextualSpacing/>
        <w:rPr>
          <w:rFonts w:hint="eastAsia" w:ascii="宋体" w:hAnsi="宋体" w:cs="宋体"/>
          <w:color w:val="000000"/>
          <w:sz w:val="24"/>
          <w:szCs w:val="24"/>
        </w:rPr>
      </w:pPr>
      <w:r>
        <w:rPr>
          <w:rFonts w:hint="eastAsia" w:ascii="宋体" w:hAnsi="宋体" w:cs="宋体"/>
          <w:color w:val="000000"/>
          <w:sz w:val="24"/>
          <w:szCs w:val="24"/>
        </w:rPr>
        <w:t>蓝深集团股份有限公司</w:t>
      </w:r>
    </w:p>
    <w:p>
      <w:pPr>
        <w:ind w:firstLine="480" w:firstLineChars="200"/>
        <w:contextualSpacing/>
        <w:jc w:val="left"/>
        <w:outlineLvl w:val="1"/>
        <w:rPr>
          <w:rFonts w:hint="eastAsia" w:ascii="宋体" w:hAnsi="宋体" w:cs="宋体"/>
          <w:bCs/>
          <w:kern w:val="28"/>
          <w:sz w:val="24"/>
          <w:szCs w:val="24"/>
        </w:rPr>
      </w:pPr>
      <w:r>
        <w:rPr>
          <w:rFonts w:hint="eastAsia" w:ascii="宋体" w:hAnsi="宋体" w:cs="宋体"/>
          <w:bCs/>
          <w:kern w:val="28"/>
          <w:sz w:val="24"/>
          <w:szCs w:val="24"/>
        </w:rPr>
        <w:t>4.6水泵参数表</w:t>
      </w:r>
    </w:p>
    <w:tbl>
      <w:tblPr>
        <w:tblStyle w:val="2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92"/>
        <w:gridCol w:w="863"/>
        <w:gridCol w:w="1192"/>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862" w:type="dxa"/>
            <w:vAlign w:val="center"/>
          </w:tcPr>
          <w:p>
            <w:pPr>
              <w:ind w:firstLine="0"/>
              <w:contextualSpacing/>
              <w:jc w:val="left"/>
              <w:rPr>
                <w:rFonts w:hint="eastAsia" w:ascii="宋体" w:hAnsi="宋体" w:cs="宋体"/>
                <w:b/>
                <w:bCs/>
                <w:sz w:val="24"/>
                <w:szCs w:val="24"/>
              </w:rPr>
            </w:pPr>
            <w:r>
              <w:rPr>
                <w:rFonts w:hint="eastAsia" w:ascii="宋体" w:hAnsi="宋体" w:cs="宋体"/>
                <w:b/>
                <w:bCs/>
                <w:sz w:val="24"/>
                <w:szCs w:val="24"/>
              </w:rPr>
              <w:t>序号</w:t>
            </w:r>
          </w:p>
        </w:tc>
        <w:tc>
          <w:tcPr>
            <w:tcW w:w="1192" w:type="dxa"/>
            <w:vAlign w:val="center"/>
          </w:tcPr>
          <w:p>
            <w:pPr>
              <w:ind w:firstLine="0"/>
              <w:contextualSpacing/>
              <w:jc w:val="left"/>
              <w:rPr>
                <w:rFonts w:hint="eastAsia" w:ascii="宋体" w:hAnsi="宋体" w:cs="宋体"/>
                <w:b/>
                <w:bCs/>
                <w:sz w:val="24"/>
                <w:szCs w:val="24"/>
              </w:rPr>
            </w:pPr>
            <w:r>
              <w:rPr>
                <w:rFonts w:hint="eastAsia" w:ascii="宋体" w:hAnsi="宋体" w:cs="宋体"/>
                <w:b/>
                <w:bCs/>
                <w:sz w:val="24"/>
                <w:szCs w:val="24"/>
              </w:rPr>
              <w:t>水泵名称</w:t>
            </w:r>
          </w:p>
        </w:tc>
        <w:tc>
          <w:tcPr>
            <w:tcW w:w="863" w:type="dxa"/>
            <w:vAlign w:val="center"/>
          </w:tcPr>
          <w:p>
            <w:pPr>
              <w:ind w:firstLine="0"/>
              <w:contextualSpacing/>
              <w:jc w:val="left"/>
              <w:rPr>
                <w:rFonts w:hint="eastAsia" w:ascii="宋体" w:hAnsi="宋体" w:cs="宋体"/>
                <w:b/>
                <w:bCs/>
                <w:sz w:val="24"/>
                <w:szCs w:val="24"/>
              </w:rPr>
            </w:pPr>
            <w:r>
              <w:rPr>
                <w:rFonts w:hint="eastAsia" w:ascii="宋体" w:hAnsi="宋体" w:cs="宋体"/>
                <w:b/>
                <w:bCs/>
                <w:sz w:val="24"/>
                <w:szCs w:val="24"/>
              </w:rPr>
              <w:t>数量</w:t>
            </w:r>
          </w:p>
        </w:tc>
        <w:tc>
          <w:tcPr>
            <w:tcW w:w="1192" w:type="dxa"/>
            <w:vAlign w:val="center"/>
          </w:tcPr>
          <w:p>
            <w:pPr>
              <w:ind w:firstLine="0"/>
              <w:contextualSpacing/>
              <w:jc w:val="left"/>
              <w:rPr>
                <w:rFonts w:hint="eastAsia" w:ascii="宋体" w:hAnsi="宋体" w:cs="宋体"/>
                <w:b/>
                <w:bCs/>
                <w:sz w:val="24"/>
                <w:szCs w:val="24"/>
              </w:rPr>
            </w:pPr>
            <w:r>
              <w:rPr>
                <w:rFonts w:hint="eastAsia" w:ascii="宋体" w:hAnsi="宋体" w:cs="宋体"/>
                <w:b/>
                <w:bCs/>
                <w:sz w:val="24"/>
                <w:szCs w:val="24"/>
              </w:rPr>
              <w:t>安装地点</w:t>
            </w:r>
          </w:p>
        </w:tc>
        <w:tc>
          <w:tcPr>
            <w:tcW w:w="4413" w:type="dxa"/>
            <w:vAlign w:val="center"/>
          </w:tcPr>
          <w:p>
            <w:pPr>
              <w:ind w:firstLine="200"/>
              <w:contextualSpacing/>
              <w:jc w:val="left"/>
              <w:rPr>
                <w:rFonts w:hint="eastAsia" w:ascii="宋体" w:hAnsi="宋体" w:cs="宋体"/>
                <w:b/>
                <w:bCs/>
                <w:sz w:val="24"/>
                <w:szCs w:val="24"/>
              </w:rPr>
            </w:pPr>
            <w:r>
              <w:rPr>
                <w:rFonts w:hint="eastAsia" w:ascii="宋体" w:hAnsi="宋体" w:cs="宋体"/>
                <w:b/>
                <w:bCs/>
                <w:sz w:val="24"/>
                <w:szCs w:val="24"/>
              </w:rPr>
              <w:t>设备参数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1" w:hRule="atLeast"/>
          <w:jc w:val="center"/>
        </w:trPr>
        <w:tc>
          <w:tcPr>
            <w:tcW w:w="862" w:type="dxa"/>
            <w:vAlign w:val="center"/>
          </w:tcPr>
          <w:p>
            <w:pPr>
              <w:ind w:firstLine="200"/>
              <w:contextualSpacing/>
              <w:jc w:val="left"/>
              <w:rPr>
                <w:rFonts w:hint="eastAsia" w:ascii="宋体" w:hAnsi="宋体" w:cs="宋体"/>
                <w:sz w:val="24"/>
                <w:szCs w:val="24"/>
              </w:rPr>
            </w:pPr>
            <w:r>
              <w:rPr>
                <w:rFonts w:hint="eastAsia" w:ascii="宋体" w:hAnsi="宋体" w:cs="宋体"/>
                <w:sz w:val="24"/>
                <w:szCs w:val="24"/>
              </w:rPr>
              <w:t>1</w:t>
            </w:r>
          </w:p>
        </w:tc>
        <w:tc>
          <w:tcPr>
            <w:tcW w:w="1192" w:type="dxa"/>
            <w:vAlign w:val="center"/>
          </w:tcPr>
          <w:p>
            <w:pPr>
              <w:ind w:firstLine="0"/>
              <w:contextualSpacing/>
              <w:jc w:val="left"/>
              <w:rPr>
                <w:rFonts w:hint="eastAsia" w:ascii="宋体" w:hAnsi="宋体" w:cs="宋体"/>
                <w:sz w:val="24"/>
                <w:szCs w:val="24"/>
              </w:rPr>
            </w:pPr>
            <w:r>
              <w:rPr>
                <w:rFonts w:hint="eastAsia" w:ascii="宋体" w:hAnsi="宋体" w:cs="宋体"/>
                <w:sz w:val="24"/>
                <w:szCs w:val="24"/>
              </w:rPr>
              <w:t>乙二醇泵</w:t>
            </w:r>
          </w:p>
        </w:tc>
        <w:tc>
          <w:tcPr>
            <w:tcW w:w="863" w:type="dxa"/>
            <w:vAlign w:val="center"/>
          </w:tcPr>
          <w:p>
            <w:pPr>
              <w:ind w:firstLine="200"/>
              <w:contextualSpacing/>
              <w:jc w:val="left"/>
              <w:rPr>
                <w:rFonts w:hint="eastAsia" w:ascii="宋体" w:hAnsi="宋体" w:cs="宋体"/>
                <w:sz w:val="24"/>
                <w:szCs w:val="24"/>
              </w:rPr>
            </w:pPr>
            <w:r>
              <w:rPr>
                <w:rFonts w:hint="eastAsia" w:ascii="宋体" w:hAnsi="宋体" w:cs="宋体"/>
                <w:sz w:val="24"/>
                <w:szCs w:val="24"/>
              </w:rPr>
              <w:t>6</w:t>
            </w:r>
          </w:p>
        </w:tc>
        <w:tc>
          <w:tcPr>
            <w:tcW w:w="1192" w:type="dxa"/>
            <w:vAlign w:val="center"/>
          </w:tcPr>
          <w:p>
            <w:pPr>
              <w:ind w:firstLine="0"/>
              <w:contextualSpacing/>
              <w:jc w:val="left"/>
              <w:rPr>
                <w:rFonts w:hint="eastAsia" w:ascii="宋体" w:hAnsi="宋体" w:cs="宋体"/>
                <w:sz w:val="24"/>
                <w:szCs w:val="24"/>
              </w:rPr>
            </w:pPr>
            <w:r>
              <w:rPr>
                <w:rFonts w:hint="eastAsia" w:ascii="宋体" w:hAnsi="宋体" w:cs="宋体"/>
                <w:sz w:val="24"/>
                <w:szCs w:val="24"/>
              </w:rPr>
              <w:t>第三冷站</w:t>
            </w:r>
          </w:p>
        </w:tc>
        <w:tc>
          <w:tcPr>
            <w:tcW w:w="4413" w:type="dxa"/>
          </w:tcPr>
          <w:p>
            <w:pPr>
              <w:ind w:firstLine="200"/>
              <w:contextualSpacing/>
              <w:jc w:val="left"/>
              <w:rPr>
                <w:rFonts w:hint="eastAsia" w:ascii="宋体" w:hAnsi="宋体" w:cs="宋体"/>
                <w:sz w:val="24"/>
                <w:szCs w:val="24"/>
              </w:rPr>
            </w:pPr>
            <w:r>
              <w:rPr>
                <w:rFonts w:hint="eastAsia" w:ascii="宋体" w:hAnsi="宋体" w:cs="宋体"/>
                <w:sz w:val="24"/>
                <w:szCs w:val="24"/>
              </w:rPr>
              <w:t>水泵形式：卧式离心双吸泵</w:t>
            </w:r>
          </w:p>
          <w:p>
            <w:pPr>
              <w:ind w:firstLine="200"/>
              <w:contextualSpacing/>
              <w:jc w:val="left"/>
              <w:rPr>
                <w:rFonts w:hint="eastAsia" w:ascii="宋体" w:hAnsi="宋体" w:cs="宋体"/>
                <w:sz w:val="24"/>
                <w:szCs w:val="24"/>
              </w:rPr>
            </w:pPr>
            <w:r>
              <w:rPr>
                <w:rFonts w:hint="eastAsia" w:ascii="宋体" w:hAnsi="宋体" w:cs="宋体"/>
                <w:sz w:val="24"/>
                <w:szCs w:val="24"/>
              </w:rPr>
              <w:t>进出水方向：以现场布置为准</w:t>
            </w:r>
          </w:p>
          <w:p>
            <w:pPr>
              <w:ind w:firstLine="200"/>
              <w:contextualSpacing/>
              <w:jc w:val="left"/>
              <w:rPr>
                <w:rFonts w:hint="eastAsia" w:ascii="宋体" w:hAnsi="宋体" w:cs="宋体"/>
                <w:sz w:val="24"/>
                <w:szCs w:val="24"/>
              </w:rPr>
            </w:pPr>
            <w:r>
              <w:rPr>
                <w:rFonts w:hint="eastAsia" w:ascii="宋体" w:hAnsi="宋体" w:cs="宋体"/>
                <w:sz w:val="24"/>
                <w:szCs w:val="24"/>
              </w:rPr>
              <w:t>工作温度：-15℃～50℃</w:t>
            </w:r>
          </w:p>
          <w:p>
            <w:pPr>
              <w:ind w:firstLine="200"/>
              <w:contextualSpacing/>
              <w:jc w:val="left"/>
              <w:rPr>
                <w:rFonts w:hint="eastAsia" w:ascii="宋体" w:hAnsi="宋体" w:cs="宋体"/>
                <w:sz w:val="24"/>
                <w:szCs w:val="24"/>
              </w:rPr>
            </w:pPr>
            <w:r>
              <w:rPr>
                <w:rFonts w:hint="eastAsia" w:ascii="宋体" w:hAnsi="宋体" w:cs="宋体"/>
                <w:sz w:val="24"/>
                <w:szCs w:val="24"/>
              </w:rPr>
              <w:t>输送介质：28%质量浓度的工业抑制性乙二醇溶液</w:t>
            </w:r>
          </w:p>
          <w:p>
            <w:pPr>
              <w:ind w:firstLine="200"/>
              <w:contextualSpacing/>
              <w:jc w:val="left"/>
              <w:rPr>
                <w:rFonts w:hint="eastAsia" w:ascii="宋体" w:hAnsi="宋体" w:cs="宋体"/>
                <w:sz w:val="24"/>
                <w:szCs w:val="24"/>
              </w:rPr>
            </w:pPr>
            <w:r>
              <w:rPr>
                <w:rFonts w:hint="eastAsia" w:ascii="宋体" w:hAnsi="宋体" w:cs="宋体"/>
                <w:sz w:val="24"/>
                <w:szCs w:val="24"/>
              </w:rPr>
              <w:t>流量：1103m</w:t>
            </w:r>
            <w:r>
              <w:rPr>
                <w:rFonts w:hint="eastAsia" w:ascii="宋体" w:hAnsi="宋体" w:cs="宋体"/>
                <w:sz w:val="24"/>
                <w:szCs w:val="24"/>
                <w:vertAlign w:val="superscript"/>
              </w:rPr>
              <w:t>3</w:t>
            </w:r>
            <w:r>
              <w:rPr>
                <w:rFonts w:hint="eastAsia" w:ascii="宋体" w:hAnsi="宋体" w:cs="宋体"/>
                <w:sz w:val="24"/>
                <w:szCs w:val="24"/>
              </w:rPr>
              <w:t>/h</w:t>
            </w:r>
          </w:p>
          <w:p>
            <w:pPr>
              <w:ind w:firstLine="200"/>
              <w:contextualSpacing/>
              <w:jc w:val="left"/>
              <w:rPr>
                <w:rFonts w:hint="eastAsia" w:ascii="宋体" w:hAnsi="宋体" w:cs="宋体"/>
                <w:sz w:val="24"/>
                <w:szCs w:val="24"/>
              </w:rPr>
            </w:pPr>
            <w:r>
              <w:rPr>
                <w:rFonts w:hint="eastAsia" w:ascii="宋体" w:hAnsi="宋体" w:cs="宋体"/>
                <w:sz w:val="24"/>
                <w:szCs w:val="24"/>
              </w:rPr>
              <w:t>扬程：27.5mH</w:t>
            </w:r>
            <w:r>
              <w:rPr>
                <w:rFonts w:hint="eastAsia" w:ascii="宋体" w:hAnsi="宋体" w:cs="宋体"/>
                <w:sz w:val="24"/>
                <w:szCs w:val="24"/>
                <w:vertAlign w:val="subscript"/>
              </w:rPr>
              <w:t>2</w:t>
            </w:r>
            <w:r>
              <w:rPr>
                <w:rFonts w:hint="eastAsia" w:ascii="宋体" w:hAnsi="宋体" w:cs="宋体"/>
                <w:sz w:val="24"/>
                <w:szCs w:val="24"/>
              </w:rPr>
              <w:t>O</w:t>
            </w:r>
          </w:p>
          <w:p>
            <w:pPr>
              <w:ind w:firstLine="200"/>
              <w:contextualSpacing/>
              <w:jc w:val="left"/>
              <w:rPr>
                <w:rFonts w:hint="eastAsia" w:ascii="宋体" w:hAnsi="宋体" w:cs="宋体"/>
                <w:sz w:val="24"/>
                <w:szCs w:val="24"/>
              </w:rPr>
            </w:pPr>
            <w:r>
              <w:rPr>
                <w:rFonts w:hint="eastAsia" w:ascii="宋体" w:hAnsi="宋体" w:cs="宋体"/>
                <w:sz w:val="24"/>
                <w:szCs w:val="24"/>
              </w:rPr>
              <w:t>工作压力：不小于1.6MPa</w:t>
            </w:r>
          </w:p>
          <w:p>
            <w:pPr>
              <w:ind w:firstLine="200"/>
              <w:contextualSpacing/>
              <w:jc w:val="left"/>
              <w:rPr>
                <w:rFonts w:hint="eastAsia" w:ascii="宋体" w:hAnsi="宋体" w:cs="宋体"/>
                <w:sz w:val="24"/>
                <w:szCs w:val="24"/>
              </w:rPr>
            </w:pPr>
            <w:r>
              <w:rPr>
                <w:rFonts w:hint="eastAsia" w:ascii="宋体" w:hAnsi="宋体" w:cs="宋体"/>
                <w:sz w:val="24"/>
                <w:szCs w:val="24"/>
              </w:rPr>
              <w:t>功率：不大于110KW，380V，50Hz</w:t>
            </w:r>
          </w:p>
          <w:p>
            <w:pPr>
              <w:ind w:firstLine="200"/>
              <w:contextualSpacing/>
              <w:jc w:val="left"/>
              <w:rPr>
                <w:rFonts w:hint="eastAsia" w:ascii="宋体" w:hAnsi="宋体" w:cs="宋体"/>
                <w:sz w:val="24"/>
                <w:szCs w:val="24"/>
              </w:rPr>
            </w:pPr>
            <w:r>
              <w:rPr>
                <w:rFonts w:hint="eastAsia" w:ascii="宋体" w:hAnsi="宋体" w:cs="宋体"/>
                <w:sz w:val="24"/>
                <w:szCs w:val="24"/>
              </w:rPr>
              <w:t>转速：≤1500rpm</w:t>
            </w:r>
          </w:p>
          <w:p>
            <w:pPr>
              <w:ind w:firstLine="200"/>
              <w:contextualSpacing/>
              <w:jc w:val="left"/>
              <w:rPr>
                <w:rFonts w:hint="eastAsia" w:ascii="宋体" w:hAnsi="宋体" w:cs="宋体"/>
                <w:sz w:val="24"/>
                <w:szCs w:val="24"/>
              </w:rPr>
            </w:pPr>
            <w:r>
              <w:rPr>
                <w:rFonts w:hint="eastAsia" w:ascii="宋体" w:hAnsi="宋体" w:cs="宋体"/>
                <w:sz w:val="24"/>
                <w:szCs w:val="24"/>
              </w:rPr>
              <w:t>效率：≥86%</w:t>
            </w:r>
          </w:p>
        </w:tc>
      </w:tr>
    </w:tbl>
    <w:p>
      <w:pPr>
        <w:pStyle w:val="21"/>
        <w:spacing w:before="0" w:after="0"/>
        <w:ind w:firstLine="200"/>
        <w:contextualSpacing/>
        <w:jc w:val="left"/>
        <w:rPr>
          <w:rFonts w:hint="eastAsia" w:ascii="宋体" w:hAnsi="宋体" w:cs="宋体"/>
          <w:sz w:val="24"/>
          <w:szCs w:val="24"/>
        </w:rPr>
      </w:pPr>
      <w:r>
        <w:rPr>
          <w:rFonts w:hint="eastAsia" w:ascii="宋体" w:hAnsi="宋体" w:cs="宋体"/>
          <w:sz w:val="24"/>
          <w:szCs w:val="24"/>
        </w:rPr>
        <w:t>五</w:t>
      </w:r>
      <w:r>
        <w:rPr>
          <w:rFonts w:hint="eastAsia" w:ascii="宋体" w:hAnsi="宋体" w:cs="宋体"/>
          <w:sz w:val="24"/>
          <w:szCs w:val="24"/>
          <w:lang w:val="zh-CN"/>
        </w:rPr>
        <w:t xml:space="preserve"> </w:t>
      </w:r>
      <w:r>
        <w:rPr>
          <w:rFonts w:hint="eastAsia" w:ascii="宋体" w:hAnsi="宋体" w:cs="宋体"/>
          <w:sz w:val="24"/>
          <w:szCs w:val="24"/>
        </w:rPr>
        <w:t>配电柜/控制柜</w:t>
      </w:r>
    </w:p>
    <w:p>
      <w:pPr>
        <w:ind w:firstLine="480" w:firstLineChars="200"/>
        <w:contextualSpacing/>
        <w:jc w:val="left"/>
        <w:rPr>
          <w:rFonts w:hint="eastAsia" w:ascii="宋体" w:hAnsi="宋体" w:cs="宋体"/>
          <w:bCs/>
          <w:sz w:val="24"/>
          <w:szCs w:val="24"/>
        </w:rPr>
      </w:pPr>
      <w:r>
        <w:rPr>
          <w:rFonts w:hint="eastAsia" w:ascii="宋体" w:hAnsi="宋体" w:cs="宋体"/>
          <w:bCs/>
          <w:sz w:val="24"/>
          <w:szCs w:val="24"/>
        </w:rPr>
        <w:t>柜内导线、导线颜色、按钮、指示灯、插接件、布线槽等均应符合国家或行业的有关标准；</w:t>
      </w:r>
    </w:p>
    <w:p>
      <w:pPr>
        <w:ind w:firstLine="480" w:firstLineChars="200"/>
        <w:contextualSpacing/>
        <w:jc w:val="left"/>
        <w:rPr>
          <w:rFonts w:hint="eastAsia" w:ascii="宋体" w:hAnsi="宋体" w:cs="宋体"/>
          <w:bCs/>
          <w:sz w:val="24"/>
          <w:szCs w:val="24"/>
        </w:rPr>
      </w:pPr>
      <w:r>
        <w:rPr>
          <w:rFonts w:hint="eastAsia" w:ascii="宋体" w:hAnsi="宋体" w:cs="宋体"/>
          <w:bCs/>
          <w:sz w:val="24"/>
          <w:szCs w:val="24"/>
        </w:rPr>
        <w:t>接线端子应适合连接硬、软铜导线，并保证维持适合于电器元件和电路的额定电流、短路电流强度所需要的接触压力。</w:t>
      </w:r>
    </w:p>
    <w:p>
      <w:pPr>
        <w:ind w:firstLine="480" w:firstLineChars="200"/>
        <w:contextualSpacing/>
        <w:jc w:val="left"/>
        <w:rPr>
          <w:rFonts w:hint="eastAsia" w:ascii="宋体" w:hAnsi="宋体" w:cs="宋体"/>
          <w:bCs/>
          <w:sz w:val="24"/>
          <w:szCs w:val="24"/>
        </w:rPr>
      </w:pPr>
      <w:r>
        <w:rPr>
          <w:rFonts w:hint="eastAsia" w:ascii="宋体" w:hAnsi="宋体" w:cs="宋体"/>
          <w:bCs/>
          <w:sz w:val="24"/>
          <w:szCs w:val="24"/>
        </w:rPr>
        <w:t>厂家根据施工图进行深化，深化图纸需经过审核后，方可实施。</w:t>
      </w:r>
    </w:p>
    <w:p>
      <w:pPr>
        <w:ind w:firstLine="200"/>
        <w:contextualSpacing/>
        <w:jc w:val="left"/>
        <w:outlineLvl w:val="1"/>
        <w:rPr>
          <w:rFonts w:hint="eastAsia" w:ascii="宋体" w:hAnsi="宋体" w:cs="宋体"/>
          <w:b/>
          <w:bCs/>
          <w:sz w:val="24"/>
          <w:szCs w:val="24"/>
        </w:rPr>
      </w:pPr>
      <w:r>
        <w:rPr>
          <w:rFonts w:hint="eastAsia" w:ascii="宋体" w:hAnsi="宋体" w:cs="宋体"/>
          <w:b/>
          <w:bCs/>
          <w:sz w:val="24"/>
          <w:szCs w:val="24"/>
        </w:rPr>
        <w:t>5.1箱体部分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5.1.1配电箱、柜板材的各种指标必须符合国家的有关标准要求。所有配电箱、柜应采用符合国家标准的</w:t>
      </w:r>
      <w:r>
        <w:rPr>
          <w:rFonts w:hint="eastAsia" w:ascii="宋体" w:hAnsi="宋体" w:eastAsia="宋体" w:cs="宋体"/>
          <w:snapToGrid w:val="0"/>
          <w:color w:val="000000"/>
          <w:sz w:val="24"/>
          <w:szCs w:val="24"/>
          <w:highlight w:val="none"/>
        </w:rPr>
        <w:t>双层门不锈钢电箱</w:t>
      </w:r>
      <w:r>
        <w:rPr>
          <w:rFonts w:hint="eastAsia" w:ascii="宋体" w:hAnsi="宋体" w:cs="宋体"/>
          <w:snapToGrid w:val="0"/>
          <w:sz w:val="24"/>
          <w:szCs w:val="24"/>
        </w:rPr>
        <w:t>。</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配电箱长边不大于 600mm时，板厚不得小于1.0mm；</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配电箱长边不大于1000mm时，板厚不得小于1.5mm；</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长边大于1000mm时，板厚不得小于2.0mm。</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5.1.2 落地柜配活顶盖，配电箱不开敲落孔，根据安装情况现场开孔。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5.1.3 照明箱内应设盖板。</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5.1.4 电气竖井、高低压配电室、风机房、水泵房、电梯机房等所有设备房内的配电箱门、柜门均采用标准套筒型通锁通匙；其它部位的配电箱柜门锁须采用齿匙锁芯，所有齿匙及锁芯也为通锁通匙。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5.1.5配电箱、柜的金属部分：包括电器的安装板、支架和电器金属外壳等均须良好接地，配电箱、柜的门接地应采用镀锡铜编织软线穿透明塑料管与接地金属构架进行可靠电气连接。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5.1.6箱内配电母线、中性线汇流排、地线汇流排及其它导线材料应选用电解铜，其纯度达到99.90%以上。</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5.1.7配电箱箱体表面采用环氧粉末喷涂。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5.1.8防护等级：所有柜体的防护等级必须满足</w:t>
      </w:r>
      <w:r>
        <w:rPr>
          <w:rFonts w:hint="eastAsia" w:ascii="宋体" w:hAnsi="宋体" w:cs="宋体"/>
          <w:snapToGrid w:val="0"/>
          <w:sz w:val="24"/>
          <w:szCs w:val="24"/>
          <w:lang w:val="en-US" w:eastAsia="zh-CN"/>
        </w:rPr>
        <w:t>方案</w:t>
      </w:r>
      <w:r>
        <w:rPr>
          <w:rFonts w:hint="eastAsia" w:ascii="宋体" w:hAnsi="宋体" w:cs="宋体"/>
          <w:snapToGrid w:val="0"/>
          <w:sz w:val="24"/>
          <w:szCs w:val="24"/>
        </w:rPr>
        <w:t>相关要求。</w:t>
      </w:r>
    </w:p>
    <w:p>
      <w:pPr>
        <w:ind w:firstLine="200"/>
        <w:contextualSpacing/>
        <w:jc w:val="left"/>
        <w:outlineLvl w:val="1"/>
        <w:rPr>
          <w:rFonts w:hint="eastAsia" w:ascii="宋体" w:hAnsi="宋体" w:cs="宋体"/>
          <w:b/>
          <w:bCs/>
          <w:sz w:val="24"/>
          <w:szCs w:val="24"/>
        </w:rPr>
      </w:pPr>
      <w:r>
        <w:rPr>
          <w:rFonts w:hint="eastAsia" w:ascii="宋体" w:hAnsi="宋体" w:cs="宋体"/>
          <w:b/>
          <w:bCs/>
          <w:sz w:val="24"/>
          <w:szCs w:val="24"/>
        </w:rPr>
        <w:t>5.2元件部分</w:t>
      </w:r>
    </w:p>
    <w:p>
      <w:pPr>
        <w:ind w:firstLine="200"/>
        <w:contextualSpacing/>
        <w:jc w:val="left"/>
        <w:outlineLvl w:val="2"/>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5.2.1塑壳开关：</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额定绝缘电压：≥AC690V。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额定工作电压： ≥AC500V。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额定冲击耐压：不少于8KV。</w:t>
      </w:r>
    </w:p>
    <w:p>
      <w:pPr>
        <w:pStyle w:val="58"/>
        <w:snapToGrid/>
        <w:spacing w:line="240" w:lineRule="auto"/>
        <w:ind w:firstLine="200" w:firstLineChars="0"/>
        <w:contextualSpacing/>
        <w:rPr>
          <w:rFonts w:hint="eastAsia" w:ascii="宋体" w:hAnsi="宋体" w:eastAsia="宋体" w:cs="宋体"/>
          <w:snapToGrid w:val="0"/>
          <w:sz w:val="24"/>
          <w:szCs w:val="24"/>
          <w:lang w:val="en-US" w:eastAsia="zh-CN"/>
        </w:rPr>
      </w:pPr>
      <w:r>
        <w:rPr>
          <w:rFonts w:hint="eastAsia" w:ascii="宋体" w:hAnsi="宋体" w:cs="宋体"/>
          <w:snapToGrid w:val="0"/>
          <w:sz w:val="24"/>
          <w:szCs w:val="24"/>
        </w:rPr>
        <w:t>极限短路分断能力Icu：</w:t>
      </w:r>
      <w:r>
        <w:rPr>
          <w:rFonts w:hint="eastAsia" w:ascii="宋体" w:hAnsi="宋体" w:cs="宋体"/>
          <w:snapToGrid w:val="0"/>
          <w:sz w:val="24"/>
          <w:szCs w:val="24"/>
          <w:lang w:val="en-US" w:eastAsia="zh-CN"/>
        </w:rPr>
        <w:t>10KA</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额定运行短路分断能力Ics=100%Icu。</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为满足用电设备的可能变化，断路器应可以现场更换。</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断路器必须是抗湿热产品。</w:t>
      </w:r>
    </w:p>
    <w:p>
      <w:pPr>
        <w:ind w:firstLine="200"/>
        <w:contextualSpacing/>
        <w:jc w:val="left"/>
        <w:outlineLvl w:val="2"/>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5.2.2微型断路器：</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额定绝缘电压：≥ 500V。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额定工作电压：≥230/400V。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额定冲击耐压：不少于4kV。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运行短路分断能力Ics≮</w:t>
      </w:r>
      <w:r>
        <w:rPr>
          <w:rFonts w:hint="eastAsia" w:ascii="宋体" w:hAnsi="宋体" w:cs="宋体"/>
          <w:snapToGrid w:val="0"/>
          <w:sz w:val="24"/>
          <w:szCs w:val="24"/>
          <w:lang w:val="en-US" w:eastAsia="zh-CN"/>
        </w:rPr>
        <w:t>4.5</w:t>
      </w:r>
      <w:r>
        <w:rPr>
          <w:rFonts w:hint="eastAsia" w:ascii="宋体" w:hAnsi="宋体" w:cs="宋体"/>
          <w:snapToGrid w:val="0"/>
          <w:sz w:val="24"/>
          <w:szCs w:val="24"/>
        </w:rPr>
        <w:t>kA。</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为满足用电设备的可能变化，断路器应可以现场更换。</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断路器必须是抗湿热产品。</w:t>
      </w:r>
    </w:p>
    <w:p>
      <w:pPr>
        <w:ind w:firstLine="200"/>
        <w:contextualSpacing/>
        <w:jc w:val="left"/>
        <w:outlineLvl w:val="2"/>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5.2.3 负荷隔离开关</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额定绝缘电压：≥AC750V。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额定工作电压： ≥AC400V。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额定冲击耐压：不小于8kV。</w:t>
      </w:r>
    </w:p>
    <w:p>
      <w:pPr>
        <w:ind w:firstLine="200"/>
        <w:contextualSpacing/>
        <w:jc w:val="left"/>
        <w:outlineLvl w:val="2"/>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5.2.4浪涌保护器：</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全模保护（L-N，L-G，L-L，N-G），每相使用LED显示保护状态或者机械窗口指示显示保护状态。</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额定工作电压230/400V，最大连续工作电压275/440V。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保护电压水平≤2kV。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带故障指示功能。</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最大放电电流（Iimp）50kA</w:t>
      </w:r>
    </w:p>
    <w:p>
      <w:pPr>
        <w:ind w:firstLine="200"/>
        <w:contextualSpacing/>
        <w:jc w:val="left"/>
        <w:outlineLvl w:val="1"/>
        <w:rPr>
          <w:rFonts w:hint="eastAsia" w:ascii="宋体" w:hAnsi="宋体" w:cs="宋体"/>
          <w:b/>
          <w:bCs/>
          <w:sz w:val="24"/>
          <w:szCs w:val="24"/>
        </w:rPr>
      </w:pPr>
      <w:r>
        <w:rPr>
          <w:rFonts w:hint="eastAsia" w:ascii="宋体" w:hAnsi="宋体" w:cs="宋体"/>
          <w:b/>
          <w:bCs/>
          <w:sz w:val="24"/>
          <w:szCs w:val="24"/>
        </w:rPr>
        <w:t xml:space="preserve">5.3组装配线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5.3.1配电箱、柜上的电器、仪表应符合电器、仪表排列间距要求。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5.3.2全部紧固件均采用镀锌件。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5.3.3二次配线均采用黑色线，加套管编序，线径按厂家标准。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5.3.4分层配电箱接线应考虑干线进出。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5.3.5开关接线端子应与导线截面匹配。</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5.3.6配电箱、柜装有计量仪表的导线；多芯铜线须采用套管或线鼻压接，并做好搪锡。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5.3.7电器安装后的配线须排列整齐，用尼龙带绑扎成束或敷于专用线槽内，并卡固在板后或柜内安装架处，配线应留适当长度。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5.3.8配电箱、柜所装的各种开关、继电器，当处于断开状态时，可动部分不宜带电；垂直安装时上端接电源，下端接负荷，水平安装时，左端接电源，右端接负荷。（指面对配电装置）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5.3.9配电箱、柜电源指示等，应接在总电源开关前侧。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5.3.10配电箱、柜内的配线须按</w:t>
      </w:r>
      <w:r>
        <w:rPr>
          <w:rFonts w:hint="eastAsia" w:ascii="宋体" w:hAnsi="宋体" w:cs="宋体"/>
          <w:snapToGrid w:val="0"/>
          <w:sz w:val="24"/>
          <w:szCs w:val="24"/>
          <w:lang w:val="en-US" w:eastAsia="zh-CN"/>
        </w:rPr>
        <w:t>规范</w:t>
      </w:r>
      <w:r>
        <w:rPr>
          <w:rFonts w:hint="eastAsia" w:ascii="宋体" w:hAnsi="宋体" w:cs="宋体"/>
          <w:snapToGrid w:val="0"/>
          <w:sz w:val="24"/>
          <w:szCs w:val="24"/>
        </w:rPr>
        <w:t xml:space="preserve">相序分色。配电箱、柜内的电源母线，应有颜色分相标志。 </w:t>
      </w:r>
    </w:p>
    <w:tbl>
      <w:tblPr>
        <w:tblStyle w:val="28"/>
        <w:tblW w:w="7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相序</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标色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L1</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L2</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L3</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N</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淡兰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360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PE</w:t>
            </w:r>
          </w:p>
        </w:tc>
        <w:tc>
          <w:tcPr>
            <w:tcW w:w="3960" w:type="dxa"/>
            <w:tcBorders>
              <w:top w:val="single" w:color="auto" w:sz="4" w:space="0"/>
              <w:left w:val="single" w:color="auto" w:sz="4" w:space="0"/>
              <w:bottom w:val="single" w:color="auto" w:sz="4" w:space="0"/>
              <w:right w:val="single" w:color="auto" w:sz="4" w:space="0"/>
            </w:tcBorders>
            <w:vAlign w:val="center"/>
          </w:tcPr>
          <w:p>
            <w:pPr>
              <w:ind w:firstLine="200"/>
              <w:contextualSpacing/>
              <w:jc w:val="left"/>
              <w:rPr>
                <w:rFonts w:hint="eastAsia" w:ascii="宋体" w:hAnsi="宋体" w:cs="宋体"/>
                <w:kern w:val="0"/>
                <w:sz w:val="24"/>
                <w:szCs w:val="24"/>
              </w:rPr>
            </w:pPr>
            <w:r>
              <w:rPr>
                <w:rFonts w:hint="eastAsia" w:ascii="宋体" w:hAnsi="宋体" w:cs="宋体"/>
                <w:kern w:val="0"/>
                <w:sz w:val="24"/>
                <w:szCs w:val="24"/>
              </w:rPr>
              <w:t>黄＋绿</w:t>
            </w:r>
          </w:p>
        </w:tc>
      </w:tr>
    </w:tbl>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5.1.11 所有铜母线连接处做搪锡处理，裸露部分均喷黑漆，贴色标。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5.3.12 配线整齐、清晰，导线绝缘良好。导线穿过铁制安装孔、面板时要加装橡皮或塑料护套。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5.3.13配电箱、柜内的N线、PE线必须设汇流排，汇流排的大小必须符合有关规范要求，导线不得盘成弹簧状。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5.3.14配电箱、柜应考虑电缆的安装空间。箱体二层板与箱体之间及二层板与箱体四周根据进出线的规格及导线多少留出足够的配线空间。配电箱、柜的箱体、二层板、面板均须有明显而不易脱落的与</w:t>
      </w:r>
      <w:r>
        <w:rPr>
          <w:rFonts w:hint="eastAsia" w:ascii="宋体" w:hAnsi="宋体" w:cs="宋体"/>
          <w:snapToGrid w:val="0"/>
          <w:sz w:val="24"/>
          <w:szCs w:val="24"/>
          <w:lang w:val="en-US" w:eastAsia="zh-CN"/>
        </w:rPr>
        <w:t>方案文件</w:t>
      </w:r>
      <w:r>
        <w:rPr>
          <w:rFonts w:hint="eastAsia" w:ascii="宋体" w:hAnsi="宋体" w:cs="宋体"/>
          <w:snapToGrid w:val="0"/>
          <w:sz w:val="24"/>
          <w:szCs w:val="24"/>
        </w:rPr>
        <w:t>相符的设计编号。</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5.3.15凡是两根以上电缆（包括有∏接的电缆）连接一个箱体（链接方式，电缆一进一出）的配电箱总开关上端须要设链接母线，规格必须与系统图中电缆规格相匹配。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5.3.16配电箱、柜内的PE线不得串接，与活动部件连接的PE线必须采用铜质涮锡软编织线穿透明塑料管，同一接地端子最多只能压一根PE线，PE线截面应符合施工规范要求。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5.3.17消防设备的配电箱、柜必须有红色明显标识。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 xml:space="preserve">5.3.18不等截面的两根导线严禁压在一个端子上。等截面的导线（6平方毫米以下）一个端子上最多只能压两根。  </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5.3.19生产厂家需提供控制箱、柜元件排列图、原理图、接线图、箱门贴图等相关资料，箱门贴图必须过塑且需与箱、柜内标识对应。所有打印的资料均应采用喷墨（黑色）打印。</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5.3.20配电箱、柜内的系统图必须采用塑封，注明各支路所控制的主要区域的名称。并制作插入图框。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5.3.21 所有标记用阻燃PVC或亚克力材料制成，刻出字样，并用镀铬螺丝固定。</w:t>
      </w:r>
    </w:p>
    <w:p>
      <w:pPr>
        <w:pStyle w:val="21"/>
        <w:spacing w:before="0" w:after="0"/>
        <w:ind w:firstLine="200"/>
        <w:contextualSpacing/>
        <w:jc w:val="left"/>
        <w:rPr>
          <w:rFonts w:hint="eastAsia" w:ascii="宋体" w:hAnsi="宋体" w:cs="宋体"/>
          <w:sz w:val="24"/>
          <w:szCs w:val="24"/>
        </w:rPr>
      </w:pPr>
      <w:r>
        <w:rPr>
          <w:rFonts w:hint="eastAsia" w:ascii="宋体" w:hAnsi="宋体" w:cs="宋体"/>
          <w:sz w:val="24"/>
          <w:szCs w:val="24"/>
        </w:rPr>
        <w:t>六 低压电缆</w:t>
      </w:r>
    </w:p>
    <w:p>
      <w:pPr>
        <w:ind w:firstLine="200"/>
        <w:contextualSpacing/>
        <w:jc w:val="left"/>
        <w:outlineLvl w:val="1"/>
        <w:rPr>
          <w:rFonts w:hint="eastAsia" w:ascii="宋体" w:hAnsi="宋体" w:cs="宋体"/>
          <w:b/>
          <w:bCs/>
          <w:snapToGrid w:val="0"/>
          <w:sz w:val="24"/>
          <w:szCs w:val="24"/>
        </w:rPr>
      </w:pPr>
      <w:r>
        <w:rPr>
          <w:rFonts w:hint="eastAsia" w:ascii="宋体" w:hAnsi="宋体" w:cs="宋体"/>
          <w:b/>
          <w:bCs/>
          <w:snapToGrid w:val="0"/>
          <w:sz w:val="24"/>
          <w:szCs w:val="24"/>
        </w:rPr>
        <w:t>6.1 基本要求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6.1.1. 每一种规定的电缆型号须由认可的国家级测试机构证明其短路容量符合以上之规定。且所有产品须获得国家主管部门颁发的3C认证证书（有3C 强制认证要求的）。</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6.1.2. 电缆的载流量和电压降须等于GB50217-2018《电力工程电缆设计标准》和当地之条件，即电缆成组校正因子，最高环境温度等。</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6.1.3. 在本章内所有铜线都必需以高纯度铜制造，回收铜或含杂质的铜均不接受。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6.1.4. 同一类形的电线，必须为同一品牌生产及同一系列。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6.1.5.</w:t>
      </w:r>
      <w:r>
        <w:rPr>
          <w:rFonts w:hint="eastAsia" w:ascii="宋体" w:hAnsi="宋体" w:cs="宋体"/>
          <w:sz w:val="24"/>
          <w:szCs w:val="24"/>
        </w:rPr>
        <w:t xml:space="preserve"> 电缆</w:t>
      </w:r>
      <w:r>
        <w:rPr>
          <w:rFonts w:hint="eastAsia" w:ascii="宋体" w:hAnsi="宋体" w:cs="宋体"/>
          <w:bCs/>
          <w:sz w:val="24"/>
          <w:szCs w:val="24"/>
        </w:rPr>
        <w:t>参照或相当于番禺电缆厂、广州珠江电线电缆厂、广州南洋电缆厂等</w:t>
      </w:r>
      <w:r>
        <w:rPr>
          <w:rFonts w:hint="eastAsia" w:ascii="宋体" w:hAnsi="宋体" w:cs="宋体"/>
          <w:sz w:val="24"/>
          <w:szCs w:val="24"/>
        </w:rPr>
        <w:t>品牌</w:t>
      </w:r>
      <w:r>
        <w:rPr>
          <w:rFonts w:hint="eastAsia" w:ascii="宋体" w:hAnsi="宋体" w:cs="宋体"/>
          <w:color w:val="000000"/>
          <w:sz w:val="24"/>
          <w:szCs w:val="24"/>
        </w:rPr>
        <w:t>，如选用推荐外的品牌，</w:t>
      </w:r>
      <w:r>
        <w:rPr>
          <w:rFonts w:hint="eastAsia" w:ascii="宋体" w:hAnsi="宋体" w:cs="宋体"/>
          <w:sz w:val="24"/>
          <w:szCs w:val="24"/>
        </w:rPr>
        <w:t>最终选型由招标方确认</w:t>
      </w:r>
      <w:r>
        <w:rPr>
          <w:rFonts w:hint="eastAsia" w:ascii="宋体" w:hAnsi="宋体" w:cs="宋体"/>
          <w:bCs/>
          <w:sz w:val="24"/>
          <w:szCs w:val="24"/>
        </w:rPr>
        <w:t>。</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6.1.6. 承包单位需于电缆穿过变型缝及后浇带的地方，提供特别措施。在建筑或结构之正常沉降情况下， 不会使电缆承受任何应力。</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6.1.7. 满足《电缆及光缆燃烧性能分级》GB31247-2014 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6.1.8 资料呈审</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在工程进行中的适当阶段，至少须报送下列文件供审批：</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1、详细的设备和部件表和制造厂商的数据包括制造厂商的型式试验证书及试验文件。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2、经协调的电缆路径图，电缆在电缆桥架/梯架上的排列，电缆及电缆桥架/梯架之固定方法等。</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3、电缆直线接头和分支接头的安装方法。</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4、对建筑及结构之要求。</w:t>
      </w:r>
    </w:p>
    <w:p>
      <w:pPr>
        <w:ind w:firstLine="200"/>
        <w:contextualSpacing/>
        <w:jc w:val="left"/>
        <w:outlineLvl w:val="1"/>
        <w:rPr>
          <w:rFonts w:hint="eastAsia" w:ascii="宋体" w:hAnsi="宋体" w:cs="宋体"/>
          <w:b/>
          <w:bCs/>
          <w:snapToGrid w:val="0"/>
          <w:sz w:val="24"/>
          <w:szCs w:val="24"/>
        </w:rPr>
      </w:pPr>
      <w:r>
        <w:rPr>
          <w:rFonts w:hint="eastAsia" w:ascii="宋体" w:hAnsi="宋体" w:cs="宋体"/>
          <w:b/>
          <w:bCs/>
          <w:snapToGrid w:val="0"/>
          <w:sz w:val="24"/>
          <w:szCs w:val="24"/>
        </w:rPr>
        <w:t>6.2 产品</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6.2.1 电力电缆 (YJY/YJV)</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6.2.1.1. 此种电缆须为600/1000V 电压， 符合GB/T12706.1-2008《额定电压1KV(UM=1.2KV)到35KV(UM=40.5KV)挤包绝缘电力电缆及附件第 1 部分：额定电压1KV(UM=1.2KV) 到3KV(UM=3.6KV)电缆》，铜芯导线、交联聚乙烯绝缘，聚烯烃护套。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6.2.1.2. 导线须为符合GB/T3956-2008《电缆的导体》之裸软铜线。对多芯电缆，每条导线芯须为相同之截面。</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6.2.1.3. 电缆的护套符合GB/T18380《电缆和光缆在火焰条件下的燃烧试验》的阻燃要求。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6.2.1.4. 电缆的护套表面须有制造厂名称、产品型号及额定电压的连续标志， 标志须字迹清楚、容易辨认、耐擦。电缆标志须符合GB6995.3-2008《电线电缆识别标志方法第3 部分：电线电缆识别标志》的要求。</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6.2.2 铜芯聚氯乙烯绝缘屏蔽聚氯乙烯护套绞型软电线（RVSP）</w:t>
      </w:r>
    </w:p>
    <w:p>
      <w:pPr>
        <w:ind w:firstLine="200"/>
        <w:contextualSpacing/>
        <w:jc w:val="left"/>
        <w:rPr>
          <w:rFonts w:hint="eastAsia" w:ascii="宋体" w:hAnsi="宋体" w:cs="宋体"/>
          <w:snapToGrid w:val="0"/>
          <w:sz w:val="24"/>
          <w:szCs w:val="24"/>
        </w:rPr>
      </w:pPr>
      <w:r>
        <w:rPr>
          <w:rFonts w:hint="eastAsia" w:ascii="宋体" w:hAnsi="宋体" w:cs="宋体"/>
          <w:snapToGrid w:val="0"/>
          <w:sz w:val="24"/>
          <w:szCs w:val="24"/>
        </w:rPr>
        <w:t>额定电压：300/300V；</w:t>
      </w:r>
    </w:p>
    <w:p>
      <w:pPr>
        <w:ind w:firstLine="200"/>
        <w:contextualSpacing/>
        <w:jc w:val="left"/>
        <w:rPr>
          <w:rFonts w:hint="eastAsia" w:ascii="宋体" w:hAnsi="宋体" w:cs="宋体"/>
          <w:snapToGrid w:val="0"/>
          <w:sz w:val="24"/>
          <w:szCs w:val="24"/>
        </w:rPr>
      </w:pPr>
      <w:r>
        <w:rPr>
          <w:rFonts w:hint="eastAsia" w:ascii="宋体" w:hAnsi="宋体" w:cs="宋体"/>
          <w:snapToGrid w:val="0"/>
          <w:sz w:val="24"/>
          <w:szCs w:val="24"/>
        </w:rPr>
        <w:t>绝缘电阻：≥ 20 MΩ·km (20°C)</w:t>
      </w:r>
    </w:p>
    <w:p>
      <w:pPr>
        <w:ind w:firstLine="200"/>
        <w:contextualSpacing/>
        <w:jc w:val="left"/>
        <w:rPr>
          <w:rFonts w:hint="eastAsia" w:ascii="宋体" w:hAnsi="宋体" w:cs="宋体"/>
          <w:snapToGrid w:val="0"/>
          <w:sz w:val="24"/>
          <w:szCs w:val="24"/>
        </w:rPr>
      </w:pPr>
      <w:r>
        <w:rPr>
          <w:rFonts w:hint="eastAsia" w:ascii="宋体" w:hAnsi="宋体" w:cs="宋体"/>
          <w:snapToGrid w:val="0"/>
          <w:sz w:val="24"/>
          <w:szCs w:val="24"/>
        </w:rPr>
        <w:t>回路电阻：≤ 39 Ω/km</w:t>
      </w:r>
    </w:p>
    <w:p>
      <w:pPr>
        <w:ind w:firstLine="200"/>
        <w:contextualSpacing/>
        <w:jc w:val="left"/>
        <w:rPr>
          <w:rFonts w:hint="eastAsia" w:ascii="宋体" w:hAnsi="宋体" w:cs="宋体"/>
          <w:snapToGrid w:val="0"/>
          <w:sz w:val="24"/>
          <w:szCs w:val="24"/>
        </w:rPr>
      </w:pPr>
      <w:r>
        <w:rPr>
          <w:rFonts w:hint="eastAsia" w:ascii="宋体" w:hAnsi="宋体" w:cs="宋体"/>
          <w:snapToGrid w:val="0"/>
          <w:sz w:val="24"/>
          <w:szCs w:val="24"/>
        </w:rPr>
        <w:t>工作环境：适用于强干扰环境或高要求场合；</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阻抗匹配：必须与您所使用的设备（如PLC、变频器、传感器）的接口阻抗相匹配。</w:t>
      </w:r>
    </w:p>
    <w:p>
      <w:pPr>
        <w:ind w:firstLine="200"/>
        <w:contextualSpacing/>
        <w:jc w:val="left"/>
        <w:rPr>
          <w:rFonts w:hint="eastAsia" w:ascii="宋体" w:hAnsi="宋体" w:cs="宋体"/>
          <w:snapToGrid w:val="0"/>
          <w:sz w:val="24"/>
          <w:szCs w:val="24"/>
        </w:rPr>
      </w:pPr>
      <w:r>
        <w:rPr>
          <w:rFonts w:hint="eastAsia" w:ascii="宋体" w:hAnsi="宋体" w:cs="宋体"/>
          <w:snapToGrid w:val="0"/>
          <w:sz w:val="24"/>
          <w:szCs w:val="24"/>
        </w:rPr>
        <w:t>认证与标准：符合国家标准（如GB/T）或国际标准（如IEC）的产品，确保质量和一致性。</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6.2.3 无卤低烟阻燃耐火电缆 (WDZN)</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6.2.3.1. 此种型式的电缆须为600/1000V 电压，铜芯，耐火材料绝缘电缆，在规定温度和时间的火焰燃烧下，仍能保持线路完整性的电线电缆。此种电缆须符合GB/T12706.1-2008 《额定电压1KV(UM=1.2KV)到35KV(UM=40.5KV)挤包绝缘电力电缆及附件第 1 部分：额定电压1KV(UM=1.2KV)和3KV(UM=3.6KV)电缆》的要求。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6.2.3.2. 电缆之外护套须为聚乙烯护套符合GB/T19216.11-2003 《在火焰条件下电缆或光缆的线路完整性试验第11 部分：试验装置火焰温度不低于750°C 的单独供火》的耐火要求。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6.2.3.3. 同时需满足2.10 项无卤低烟阻燃之要求。</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6.2.4 无卤低烟阻燃电缆 (WDZ)</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6.2.4.1. 此种型式的电缆须为600/1000V 电压，铜芯，低烟无卤阻燃材料绝缘电缆，材料不含卤素，燃烧时产生的烟尘较少并且具有阻止或延缓火焰蔓延的电线电缆。此种电缆须符合GB/T12706.1-2008 《额定电压1KV(UM=1.2KV) 到35KV(UM=40.5KV)挤包绝缘电力电缆及附件第 1 部分：额定电压1KV(UM=1.2KV)和3KV(UM=3.6KV)电缆》的要求。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6.2.4.2. 阻燃测试须符合GB/T18380《电缆和光缆在火焰条件下的燃烧试验》规定的标准。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6.2.4.3. 无卤低烟测试须按GB/T17650-1998《取自电缆或光缆的材料燃烧时释出气体的试验方法》及GB/T17651-1998《电缆或光缆在特定条件下燃烧的烟密度测定》之要求。</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6.2.5 铠装和非铠装电缆之电缆终端头及其附件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6.2.5.1. 所有电缆进/出配电装置均须按照电缆规格的尺寸，要求配置紧固装置。</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6.2.5.2. 所有电缆头的封套必须按电缆规格尺寸匹配，须紧裹电缆及其各条导线。</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6.2.5.3. 电缆终端头须要未涂层的黄铜制成， 并符合GB50217-2018《电力工程电缆设计标准》之要求进行制造并试验。</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6.2.5.4. 铠装电缆之终端头须采取加强绝缘，密封防潮、防水及机械保护等措施，并使金属护套接地。黄铜终端密头螺帽须带锥形铠装线夹， 其设计须确保每条铠装钢带/ 丝同等地担负接地连接的导电。非铠装电缆之终端密封头须经精密加工，使外护套与内护套间具有防水密封。</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6.2.5.5. 每套电缆终端头须有黄铜螺帽锁定裸铜接地环片及阻燃聚乙烯绝缘护套管。接地环片须为扁平环形置于终端头及与之收紧，确保设备/ 接地环片与终端头间金属之接触。螺纹之啮合须不低于国标所规定的限度。聚乙烯绝缘护套管须完全遮盖终端头至电缆的外护套形成有效的密封。</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6.2.5.6. 对于由ＡＣＢｓ或ＭＣＣＢｓ保护的电缆须配备整体铸成的接地线耳作为电缆封套之进入部份供夹紧电缆铠装钢带/丝用。此线耳须带锌钝化的螺帽以便将铠装钢带/丝接至供电端的主接地系统。</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6.2.6 矿物绝缘电缆之电缆终端头及其附件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6.2.6.1. 所规定之电缆绝缘护套管、电缆终端头、电缆夹、电缆接头、连接器等均须由生产电缆的制造厂商供应，并按厂商要求处理。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6.2.6.2. 连接至设备和开关装置之电缆用的封套必须为压缩型黄铜终端头。绝缘护套管须包括终端头本体、压缩环及限动螺帽使无缝铜包护套和终端头间具有防水密封及良好的接地延续性。</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6.2.6.3. 电缆密封须为拧装型密封， 带黄铜封杯、帽、绝缘套和适合于105°C 运行的绝缘物。对大截面单芯电缆之绝缘护套管，也可用光渗交联半刚性聚烯烃材料的热缩密封管和导线套管。</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6.2.6.4. 在电缆需要连接处必须使用标准直线过线连接盒。连接盒须包括一内螺纹黄铜套电缆密封和电缆两端带压缩连接器的终端头或加于每条导线上的镀锡焊接套。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6.2.6.5. 电缆鞍形夹和电缆线夹须由包塑料的铜料制，并用铜螺栓固定。</w:t>
      </w:r>
    </w:p>
    <w:p>
      <w:pPr>
        <w:ind w:firstLine="200"/>
        <w:contextualSpacing/>
        <w:jc w:val="left"/>
        <w:rPr>
          <w:rFonts w:hint="eastAsia" w:ascii="宋体" w:hAnsi="宋体" w:cs="宋体"/>
          <w:b/>
          <w:bCs/>
          <w:sz w:val="24"/>
          <w:szCs w:val="24"/>
        </w:rPr>
      </w:pPr>
      <w:r>
        <w:rPr>
          <w:rFonts w:hint="eastAsia" w:ascii="宋体" w:hAnsi="宋体" w:cs="宋体"/>
          <w:b/>
          <w:bCs/>
          <w:sz w:val="24"/>
          <w:szCs w:val="24"/>
        </w:rPr>
        <w:t>6.2.7 电缆梯架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6.2.7.1. 电缆梯架须由热浸镀锌钢板制作， 并符合 T/CECS 31-2017《钢制电缆桥架工程设计规程》的要求。具有一定的宽度以用不同的方法固定电缆包括尼龙带扣，鞍型夹，冲孔带，电缆夹等固定夹。</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6.2.7.2. 在水平弯曲，垂直方向弯曲、分支和电缆梯架缩小宽度时，须使用制造厂的标准直角弯节，分支接头，偏心缩节，直线缩节。为适应电缆梯架之胀缩必须使用制造厂的标准伸缩接合板。</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6.2.7.3. 所有夹紧螺栓，螺帽，垫片等均须热浸镀锌。</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6.2.7.4. 除上述要求外，整个电缆梯架系统须有电气上的连续性接地。</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6.2.7.5. 电缆梯架之尺寸如</w:t>
      </w:r>
      <w:r>
        <w:rPr>
          <w:rFonts w:hint="eastAsia" w:ascii="宋体" w:hAnsi="宋体" w:cs="宋体"/>
          <w:snapToGrid w:val="0"/>
          <w:sz w:val="24"/>
          <w:szCs w:val="24"/>
          <w:lang w:val="en-US" w:eastAsia="zh-CN"/>
        </w:rPr>
        <w:t>方案</w:t>
      </w:r>
      <w:r>
        <w:rPr>
          <w:rFonts w:hint="eastAsia" w:ascii="宋体" w:hAnsi="宋体" w:cs="宋体"/>
          <w:snapToGrid w:val="0"/>
          <w:sz w:val="24"/>
          <w:szCs w:val="24"/>
        </w:rPr>
        <w:t>所示，其不同尺寸之最小厚度要求如下：</w:t>
      </w:r>
    </w:p>
    <w:p>
      <w:pPr>
        <w:autoSpaceDE w:val="0"/>
        <w:autoSpaceDN w:val="0"/>
        <w:ind w:firstLine="200"/>
        <w:contextualSpacing/>
        <w:jc w:val="left"/>
        <w:rPr>
          <w:rFonts w:hint="eastAsia" w:ascii="宋体" w:hAnsi="宋体" w:cs="宋体"/>
          <w:b/>
          <w:bCs/>
          <w:sz w:val="24"/>
          <w:szCs w:val="24"/>
        </w:rPr>
      </w:pPr>
      <w:r>
        <w:rPr>
          <w:rFonts w:hint="eastAsia" w:ascii="宋体" w:hAnsi="宋体" w:cs="宋体"/>
          <w:sz w:val="24"/>
          <w:szCs w:val="24"/>
        </w:rPr>
        <w:drawing>
          <wp:inline distT="0" distB="0" distL="114300" distR="114300">
            <wp:extent cx="4451350" cy="1976755"/>
            <wp:effectExtent l="0" t="0" r="635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451350" cy="1976755"/>
                    </a:xfrm>
                    <a:prstGeom prst="rect">
                      <a:avLst/>
                    </a:prstGeom>
                    <a:noFill/>
                    <a:ln>
                      <a:noFill/>
                    </a:ln>
                  </pic:spPr>
                </pic:pic>
              </a:graphicData>
            </a:graphic>
          </wp:inline>
        </w:drawing>
      </w:r>
    </w:p>
    <w:p>
      <w:pPr>
        <w:ind w:firstLine="200"/>
        <w:contextualSpacing/>
        <w:jc w:val="left"/>
        <w:rPr>
          <w:rFonts w:hint="eastAsia" w:ascii="宋体" w:hAnsi="宋体" w:cs="宋体"/>
          <w:b/>
          <w:bCs/>
          <w:sz w:val="24"/>
          <w:szCs w:val="24"/>
        </w:rPr>
      </w:pPr>
      <w:r>
        <w:rPr>
          <w:rFonts w:hint="eastAsia" w:ascii="宋体" w:hAnsi="宋体" w:cs="宋体"/>
          <w:b/>
          <w:bCs/>
          <w:sz w:val="24"/>
          <w:szCs w:val="24"/>
        </w:rPr>
        <w:t>6.2.8 电缆桥架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6.2.8.1. 电缆托盘须由低碳钢制作并于冲孔后热浸镀锌， 并符合 T/CECS 31-2017《钢制电缆桥架工程设计规程》的要求。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1、冲孔须为椭圆形排列。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2、须使用标准弯节和分支节。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3、所有夹紧螺栓，螺帽，垫片等均须热浸镀锌。</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 、除上述要求外， 整个电缆梯架系统须有电气上的连续性接地。</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5、电缆桥架之尺寸如</w:t>
      </w:r>
      <w:r>
        <w:rPr>
          <w:rFonts w:hint="eastAsia" w:ascii="宋体" w:hAnsi="宋体" w:cs="宋体"/>
          <w:snapToGrid w:val="0"/>
          <w:sz w:val="24"/>
          <w:szCs w:val="24"/>
          <w:lang w:val="en-US" w:eastAsia="zh-CN"/>
        </w:rPr>
        <w:t>方案</w:t>
      </w:r>
      <w:r>
        <w:rPr>
          <w:rFonts w:hint="eastAsia" w:ascii="宋体" w:hAnsi="宋体" w:cs="宋体"/>
          <w:snapToGrid w:val="0"/>
          <w:sz w:val="24"/>
          <w:szCs w:val="24"/>
        </w:rPr>
        <w:t>所示，其不同尺寸之最小厚度要求如下：</w:t>
      </w:r>
    </w:p>
    <w:p>
      <w:pPr>
        <w:autoSpaceDE w:val="0"/>
        <w:autoSpaceDN w:val="0"/>
        <w:ind w:firstLine="200"/>
        <w:contextualSpacing/>
        <w:jc w:val="left"/>
        <w:rPr>
          <w:rFonts w:hint="eastAsia" w:ascii="宋体" w:hAnsi="宋体" w:cs="宋体"/>
          <w:sz w:val="24"/>
          <w:szCs w:val="24"/>
        </w:rPr>
      </w:pPr>
      <w:r>
        <w:rPr>
          <w:rFonts w:hint="eastAsia" w:ascii="宋体" w:hAnsi="宋体" w:cs="宋体"/>
          <w:sz w:val="24"/>
          <w:szCs w:val="24"/>
        </w:rPr>
        <w:drawing>
          <wp:inline distT="0" distB="0" distL="114300" distR="114300">
            <wp:extent cx="4211955" cy="1972945"/>
            <wp:effectExtent l="0" t="0" r="1714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4211955" cy="1972945"/>
                    </a:xfrm>
                    <a:prstGeom prst="rect">
                      <a:avLst/>
                    </a:prstGeom>
                    <a:noFill/>
                    <a:ln>
                      <a:noFill/>
                    </a:ln>
                  </pic:spPr>
                </pic:pic>
              </a:graphicData>
            </a:graphic>
          </wp:inline>
        </w:drawing>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6.2.8.2. 供应急供电回路用的电缆桥架为防火封闭式金属槽式桥架，涂或喷防火漆。整个电缆梯架系统须有电气上的连续性接地。</w:t>
      </w:r>
    </w:p>
    <w:p>
      <w:pPr>
        <w:autoSpaceDE w:val="0"/>
        <w:autoSpaceDN w:val="0"/>
        <w:ind w:firstLine="200"/>
        <w:contextualSpacing/>
        <w:jc w:val="left"/>
        <w:rPr>
          <w:rFonts w:hint="eastAsia" w:ascii="宋体" w:hAnsi="宋体" w:cs="宋体"/>
          <w:b/>
          <w:bCs/>
          <w:sz w:val="24"/>
          <w:szCs w:val="24"/>
        </w:rPr>
      </w:pPr>
      <w:r>
        <w:rPr>
          <w:rFonts w:hint="eastAsia" w:ascii="宋体" w:hAnsi="宋体" w:cs="宋体"/>
          <w:b/>
          <w:bCs/>
          <w:sz w:val="24"/>
          <w:szCs w:val="24"/>
        </w:rPr>
        <w:t>6.2.9 抗震支吊架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6.2.9.1. 桥架与线管的安装敷设，其与结构主体的连接的支吊架、托架安装设置应满足GB 50981-2014《建筑机电工程抗震设计规范》及国家相关抗震设计规范的要求。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6.2.9.2.≥DN60 的电气配管，重力≥150N/米的电缆桥架、电缆槽盒及母线槽需进行抗震设防。</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6.2.9.3 抗震支架的最大间距要求：刚性材质的电线套管、电缆桥架、电缆槽盒侧向间距不得超过12m，纵向不得超过24m; 非金属材质的电线套管、电缆桥架、电缆槽盒侧向间距不得超过6m，纵向不得超过12m。</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6.2.9.4 抗震设计需进行二次深化设计，经设计单位及业主单位审核批准后方能进行施工。</w:t>
      </w:r>
    </w:p>
    <w:p>
      <w:pPr>
        <w:ind w:firstLine="200"/>
        <w:contextualSpacing/>
        <w:jc w:val="left"/>
        <w:outlineLvl w:val="1"/>
        <w:rPr>
          <w:rFonts w:hint="eastAsia" w:ascii="宋体" w:hAnsi="宋体" w:cs="宋体"/>
          <w:b/>
          <w:bCs/>
          <w:snapToGrid w:val="0"/>
          <w:sz w:val="24"/>
          <w:szCs w:val="24"/>
        </w:rPr>
      </w:pPr>
      <w:r>
        <w:rPr>
          <w:rFonts w:hint="eastAsia" w:ascii="宋体" w:hAnsi="宋体" w:cs="宋体"/>
          <w:b/>
          <w:bCs/>
          <w:snapToGrid w:val="0"/>
          <w:sz w:val="24"/>
          <w:szCs w:val="24"/>
        </w:rPr>
        <w:t>6.3 施工</w:t>
      </w:r>
    </w:p>
    <w:p>
      <w:pPr>
        <w:ind w:firstLine="200"/>
        <w:contextualSpacing/>
        <w:jc w:val="left"/>
        <w:rPr>
          <w:rFonts w:hint="eastAsia" w:ascii="宋体" w:hAnsi="宋体" w:cs="宋体"/>
          <w:b/>
          <w:bCs/>
          <w:sz w:val="24"/>
          <w:szCs w:val="24"/>
        </w:rPr>
      </w:pPr>
      <w:r>
        <w:rPr>
          <w:rFonts w:hint="eastAsia" w:ascii="宋体" w:hAnsi="宋体" w:cs="宋体"/>
          <w:b/>
          <w:bCs/>
          <w:sz w:val="24"/>
          <w:szCs w:val="24"/>
        </w:rPr>
        <w:t>6.3.1 电缆安装</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6.3.1.1. 总则</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按</w:t>
      </w:r>
      <w:r>
        <w:rPr>
          <w:rFonts w:hint="eastAsia" w:ascii="宋体" w:hAnsi="宋体" w:cs="宋体"/>
          <w:snapToGrid w:val="0"/>
          <w:sz w:val="24"/>
          <w:szCs w:val="24"/>
          <w:lang w:val="en-US" w:eastAsia="zh-CN"/>
        </w:rPr>
        <w:t>方案要求</w:t>
      </w:r>
      <w:r>
        <w:rPr>
          <w:rFonts w:hint="eastAsia" w:ascii="宋体" w:hAnsi="宋体" w:cs="宋体"/>
          <w:snapToGrid w:val="0"/>
          <w:sz w:val="24"/>
          <w:szCs w:val="24"/>
        </w:rPr>
        <w:t>所示的电缆路径安装电缆，并须符合GB50168-2006《电气装置安装工程电缆线路施工及验收规范》的要求。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在安装时须小心以避免损伤电缆。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 若于其它专业之工程尚未完成的地段安装电缆时需采取措施保护电缆以避免于其它工程施工时损伤电缆。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 敷设电缆时须利用人力将电缆自电缆盘上放出。整段电缆放置在滚动导轮上并用手拉使之通过。</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 电缆须加以保护免遭受在正常工作条件下可能的机械损伤。</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 按GB51348-2019《民用建筑电气设计标准》布线规程的要求安装电缆。每个电缆弯曲时的弯曲内径不能使电缆受损并不得小于GB50168-2006《电气装置安装工程电缆线路施工及验收规范》的规定值和电缆厂家建议。</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7. 电缆除敷设于电缆管外，均必须敷设于水平和垂直的电缆托盘或梯架上， 并按规定方式予以牢固。在水平方向以尼龙带扣将电缆束牢。在垂直方向敷设的电缆上以批准的电缆夹或鞍型夹固定。电缆固定点的间距须按GB50168-2006 《电气装置安装工程电缆线路施工及验收规范》和GB51348-2019《民用建筑电气设计标准》布线规程的规定。</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8. 电缆穿过楼板和墙壁处须以批准之防火材料将电缆孔封闭，以保持与所穿过的楼板和墙壁相同的耐火等级。</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9. 电缆穿过建筑沉降缝处，须留一圆环。圆环之大小须使沉降缝移动时不会使电缆承受任何压力。</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6.3.1.2. 电缆直线段之连接盒</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所供应的电缆须为两终端间连续的整段而无中间接头。如由于电缆长度或路径的关系必需有直线接头则在开工前将拟采用的连接方法报批。</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电缆接头盒中电缆的连接须在机械上， 电气上均牢固可靠， 须予以保护免受机械及震动之损害。在连接处不得受任何机械压力亦不得使电缆导线受到机械损伤。</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 电缆连接盒须适合于所使用的电缆截面和电缆型式。在连接多股导线时不得切断芯股。须使用电缆和电缆连接盒制造厂商所规定的工具。</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 连接盒中铠装接地夹的接头至少须具有与电缆铠装相同的电导并具有足够的热容量以免在短路时过热。</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 若必需连接铠装带/丝则必须用铜焊或电焊，表面之不规则处须予以清除。</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6.3.1.3. 电缆之终接</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按规定选用适当的电缆封套将电缆终接。</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封套外套以规定的聚乙烯护罩。</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 对铠装电缆， 清除铠装和铠装夹或连接器之表面并于终接前使连接器与铠装接触。将铠装夹旋紧以保证电气接触良好。</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 电缆导线的终端须用重型无焊电缆线耳需有足够过载流量。线耳须为高导电镀锌铜制，除另有规定外，须用液压压接钳压于导线上。</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5. 电缆终接须用螺栓，螺帽与电气设备收紧，确保电气接触良好。</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6.3.1.4. 电缆之识别</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在电缆之终端，在埋地电缆管之进出点及其它需要识别和寻迹电缆路径处配置电缆识别标志。电缆非穿管敷设并有多条一起敷设时则每隔10m须设立标志。</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电缆标志牌上须注明线路编号，当无编号时，须写明电缆型号，规格及起迄地点；标志牌的字迹须清晰不易脱落。标志牌规格须统一，能防腐，挂装牢固。</w:t>
      </w:r>
    </w:p>
    <w:p>
      <w:pPr>
        <w:ind w:firstLine="200"/>
        <w:contextualSpacing/>
        <w:jc w:val="left"/>
        <w:rPr>
          <w:rFonts w:hint="eastAsia" w:ascii="宋体" w:hAnsi="宋体" w:cs="宋体"/>
          <w:b/>
          <w:bCs/>
          <w:sz w:val="24"/>
          <w:szCs w:val="24"/>
        </w:rPr>
      </w:pPr>
      <w:r>
        <w:rPr>
          <w:rFonts w:hint="eastAsia" w:ascii="宋体" w:hAnsi="宋体" w:cs="宋体"/>
          <w:b/>
          <w:bCs/>
          <w:sz w:val="24"/>
          <w:szCs w:val="24"/>
        </w:rPr>
        <w:t>6.3.2 电缆梯架/电缆桥架安装</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6.3.2.1. 按图所示使用电缆梯架/电缆桥架。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6.3.2.2. 如两条直线电缆梯架/电缆桥架连在一起，需使用外联接器以避免在该连接处产生弧垂或弯曲。联接器与每条电缆梯架/电缆桥架间至少需用两支螺栓固定于电缆梯架/电缆桥架之边缘上。</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6.3.2.3. 电缆梯架/电缆桥架之弯节须使夹于电缆电缆梯架/电缆桥架上大截面电缆之弯曲半径不超过GB51348-2019《民用建筑电气设计标准》布线规程中所规定的弯曲半径限度。</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6.3.2.4. 使用工厂制造的弯节和分支节。</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6.3.2.5. 在下列地方须将电缆加以固定：</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电缆垂直敷设时须采用木制电缆卡或胶木电缆卡固定在墙上，固定点间距为1.5m。</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电缆垂水平敷设时须采用塑料、尼龙绑扎带固定在桥架上，固定点间距为10m，在首末两端及转弯位、接头的两端处都须加装尼龙绑扎带。</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6.3.2.6. 电缆梯架/电缆桥架吊架/支架的安装</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电缆梯架/ 电缆桥架以软钢支架和吊杆支持或悬挂于结构板，梁，墙上，其间距在直线段上不须超过1m，距弯节和分支节不须超过225mm。支架和吊杆须为热浸镀锌并涂以防锈漆。</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垂直电缆梯架/电缆桥架须在每根立管的中部用通过认可的钢托架支撑，以防摇晃、下垂、震动和共震，避免支架或固定支架之间的拉或扭弯而使管道承受压力。</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3. 所有固定支架和吊架须采用有足够强度的伸缩栓所固定。</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4. 把吊架固定到嵌藏在混凝土中的金属嵌件中，如果没有这种嵌件，可用膨胀螺栓锚固于混凝土中。</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6.3.2.7. 电缆梯架/ 电缆桥架接地，须有一条镀锡铜带以螺栓与其相邻的电缆梯架/电缆桥架连接以保证电气上的连续性。</w:t>
      </w:r>
    </w:p>
    <w:p>
      <w:pPr>
        <w:ind w:firstLine="200"/>
        <w:contextualSpacing/>
        <w:jc w:val="left"/>
        <w:outlineLvl w:val="1"/>
        <w:rPr>
          <w:rFonts w:hint="eastAsia" w:ascii="宋体" w:hAnsi="宋体" w:cs="宋体"/>
          <w:b/>
          <w:bCs/>
          <w:snapToGrid w:val="0"/>
          <w:sz w:val="24"/>
          <w:szCs w:val="24"/>
        </w:rPr>
      </w:pPr>
      <w:r>
        <w:rPr>
          <w:rFonts w:hint="eastAsia" w:ascii="宋体" w:hAnsi="宋体" w:cs="宋体"/>
          <w:b/>
          <w:bCs/>
          <w:snapToGrid w:val="0"/>
          <w:sz w:val="24"/>
          <w:szCs w:val="24"/>
        </w:rPr>
        <w:t>6.4 电缆测试及验收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以下为电缆验收时最低限度所须要的测试：</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6.4.1. 连续性测试</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每一保护导体，须作连续性测试。进行测试时，须在总线的位置把中性及保护导体互相连接，然后使用连续性试验器在每一用电位的地线与中性线之间进行检验，该处所显示的读数须接近零。</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6.4.2. 耐压测试</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耐压试验采用工频交流电压或直流电压。单芯屏蔽电缆的试验电压须施加在导体与金属屏蔽之间，时间为5 分钟。对于分相屏蔽的多芯电缆，在每一相导体与金属层间施加试验电压5 分钟。</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6.4.3. 绝缘电阻测试</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1. 使用合适的直流电绝缘试验器来量度绝缘电阻。小心确保测试中器具的绝缘能够抵受测试电压而不致损坏。</w:t>
      </w:r>
    </w:p>
    <w:p>
      <w:pPr>
        <w:pStyle w:val="58"/>
        <w:snapToGrid/>
        <w:spacing w:line="240" w:lineRule="auto"/>
        <w:ind w:firstLine="200" w:firstLineChars="0"/>
        <w:contextualSpacing/>
        <w:rPr>
          <w:rFonts w:hint="eastAsia" w:ascii="宋体" w:hAnsi="宋体" w:cs="宋体"/>
          <w:snapToGrid w:val="0"/>
          <w:sz w:val="24"/>
          <w:szCs w:val="24"/>
        </w:rPr>
      </w:pPr>
      <w:r>
        <w:rPr>
          <w:rFonts w:hint="eastAsia" w:ascii="宋体" w:hAnsi="宋体" w:cs="宋体"/>
          <w:snapToGrid w:val="0"/>
          <w:sz w:val="24"/>
          <w:szCs w:val="24"/>
        </w:rPr>
        <w:t>2. 在量度所有连接至电源的任何一相或极的各导体，及所有连接至另一相或极的各导体，绝缘电阻的数值不能少于当地供电局要求。</w:t>
      </w:r>
    </w:p>
    <w:p>
      <w:pPr>
        <w:pStyle w:val="58"/>
        <w:snapToGrid/>
        <w:spacing w:line="360" w:lineRule="auto"/>
        <w:ind w:firstLine="200" w:firstLineChars="0"/>
        <w:contextualSpacing/>
        <w:rPr>
          <w:rFonts w:hint="eastAsia" w:ascii="宋体" w:hAnsi="宋体" w:cs="宋体"/>
          <w:snapToGrid w:val="0"/>
          <w:sz w:val="24"/>
          <w:szCs w:val="24"/>
        </w:rPr>
      </w:pPr>
    </w:p>
    <w:p>
      <w:pPr>
        <w:rPr>
          <w:rFonts w:hint="eastAsia" w:ascii="宋体" w:hAnsi="宋体" w:cs="宋体"/>
          <w:sz w:val="24"/>
        </w:rPr>
      </w:pPr>
    </w:p>
    <w:p>
      <w:pPr>
        <w:rPr>
          <w:rFonts w:hint="eastAsia" w:ascii="宋体" w:hAnsi="宋体" w:cs="宋体"/>
          <w:sz w:val="24"/>
        </w:rPr>
        <w:sectPr>
          <w:pgSz w:w="11906" w:h="16838"/>
          <w:pgMar w:top="1418" w:right="1418" w:bottom="1418" w:left="1418" w:header="851" w:footer="992" w:gutter="0"/>
          <w:cols w:space="720" w:num="1"/>
          <w:docGrid w:linePitch="312" w:charSpace="0"/>
        </w:sectPr>
      </w:pPr>
    </w:p>
    <w:p>
      <w:pPr>
        <w:widowControl/>
        <w:jc w:val="left"/>
        <w:rPr>
          <w:rFonts w:ascii="宋体" w:hAnsi="宋体"/>
          <w:sz w:val="32"/>
        </w:rPr>
      </w:pPr>
      <w:r>
        <w:rPr>
          <w:rFonts w:hint="eastAsia" w:ascii="宋体" w:hAnsi="宋体"/>
          <w:sz w:val="32"/>
        </w:rPr>
        <w:t>附件2</w:t>
      </w:r>
    </w:p>
    <w:p>
      <w:pPr>
        <w:spacing w:before="120" w:beforeLines="50" w:after="120" w:afterLines="50" w:line="360" w:lineRule="auto"/>
        <w:ind w:right="600" w:firstLine="480" w:firstLineChars="200"/>
        <w:jc w:val="center"/>
        <w:rPr>
          <w:rFonts w:ascii="宋体" w:hAnsi="宋体" w:cs="Arial"/>
          <w:sz w:val="24"/>
        </w:rPr>
      </w:pPr>
      <w:r>
        <w:rPr>
          <w:rFonts w:hint="eastAsia" w:ascii="宋体" w:hAnsi="宋体" w:cs="Arial"/>
          <w:sz w:val="24"/>
        </w:rPr>
        <w:t>投标文件目录及格式要求</w:t>
      </w:r>
    </w:p>
    <w:tbl>
      <w:tblPr>
        <w:tblStyle w:val="28"/>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内容</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r>
              <w:rPr>
                <w:rFonts w:hint="eastAsia" w:ascii="宋体" w:hAnsi="宋体" w:cs="宋体"/>
                <w:b/>
                <w:bCs/>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r>
              <w:rPr>
                <w:rFonts w:hint="eastAsia" w:ascii="宋体" w:hAnsi="宋体" w:cs="宋体"/>
                <w:b/>
                <w:bCs/>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一</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
                <w:bCs/>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kern w:val="0"/>
                <w:sz w:val="24"/>
              </w:rPr>
              <w:t>1.1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Cs/>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kern w:val="0"/>
                <w:sz w:val="24"/>
                <w:lang w:val="en-US" w:eastAsia="zh-CN"/>
              </w:rPr>
            </w:pPr>
            <w:r>
              <w:rPr>
                <w:rFonts w:hint="eastAsia" w:ascii="宋体" w:hAnsi="宋体" w:cs="宋体"/>
                <w:kern w:val="0"/>
                <w:sz w:val="24"/>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bCs/>
                <w:sz w:val="24"/>
                <w:lang w:val="en-US" w:eastAsia="zh-CN"/>
              </w:rPr>
            </w:pPr>
            <w:r>
              <w:rPr>
                <w:rFonts w:hint="eastAsia" w:ascii="宋体" w:hAnsi="宋体" w:cs="宋体"/>
                <w:bCs/>
                <w:sz w:val="24"/>
                <w:lang w:val="en-US" w:eastAsia="zh-CN"/>
              </w:rPr>
              <w:t>报价明细表</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kern w:val="0"/>
                <w:sz w:val="24"/>
                <w:lang w:val="en-US" w:eastAsia="zh-CN"/>
              </w:rPr>
            </w:pPr>
            <w:r>
              <w:rPr>
                <w:rFonts w:hint="eastAsia" w:ascii="宋体" w:hAnsi="宋体" w:cs="宋体"/>
                <w:kern w:val="0"/>
                <w:sz w:val="24"/>
                <w:lang w:val="en-US" w:eastAsia="zh-CN"/>
              </w:rPr>
              <w:t>1.3</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cs="宋体"/>
                <w:bCs/>
                <w:sz w:val="24"/>
                <w:lang w:val="en-US" w:eastAsia="zh-CN"/>
              </w:rPr>
            </w:pPr>
            <w:r>
              <w:rPr>
                <w:rFonts w:hint="eastAsia" w:ascii="宋体" w:hAnsi="宋体" w:cs="宋体"/>
                <w:b/>
                <w:bCs w:val="0"/>
                <w:sz w:val="24"/>
                <w:lang w:val="en-US" w:eastAsia="zh-CN"/>
              </w:rPr>
              <w:t>主要设备报价品牌响应表</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二</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Cs/>
                <w:sz w:val="24"/>
              </w:rPr>
              <w:t>供应商</w:t>
            </w:r>
            <w:r>
              <w:rPr>
                <w:rFonts w:hint="eastAsia" w:ascii="宋体" w:hAnsi="宋体" w:cs="宋体"/>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法定代表人证明及授权书(格式2)</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2.3</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供应商调查表(格式3)</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2.4</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“信用中国”网站的信用记录查询结果截图或信用信息报告并打印页面加盖公章</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2.5</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投标单位声明函(格式4)</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2.6</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sz w:val="24"/>
              </w:rPr>
            </w:pPr>
            <w:r>
              <w:rPr>
                <w:rFonts w:hint="eastAsia" w:ascii="宋体" w:hAnsi="宋体" w:cs="宋体"/>
                <w:kern w:val="0"/>
                <w:sz w:val="24"/>
              </w:rPr>
              <w:t>拟投入本项目的项目负责人情况表(格式5)</w:t>
            </w:r>
          </w:p>
        </w:tc>
        <w:tc>
          <w:tcPr>
            <w:tcW w:w="1383" w:type="dxa"/>
            <w:tcBorders>
              <w:top w:val="nil"/>
              <w:left w:val="nil"/>
              <w:bottom w:val="single" w:color="auto" w:sz="4" w:space="0"/>
              <w:right w:val="single" w:color="auto" w:sz="4" w:space="0"/>
            </w:tcBorders>
            <w:noWrap/>
            <w:vAlign w:val="bottom"/>
          </w:tcPr>
          <w:p>
            <w:pPr>
              <w:widowControl/>
              <w:spacing w:line="360" w:lineRule="auto"/>
              <w:jc w:val="center"/>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2.7</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类似项目业绩复印件</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2.8</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Arial"/>
                <w:color w:val="000000"/>
                <w:sz w:val="24"/>
              </w:rPr>
              <w:t>有效的安全生产许可证及资质证书</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2.9</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Arial"/>
                <w:color w:val="000000"/>
                <w:sz w:val="24"/>
              </w:rPr>
              <w:t>专职安全员有效的安全生产考核合格证</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kern w:val="0"/>
                <w:sz w:val="24"/>
                <w:lang w:val="en-US" w:eastAsia="zh-CN"/>
              </w:rPr>
            </w:pPr>
            <w:r>
              <w:rPr>
                <w:rFonts w:hint="eastAsia" w:ascii="宋体" w:hAnsi="宋体" w:cs="宋体"/>
                <w:kern w:val="0"/>
                <w:sz w:val="24"/>
                <w:lang w:val="en-US" w:eastAsia="zh-CN"/>
              </w:rPr>
              <w:t>2.10</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hint="default" w:ascii="宋体" w:hAnsi="宋体" w:eastAsia="宋体" w:cs="宋体"/>
                <w:kern w:val="0"/>
                <w:sz w:val="24"/>
                <w:lang w:val="en-US" w:eastAsia="zh-CN"/>
              </w:rPr>
            </w:pPr>
            <w:r>
              <w:rPr>
                <w:rFonts w:hint="eastAsia" w:ascii="宋体" w:hAnsi="宋体" w:cs="宋体"/>
                <w:b/>
                <w:bCs/>
                <w:i w:val="0"/>
                <w:iCs w:val="0"/>
                <w:color w:val="auto"/>
                <w:sz w:val="21"/>
                <w:szCs w:val="21"/>
                <w:highlight w:val="none"/>
                <w:lang w:val="en-US" w:eastAsia="zh-CN"/>
              </w:rPr>
              <w:t>投标偏差表</w:t>
            </w:r>
          </w:p>
        </w:tc>
        <w:tc>
          <w:tcPr>
            <w:tcW w:w="1383"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2.10</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宋体"/>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三</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sz w:val="24"/>
              </w:rPr>
            </w:pPr>
            <w:r>
              <w:rPr>
                <w:rFonts w:hint="eastAsia" w:ascii="宋体" w:hAnsi="宋体" w:cs="宋体"/>
                <w:b/>
                <w:bCs/>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bl>
    <w:p>
      <w:pPr>
        <w:pStyle w:val="2"/>
        <w:sectPr>
          <w:pgSz w:w="11906" w:h="16838"/>
          <w:pgMar w:top="1418" w:right="1418" w:bottom="1418" w:left="1418" w:header="851" w:footer="992" w:gutter="0"/>
          <w:cols w:space="720" w:num="1"/>
          <w:docGrid w:linePitch="312" w:charSpace="0"/>
        </w:sectPr>
      </w:pPr>
    </w:p>
    <w:p/>
    <w:p>
      <w:pPr>
        <w:spacing w:line="360" w:lineRule="auto"/>
        <w:jc w:val="left"/>
        <w:rPr>
          <w:rFonts w:ascii="宋体" w:hAnsi="宋体" w:cs="宋体"/>
          <w:sz w:val="24"/>
        </w:rPr>
      </w:pPr>
      <w:r>
        <w:rPr>
          <w:rFonts w:hint="eastAsia" w:ascii="宋体" w:hAnsi="宋体" w:cs="宋体"/>
          <w:sz w:val="24"/>
        </w:rPr>
        <w:t>一、报价文件</w:t>
      </w:r>
    </w:p>
    <w:p>
      <w:pPr>
        <w:spacing w:line="360" w:lineRule="auto"/>
        <w:jc w:val="left"/>
        <w:rPr>
          <w:rFonts w:ascii="宋体" w:hAnsi="宋体" w:cs="宋体"/>
          <w:sz w:val="24"/>
        </w:rPr>
      </w:pPr>
      <w:r>
        <w:rPr>
          <w:rFonts w:hint="eastAsia" w:ascii="宋体" w:hAnsi="宋体" w:cs="宋体"/>
          <w:sz w:val="24"/>
        </w:rPr>
        <w:t>1.1格式1</w:t>
      </w:r>
    </w:p>
    <w:p>
      <w:pPr>
        <w:pStyle w:val="12"/>
        <w:ind w:firstLine="0" w:firstLineChars="0"/>
        <w:jc w:val="center"/>
        <w:rPr>
          <w:rFonts w:hAnsi="宋体"/>
          <w:b/>
          <w:sz w:val="28"/>
          <w:szCs w:val="28"/>
        </w:rPr>
      </w:pPr>
      <w:r>
        <w:rPr>
          <w:rFonts w:hAnsi="宋体"/>
          <w:b/>
          <w:sz w:val="28"/>
          <w:szCs w:val="28"/>
        </w:rPr>
        <w:t>报价一览表</w:t>
      </w:r>
    </w:p>
    <w:p>
      <w:pPr>
        <w:pStyle w:val="12"/>
        <w:ind w:firstLine="0" w:firstLineChars="0"/>
        <w:jc w:val="center"/>
        <w:rPr>
          <w:rFonts w:hAnsi="宋体"/>
          <w:b/>
          <w:sz w:val="28"/>
          <w:szCs w:val="28"/>
        </w:rPr>
      </w:pPr>
    </w:p>
    <w:p>
      <w:pPr>
        <w:spacing w:line="360" w:lineRule="auto"/>
        <w:rPr>
          <w:rFonts w:hint="eastAsia" w:hAnsi="宋体" w:eastAsia="宋体"/>
          <w:sz w:val="24"/>
          <w:lang w:eastAsia="zh-CN"/>
        </w:rPr>
      </w:pPr>
      <w:r>
        <w:rPr>
          <w:rFonts w:hint="eastAsia" w:hAnsi="宋体"/>
          <w:sz w:val="24"/>
        </w:rPr>
        <w:t>项目名称：</w:t>
      </w:r>
      <w:r>
        <w:rPr>
          <w:rFonts w:hint="eastAsia" w:ascii="宋体"/>
          <w:sz w:val="24"/>
          <w:lang w:eastAsia="zh-CN"/>
        </w:rPr>
        <w:t>2025年3#站水泵更新改造工程</w:t>
      </w:r>
    </w:p>
    <w:tbl>
      <w:tblPr>
        <w:tblStyle w:val="28"/>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rPr>
            </w:pPr>
            <w:bookmarkStart w:id="13" w:name="_Hlk33473274"/>
            <w:r>
              <w:rPr>
                <w:rFonts w:hint="eastAsia" w:hAnsi="宋体"/>
                <w:bCs/>
                <w:sz w:val="24"/>
              </w:rPr>
              <w:t>序号</w:t>
            </w:r>
          </w:p>
        </w:tc>
        <w:tc>
          <w:tcPr>
            <w:tcW w:w="1844" w:type="dxa"/>
            <w:vAlign w:val="center"/>
          </w:tcPr>
          <w:p>
            <w:pPr>
              <w:jc w:val="center"/>
              <w:rPr>
                <w:rFonts w:hAnsi="宋体"/>
                <w:bCs/>
                <w:sz w:val="24"/>
              </w:rPr>
            </w:pPr>
            <w:r>
              <w:rPr>
                <w:rFonts w:hint="eastAsia" w:hAnsi="宋体"/>
                <w:bCs/>
                <w:sz w:val="24"/>
              </w:rPr>
              <w:t>项目名称</w:t>
            </w:r>
          </w:p>
        </w:tc>
        <w:tc>
          <w:tcPr>
            <w:tcW w:w="616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1</w:t>
            </w:r>
          </w:p>
        </w:tc>
        <w:tc>
          <w:tcPr>
            <w:tcW w:w="1844" w:type="dxa"/>
            <w:vAlign w:val="center"/>
          </w:tcPr>
          <w:p>
            <w:pPr>
              <w:jc w:val="center"/>
              <w:rPr>
                <w:rFonts w:hAnsi="宋体"/>
                <w:sz w:val="24"/>
              </w:rPr>
            </w:pPr>
            <w:r>
              <w:rPr>
                <w:rFonts w:hint="eastAsia" w:hAnsi="宋体"/>
                <w:sz w:val="24"/>
              </w:rPr>
              <w:t>投标总价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其中</w:t>
            </w:r>
          </w:p>
        </w:tc>
        <w:tc>
          <w:tcPr>
            <w:tcW w:w="1844" w:type="dxa"/>
            <w:vAlign w:val="center"/>
          </w:tcPr>
          <w:p>
            <w:pPr>
              <w:jc w:val="center"/>
              <w:rPr>
                <w:rFonts w:hAnsi="宋体"/>
                <w:sz w:val="24"/>
              </w:rPr>
            </w:pPr>
            <w:r>
              <w:rPr>
                <w:rFonts w:hint="eastAsia" w:hAnsi="宋体"/>
                <w:sz w:val="24"/>
              </w:rPr>
              <w:t>不含税总价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2</w:t>
            </w:r>
          </w:p>
        </w:tc>
        <w:tc>
          <w:tcPr>
            <w:tcW w:w="1844" w:type="dxa"/>
            <w:vAlign w:val="center"/>
          </w:tcPr>
          <w:p>
            <w:pPr>
              <w:jc w:val="center"/>
              <w:rPr>
                <w:rFonts w:hAnsi="宋体"/>
                <w:sz w:val="24"/>
              </w:rPr>
            </w:pPr>
            <w:r>
              <w:rPr>
                <w:rFonts w:hint="eastAsia" w:hAnsi="宋体"/>
                <w:sz w:val="24"/>
              </w:rPr>
              <w:t>投标工期</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3</w:t>
            </w:r>
          </w:p>
        </w:tc>
        <w:tc>
          <w:tcPr>
            <w:tcW w:w="1844" w:type="dxa"/>
            <w:vAlign w:val="center"/>
          </w:tcPr>
          <w:p>
            <w:pPr>
              <w:jc w:val="center"/>
              <w:rPr>
                <w:rFonts w:hAnsi="宋体"/>
                <w:sz w:val="24"/>
              </w:rPr>
            </w:pPr>
            <w:r>
              <w:rPr>
                <w:rFonts w:hint="eastAsia" w:hAnsi="宋体"/>
                <w:sz w:val="24"/>
              </w:rPr>
              <w:t>工程质量标准</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4</w:t>
            </w:r>
          </w:p>
        </w:tc>
        <w:tc>
          <w:tcPr>
            <w:tcW w:w="1844" w:type="dxa"/>
            <w:vAlign w:val="center"/>
          </w:tcPr>
          <w:p>
            <w:pPr>
              <w:jc w:val="center"/>
              <w:rPr>
                <w:rFonts w:hAnsi="宋体"/>
                <w:sz w:val="24"/>
              </w:rPr>
            </w:pPr>
            <w:r>
              <w:rPr>
                <w:rFonts w:hint="eastAsia" w:hAnsi="宋体"/>
                <w:sz w:val="24"/>
              </w:rPr>
              <w:t>保修期限</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rPr>
            </w:pPr>
            <w:r>
              <w:rPr>
                <w:rFonts w:hint="eastAsia" w:hAnsi="宋体"/>
                <w:sz w:val="24"/>
              </w:rPr>
              <w:t>5</w:t>
            </w:r>
          </w:p>
        </w:tc>
        <w:tc>
          <w:tcPr>
            <w:tcW w:w="1844" w:type="dxa"/>
            <w:vMerge w:val="restart"/>
            <w:vAlign w:val="center"/>
          </w:tcPr>
          <w:p>
            <w:pPr>
              <w:jc w:val="center"/>
              <w:rPr>
                <w:rFonts w:hAnsi="宋体"/>
                <w:sz w:val="24"/>
              </w:rPr>
            </w:pPr>
            <w:r>
              <w:rPr>
                <w:rFonts w:hint="eastAsia" w:hAnsi="宋体"/>
                <w:sz w:val="24"/>
              </w:rPr>
              <w:t>拟委派的项目负责人</w:t>
            </w:r>
          </w:p>
        </w:tc>
        <w:tc>
          <w:tcPr>
            <w:tcW w:w="1663" w:type="dxa"/>
            <w:vAlign w:val="center"/>
          </w:tcPr>
          <w:p>
            <w:pPr>
              <w:rPr>
                <w:rFonts w:hAnsi="宋体"/>
                <w:sz w:val="24"/>
              </w:rPr>
            </w:pPr>
            <w:r>
              <w:rPr>
                <w:rFonts w:hint="eastAsia" w:hAnsi="宋体"/>
                <w:sz w:val="24"/>
              </w:rPr>
              <w:t>姓名</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技术职称</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联系电话</w:t>
            </w:r>
          </w:p>
        </w:tc>
        <w:tc>
          <w:tcPr>
            <w:tcW w:w="4503" w:type="dxa"/>
            <w:vAlign w:val="center"/>
          </w:tcPr>
          <w:p>
            <w:pPr>
              <w:rPr>
                <w:rFonts w:hAnsi="宋体"/>
                <w:sz w:val="24"/>
              </w:rPr>
            </w:pPr>
          </w:p>
        </w:tc>
      </w:tr>
      <w:bookmarkEnd w:id="13"/>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spacing w:before="120" w:beforeLines="50" w:after="120" w:afterLines="50" w:line="360" w:lineRule="auto"/>
        <w:rPr>
          <w:rFonts w:hint="eastAsia" w:hAnsi="宋体"/>
          <w:szCs w:val="21"/>
        </w:rPr>
      </w:pPr>
      <w:r>
        <w:rPr>
          <w:rFonts w:hint="eastAsia" w:hAnsi="宋体"/>
          <w:szCs w:val="21"/>
        </w:rPr>
        <w:t>投标人名称（盖章）：</w:t>
      </w:r>
    </w:p>
    <w:p>
      <w:pPr>
        <w:spacing w:before="120" w:beforeLines="50" w:after="120" w:afterLines="50" w:line="360" w:lineRule="auto"/>
        <w:jc w:val="left"/>
        <w:rPr>
          <w:rFonts w:hint="eastAsia" w:hAnsi="宋体"/>
          <w:szCs w:val="21"/>
        </w:rPr>
        <w:sectPr>
          <w:pgSz w:w="11906" w:h="16838"/>
          <w:pgMar w:top="1418" w:right="1418" w:bottom="1418" w:left="1418" w:header="851" w:footer="992" w:gutter="0"/>
          <w:cols w:space="720" w:num="1"/>
          <w:docGrid w:linePitch="312" w:charSpace="0"/>
        </w:sect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p>
    <w:p>
      <w:pPr>
        <w:spacing w:before="120" w:beforeLines="50" w:after="120" w:afterLines="50" w:line="360" w:lineRule="auto"/>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1.2  报价明细表（自拟）</w:t>
      </w:r>
    </w:p>
    <w:p>
      <w:pPr>
        <w:pStyle w:val="2"/>
        <w:rPr>
          <w:rFonts w:hint="eastAsia" w:ascii="宋体" w:hAnsi="宋体" w:eastAsia="宋体" w:cs="宋体"/>
          <w:b/>
          <w:bCs/>
          <w:szCs w:val="21"/>
          <w:lang w:val="en-US" w:eastAsia="zh-CN"/>
        </w:rPr>
      </w:pPr>
    </w:p>
    <w:p>
      <w:pPr>
        <w:rPr>
          <w:rFonts w:hint="eastAsia" w:ascii="宋体" w:hAnsi="宋体" w:eastAsia="宋体" w:cs="宋体"/>
          <w:b/>
          <w:bCs/>
          <w:szCs w:val="21"/>
          <w:lang w:val="en-US" w:eastAsia="zh-CN"/>
        </w:rPr>
      </w:pPr>
    </w:p>
    <w:p>
      <w:pPr>
        <w:pStyle w:val="2"/>
        <w:rPr>
          <w:rFonts w:hint="eastAsia" w:ascii="宋体" w:hAnsi="宋体" w:eastAsia="宋体" w:cs="宋体"/>
          <w:b/>
          <w:bCs/>
          <w:szCs w:val="21"/>
          <w:lang w:val="en-US" w:eastAsia="zh-CN"/>
        </w:rPr>
      </w:pPr>
    </w:p>
    <w:p>
      <w:pPr>
        <w:rPr>
          <w:rFonts w:hint="eastAsia" w:ascii="宋体" w:hAnsi="宋体" w:eastAsia="宋体" w:cs="宋体"/>
          <w:b/>
          <w:bCs/>
          <w:szCs w:val="21"/>
          <w:lang w:val="en-US" w:eastAsia="zh-CN"/>
        </w:rPr>
      </w:pPr>
    </w:p>
    <w:p>
      <w:pPr>
        <w:pStyle w:val="2"/>
        <w:rPr>
          <w:rFonts w:hint="eastAsia" w:ascii="宋体" w:hAnsi="宋体" w:eastAsia="宋体" w:cs="宋体"/>
          <w:b/>
          <w:bCs/>
          <w:szCs w:val="21"/>
          <w:lang w:val="en-US" w:eastAsia="zh-CN"/>
        </w:rPr>
      </w:pPr>
    </w:p>
    <w:p>
      <w:pPr>
        <w:rPr>
          <w:rFonts w:hint="eastAsia" w:ascii="宋体" w:hAnsi="宋体" w:eastAsia="宋体" w:cs="宋体"/>
          <w:b/>
          <w:bCs/>
          <w:szCs w:val="21"/>
          <w:lang w:val="en-US" w:eastAsia="zh-CN"/>
        </w:rPr>
      </w:pPr>
    </w:p>
    <w:p>
      <w:pPr>
        <w:pStyle w:val="2"/>
        <w:rPr>
          <w:rFonts w:hint="eastAsia" w:ascii="宋体" w:hAnsi="宋体" w:eastAsia="宋体" w:cs="宋体"/>
          <w:b/>
          <w:bCs/>
          <w:szCs w:val="21"/>
          <w:lang w:val="en-US" w:eastAsia="zh-CN"/>
        </w:rPr>
      </w:pPr>
    </w:p>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1.3主要设备报价品牌响应表</w:t>
      </w:r>
    </w:p>
    <w:tbl>
      <w:tblPr>
        <w:tblStyle w:val="28"/>
        <w:tblW w:w="9170" w:type="dxa"/>
        <w:tblInd w:w="0" w:type="dxa"/>
        <w:shd w:val="clear" w:color="auto" w:fill="auto"/>
        <w:tblLayout w:type="fixed"/>
        <w:tblCellMar>
          <w:top w:w="0" w:type="dxa"/>
          <w:left w:w="0" w:type="dxa"/>
          <w:bottom w:w="0" w:type="dxa"/>
          <w:right w:w="0" w:type="dxa"/>
        </w:tblCellMar>
      </w:tblPr>
      <w:tblGrid>
        <w:gridCol w:w="1358"/>
        <w:gridCol w:w="516"/>
        <w:gridCol w:w="938"/>
        <w:gridCol w:w="936"/>
        <w:gridCol w:w="1077"/>
        <w:gridCol w:w="2155"/>
        <w:gridCol w:w="2189"/>
        <w:gridCol w:w="1"/>
      </w:tblGrid>
      <w:tr>
        <w:tblPrEx>
          <w:tblLayout w:type="fixed"/>
          <w:tblCellMar>
            <w:top w:w="0" w:type="dxa"/>
            <w:left w:w="0" w:type="dxa"/>
            <w:bottom w:w="0" w:type="dxa"/>
            <w:right w:w="0" w:type="dxa"/>
          </w:tblCellMar>
        </w:tblPrEx>
        <w:trPr>
          <w:gridAfter w:val="1"/>
          <w:wAfter w:w="1" w:type="dxa"/>
          <w:trHeight w:val="720" w:hRule="atLeast"/>
        </w:trPr>
        <w:tc>
          <w:tcPr>
            <w:tcW w:w="1874"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p>
        </w:tc>
        <w:tc>
          <w:tcPr>
            <w:tcW w:w="1874"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p>
        </w:tc>
        <w:tc>
          <w:tcPr>
            <w:tcW w:w="5421"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主要设备材料报价品牌响应表</w:t>
            </w:r>
          </w:p>
        </w:tc>
      </w:tr>
      <w:tr>
        <w:tblPrEx>
          <w:shd w:val="clear" w:color="auto" w:fill="auto"/>
          <w:tblLayout w:type="fixed"/>
          <w:tblCellMar>
            <w:top w:w="0" w:type="dxa"/>
            <w:left w:w="0" w:type="dxa"/>
            <w:bottom w:w="0" w:type="dxa"/>
            <w:right w:w="0" w:type="dxa"/>
          </w:tblCellMar>
        </w:tblPrEx>
        <w:trPr>
          <w:trHeight w:val="54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主要设备材料</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报价品牌</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★条款</w:t>
            </w:r>
            <w:r>
              <w:rPr>
                <w:rFonts w:hint="eastAsia" w:ascii="宋体" w:hAnsi="宋体" w:eastAsia="宋体" w:cs="宋体"/>
                <w:b/>
                <w:bCs/>
                <w:i w:val="0"/>
                <w:color w:val="000000"/>
                <w:kern w:val="0"/>
                <w:sz w:val="24"/>
                <w:szCs w:val="24"/>
                <w:u w:val="none"/>
                <w:lang w:val="en-US" w:eastAsia="zh-CN" w:bidi="ar"/>
              </w:rPr>
              <w:t>以外</w:t>
            </w:r>
            <w:r>
              <w:rPr>
                <w:rFonts w:hint="eastAsia" w:ascii="宋体" w:hAnsi="宋体" w:eastAsia="宋体" w:cs="宋体"/>
                <w:i w:val="0"/>
                <w:color w:val="000000"/>
                <w:kern w:val="0"/>
                <w:sz w:val="24"/>
                <w:szCs w:val="24"/>
                <w:u w:val="none"/>
                <w:lang w:val="en-US" w:eastAsia="zh-CN" w:bidi="ar"/>
              </w:rPr>
              <w:t>的主要性能参数响应</w:t>
            </w: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★条款</w:t>
            </w:r>
            <w:r>
              <w:rPr>
                <w:rFonts w:hint="eastAsia" w:ascii="宋体" w:hAnsi="宋体" w:eastAsia="宋体" w:cs="宋体"/>
                <w:b/>
                <w:bCs/>
                <w:i w:val="0"/>
                <w:color w:val="000000"/>
                <w:kern w:val="0"/>
                <w:sz w:val="24"/>
                <w:szCs w:val="24"/>
                <w:u w:val="none"/>
                <w:lang w:val="en-US" w:eastAsia="zh-CN" w:bidi="ar"/>
              </w:rPr>
              <w:t>以外</w:t>
            </w:r>
            <w:r>
              <w:rPr>
                <w:rFonts w:hint="eastAsia" w:ascii="宋体" w:hAnsi="宋体" w:eastAsia="宋体" w:cs="宋体"/>
                <w:i w:val="0"/>
                <w:color w:val="000000"/>
                <w:kern w:val="0"/>
                <w:sz w:val="24"/>
                <w:szCs w:val="24"/>
                <w:u w:val="none"/>
                <w:lang w:val="en-US" w:eastAsia="zh-CN" w:bidi="ar"/>
              </w:rPr>
              <w:t>的主要性能参数</w:t>
            </w:r>
            <w:r>
              <w:rPr>
                <w:rFonts w:hint="eastAsia" w:ascii="宋体" w:hAnsi="宋体" w:cs="宋体"/>
                <w:i w:val="0"/>
                <w:color w:val="000000"/>
                <w:kern w:val="0"/>
                <w:sz w:val="24"/>
                <w:szCs w:val="24"/>
                <w:u w:val="none"/>
                <w:lang w:val="en-US" w:eastAsia="zh-CN" w:bidi="ar"/>
              </w:rPr>
              <w:t>偏差</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tblPrEx>
          <w:shd w:val="clear" w:color="auto" w:fill="auto"/>
          <w:tblLayout w:type="fixed"/>
          <w:tblCellMar>
            <w:top w:w="0" w:type="dxa"/>
            <w:left w:w="0" w:type="dxa"/>
            <w:bottom w:w="0" w:type="dxa"/>
            <w:right w:w="0" w:type="dxa"/>
          </w:tblCellMar>
        </w:tblPrEx>
        <w:trPr>
          <w:trHeight w:val="90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水泵</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90" w:type="dxa"/>
            <w:gridSpan w:val="2"/>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报价品牌</w:t>
            </w:r>
            <w:r>
              <w:rPr>
                <w:rFonts w:hint="eastAsia" w:ascii="宋体" w:hAnsi="宋体" w:eastAsia="宋体" w:cs="宋体"/>
                <w:i w:val="0"/>
                <w:color w:val="000000"/>
                <w:kern w:val="0"/>
                <w:sz w:val="24"/>
                <w:szCs w:val="24"/>
                <w:u w:val="none"/>
                <w:lang w:val="en-US" w:eastAsia="zh-CN" w:bidi="ar"/>
              </w:rPr>
              <w:t>如非附件1乙供材料技术需求书中列举品牌，需提供等同或相当于同等档次品牌说明</w:t>
            </w:r>
            <w:r>
              <w:rPr>
                <w:rFonts w:hint="eastAsia" w:ascii="宋体" w:hAnsi="宋体" w:cs="宋体"/>
                <w:i w:val="0"/>
                <w:color w:val="000000"/>
                <w:kern w:val="0"/>
                <w:sz w:val="24"/>
                <w:szCs w:val="24"/>
                <w:u w:val="none"/>
                <w:lang w:val="en-US" w:eastAsia="zh-CN" w:bidi="ar"/>
              </w:rPr>
              <w:t>及产品手册</w:t>
            </w:r>
            <w:r>
              <w:rPr>
                <w:rFonts w:hint="eastAsia" w:ascii="宋体" w:hAnsi="宋体" w:eastAsia="宋体" w:cs="宋体"/>
                <w:i w:val="0"/>
                <w:color w:val="000000"/>
                <w:kern w:val="0"/>
                <w:sz w:val="24"/>
                <w:szCs w:val="24"/>
                <w:u w:val="none"/>
                <w:lang w:val="en-US" w:eastAsia="zh-CN" w:bidi="ar"/>
              </w:rPr>
              <w:t>。</w:t>
            </w:r>
          </w:p>
        </w:tc>
      </w:tr>
      <w:tr>
        <w:tblPrEx>
          <w:shd w:val="clear" w:color="auto" w:fill="auto"/>
          <w:tblLayout w:type="fixed"/>
          <w:tblCellMar>
            <w:top w:w="0" w:type="dxa"/>
            <w:left w:w="0" w:type="dxa"/>
            <w:bottom w:w="0" w:type="dxa"/>
            <w:right w:w="0" w:type="dxa"/>
          </w:tblCellMar>
        </w:tblPrEx>
        <w:trPr>
          <w:trHeight w:val="90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静音止回阀</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90"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Y型过滤器</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90"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电动开关蝶阀</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90"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0" w:hRule="atLeast"/>
        </w:trPr>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保温材料</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190" w:type="dxa"/>
            <w:gridSpan w:val="2"/>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bl>
    <w:p>
      <w:pPr>
        <w:pStyle w:val="2"/>
        <w:rPr>
          <w:rFonts w:hint="default"/>
          <w:lang w:val="en-US" w:eastAsia="zh-CN"/>
        </w:rPr>
      </w:pPr>
    </w:p>
    <w:p>
      <w:pPr>
        <w:pStyle w:val="2"/>
        <w:rPr>
          <w:rFonts w:hint="eastAsia" w:ascii="仿宋" w:hAnsi="仿宋" w:eastAsia="仿宋" w:cs="仿宋"/>
          <w:b/>
          <w:bCs/>
          <w:szCs w:val="21"/>
          <w:lang w:val="en-US" w:eastAsia="zh-CN"/>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spacing w:before="120" w:beforeLines="50" w:after="120" w:afterLines="50" w:line="360" w:lineRule="auto"/>
        <w:jc w:val="left"/>
        <w:rPr>
          <w:rFonts w:ascii="仿宋" w:hAnsi="仿宋" w:eastAsia="仿宋" w:cs="仿宋"/>
          <w:szCs w:val="21"/>
        </w:rPr>
      </w:pPr>
    </w:p>
    <w:p>
      <w:pPr>
        <w:numPr>
          <w:ilvl w:val="-1"/>
          <w:numId w:val="0"/>
        </w:numPr>
        <w:spacing w:before="120" w:beforeLines="50" w:after="120" w:afterLines="50" w:line="360" w:lineRule="auto"/>
        <w:rPr>
          <w:rFonts w:ascii="宋体" w:hAnsi="宋体" w:cs="宋体"/>
          <w:b/>
          <w:bCs/>
          <w:kern w:val="0"/>
          <w:sz w:val="24"/>
        </w:rPr>
      </w:pPr>
      <w:r>
        <w:rPr>
          <w:rFonts w:hint="eastAsia" w:ascii="宋体" w:hAnsi="宋体" w:cs="Arial"/>
          <w:sz w:val="24"/>
          <w:lang w:val="en-US" w:eastAsia="zh-CN"/>
        </w:rPr>
        <w:t>二、</w:t>
      </w:r>
      <w:r>
        <w:rPr>
          <w:rFonts w:hint="eastAsia" w:ascii="宋体" w:hAnsi="宋体" w:cs="Arial"/>
          <w:sz w:val="24"/>
        </w:rPr>
        <w:t>商务</w:t>
      </w:r>
      <w:r>
        <w:rPr>
          <w:rFonts w:hint="eastAsia" w:ascii="宋体" w:hAnsi="宋体" w:cs="宋体"/>
          <w:b/>
          <w:bCs/>
          <w:kern w:val="0"/>
          <w:sz w:val="24"/>
        </w:rPr>
        <w:t>文件</w:t>
      </w:r>
    </w:p>
    <w:p>
      <w:pPr>
        <w:spacing w:line="360" w:lineRule="auto"/>
        <w:rPr>
          <w:rFonts w:ascii="宋体" w:hAnsi="宋体" w:cs="宋体"/>
          <w:b/>
          <w:bCs/>
          <w:sz w:val="24"/>
        </w:rPr>
      </w:pPr>
      <w:r>
        <w:rPr>
          <w:rFonts w:hint="eastAsia" w:ascii="宋体" w:hAnsi="宋体" w:cs="宋体"/>
          <w:b/>
          <w:bCs/>
          <w:sz w:val="24"/>
        </w:rPr>
        <w:t>格式2.法定代表人/负责人证明或授权委托书</w:t>
      </w:r>
    </w:p>
    <w:p>
      <w:pPr>
        <w:spacing w:line="360" w:lineRule="auto"/>
        <w:rPr>
          <w:rFonts w:ascii="宋体" w:hAnsi="宋体" w:cs="宋体"/>
          <w:sz w:val="24"/>
        </w:rPr>
      </w:pPr>
      <w:r>
        <w:rPr>
          <w:rFonts w:hint="eastAsia" w:ascii="宋体" w:hAnsi="宋体" w:cs="宋体"/>
          <w:sz w:val="24"/>
        </w:rPr>
        <w:t>2.2.1法定代表人/负责人证明格式</w:t>
      </w:r>
    </w:p>
    <w:p>
      <w:pPr>
        <w:spacing w:line="500" w:lineRule="exact"/>
        <w:jc w:val="center"/>
        <w:rPr>
          <w:rFonts w:ascii="宋体" w:hAnsi="宋体" w:cs="宋体"/>
          <w:b/>
          <w:bCs/>
          <w:sz w:val="24"/>
        </w:rPr>
      </w:pPr>
      <w:r>
        <w:rPr>
          <w:rFonts w:hint="eastAsia" w:ascii="宋体" w:hAnsi="宋体" w:cs="宋体"/>
          <w:b/>
          <w:bCs/>
          <w:sz w:val="24"/>
        </w:rPr>
        <w:t>法定代表人身份证明书</w:t>
      </w:r>
    </w:p>
    <w:p>
      <w:pPr>
        <w:spacing w:line="500" w:lineRule="exact"/>
        <w:ind w:firstLine="960" w:firstLineChars="400"/>
        <w:rPr>
          <w:rFonts w:ascii="宋体" w:hAnsi="宋体" w:cs="宋体"/>
          <w:sz w:val="24"/>
        </w:rPr>
      </w:pPr>
      <w:r>
        <w:rPr>
          <w:rFonts w:hint="eastAsia" w:ascii="宋体" w:hAnsi="宋体" w:cs="宋体"/>
          <w:sz w:val="24"/>
        </w:rPr>
        <w:t>在我单位任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职务，是我单位法定代表人，身份证号为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，特此证明。</w:t>
      </w:r>
    </w:p>
    <w:p>
      <w:pPr>
        <w:spacing w:line="500" w:lineRule="exact"/>
        <w:ind w:firstLine="537" w:firstLineChars="224"/>
        <w:rPr>
          <w:rFonts w:ascii="宋体" w:hAnsi="宋体" w:cs="宋体"/>
          <w:sz w:val="24"/>
        </w:rPr>
      </w:pPr>
    </w:p>
    <w:p>
      <w:pPr>
        <w:spacing w:line="500" w:lineRule="exact"/>
        <w:jc w:val="left"/>
        <w:rPr>
          <w:rFonts w:ascii="宋体" w:hAnsi="宋体" w:cs="宋体"/>
          <w:sz w:val="24"/>
        </w:rPr>
      </w:pPr>
      <w:r>
        <w:rPr>
          <w:rFonts w:hint="eastAsia" w:ascii="宋体" w:hAnsi="宋体" w:cs="宋体"/>
          <w:sz w:val="24"/>
        </w:rPr>
        <w:t>（单位盖章）</w:t>
      </w:r>
    </w:p>
    <w:p>
      <w:pPr>
        <w:spacing w:line="500" w:lineRule="exact"/>
        <w:ind w:firstLine="537" w:firstLineChars="224"/>
        <w:rPr>
          <w:rFonts w:ascii="宋体" w:hAnsi="宋体" w:cs="宋体"/>
          <w:sz w:val="24"/>
        </w:rPr>
      </w:pPr>
    </w:p>
    <w:p>
      <w:pPr>
        <w:spacing w:line="500" w:lineRule="exact"/>
        <w:rPr>
          <w:rFonts w:ascii="宋体" w:hAnsi="宋体" w:cs="宋体"/>
          <w:sz w:val="24"/>
        </w:rPr>
      </w:pPr>
      <w:r>
        <w:rPr>
          <w:rFonts w:hint="eastAsia" w:ascii="宋体" w:hAnsi="宋体" w:cs="宋体"/>
          <w:sz w:val="24"/>
        </w:rPr>
        <w:t xml:space="preserve">日期：2025年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spacing w:line="500" w:lineRule="exact"/>
        <w:rPr>
          <w:rFonts w:ascii="宋体" w:hAnsi="宋体" w:cs="宋体"/>
          <w:sz w:val="24"/>
        </w:rPr>
      </w:pPr>
      <w:r>
        <w:rPr>
          <w:rFonts w:hint="eastAsia" w:ascii="宋体" w:hAnsi="宋体" w:cs="宋体"/>
          <w:sz w:val="24"/>
        </w:rPr>
        <w:t xml:space="preserve">单位通信地址：                                </w:t>
      </w:r>
    </w:p>
    <w:p>
      <w:pPr>
        <w:spacing w:line="500" w:lineRule="exact"/>
        <w:rPr>
          <w:rFonts w:ascii="宋体" w:hAnsi="宋体" w:cs="宋体"/>
          <w:sz w:val="24"/>
        </w:rPr>
      </w:pPr>
    </w:p>
    <w:p>
      <w:pPr>
        <w:spacing w:line="500" w:lineRule="exact"/>
        <w:rPr>
          <w:rFonts w:ascii="宋体" w:hAnsi="宋体" w:cs="宋体"/>
          <w:sz w:val="24"/>
        </w:rPr>
      </w:pPr>
      <w:r>
        <w:rPr>
          <w:rFonts w:hint="eastAsia" w:ascii="宋体" w:hAnsi="宋体" w:cs="宋体"/>
          <w:sz w:val="24"/>
        </w:rPr>
        <w:t xml:space="preserve">邮政编码：                 单位联系电话：   </w:t>
      </w:r>
    </w:p>
    <w:p>
      <w:pPr>
        <w:rPr>
          <w:rFonts w:ascii="宋体" w:hAnsi="宋体" w:cs="宋体"/>
          <w:sz w:val="24"/>
        </w:rPr>
      </w:pPr>
    </w:p>
    <w:p>
      <w:pPr>
        <w:spacing w:line="360" w:lineRule="auto"/>
        <w:rPr>
          <w:rFonts w:ascii="宋体" w:hAnsi="宋体" w:cs="宋体"/>
          <w:sz w:val="24"/>
        </w:rPr>
      </w:pPr>
      <w:r>
        <w:rPr>
          <w:rFonts w:hint="eastAsia" w:ascii="宋体" w:hAnsi="宋体" w:cs="宋体"/>
          <w:sz w:val="24"/>
        </w:rPr>
        <w:t>附：法人代表身份证正反面或其他身份证明材料复印件</w:t>
      </w:r>
    </w:p>
    <w:p>
      <w:pPr>
        <w:pStyle w:val="54"/>
        <w:snapToGrid w:val="0"/>
        <w:spacing w:line="540" w:lineRule="exact"/>
        <w:ind w:firstLine="2930" w:firstLineChars="1221"/>
        <w:rPr>
          <w:rFonts w:hAnsi="宋体"/>
          <w:color w:val="auto"/>
        </w:rPr>
      </w:pPr>
      <w:r>
        <w:rPr>
          <w:rFonts w:hint="eastAsia" w:hAnsi="宋体"/>
          <w:color w:val="auto"/>
        </w:rPr>
        <w:t>供应商：</w:t>
      </w:r>
      <w:r>
        <w:rPr>
          <w:rFonts w:hint="eastAsia" w:hAnsi="宋体"/>
          <w:color w:val="auto"/>
          <w:u w:val="single"/>
        </w:rPr>
        <w:t xml:space="preserve">       (盖单位章)      </w:t>
      </w:r>
    </w:p>
    <w:p>
      <w:pPr>
        <w:widowControl/>
        <w:adjustRightInd w:val="0"/>
        <w:snapToGrid w:val="0"/>
        <w:spacing w:line="540" w:lineRule="exact"/>
        <w:jc w:val="righ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tbl>
      <w:tblPr>
        <w:tblStyle w:val="2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530" w:type="dxa"/>
            <w:vAlign w:val="center"/>
          </w:tcPr>
          <w:p>
            <w:pPr>
              <w:pStyle w:val="16"/>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6"/>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4530" w:type="dxa"/>
          </w:tcPr>
          <w:p>
            <w:pPr>
              <w:pStyle w:val="16"/>
              <w:spacing w:line="240" w:lineRule="auto"/>
              <w:ind w:firstLine="0"/>
              <w:jc w:val="center"/>
              <w:rPr>
                <w:rFonts w:ascii="宋体" w:hAnsi="宋体" w:eastAsia="宋体" w:cs="宋体"/>
                <w:color w:val="auto"/>
                <w:sz w:val="24"/>
              </w:rPr>
            </w:pPr>
          </w:p>
        </w:tc>
        <w:tc>
          <w:tcPr>
            <w:tcW w:w="4530" w:type="dxa"/>
          </w:tcPr>
          <w:p>
            <w:pPr>
              <w:pStyle w:val="16"/>
              <w:spacing w:line="240" w:lineRule="auto"/>
              <w:ind w:firstLine="0"/>
              <w:jc w:val="center"/>
              <w:rPr>
                <w:rFonts w:ascii="宋体" w:hAnsi="宋体" w:eastAsia="宋体" w:cs="宋体"/>
                <w:color w:val="auto"/>
                <w:sz w:val="24"/>
              </w:rPr>
            </w:pPr>
          </w:p>
        </w:tc>
      </w:tr>
    </w:tbl>
    <w:p>
      <w:pPr>
        <w:spacing w:line="360" w:lineRule="auto"/>
        <w:rPr>
          <w:rFonts w:ascii="宋体" w:hAnsi="宋体" w:cs="宋体"/>
          <w:sz w:val="24"/>
        </w:rPr>
      </w:pPr>
      <w:r>
        <w:rPr>
          <w:rFonts w:hint="eastAsia" w:ascii="宋体" w:hAnsi="宋体" w:cs="宋体"/>
          <w:kern w:val="0"/>
          <w:sz w:val="24"/>
        </w:rPr>
        <w:br w:type="page"/>
      </w:r>
      <w:r>
        <w:rPr>
          <w:rFonts w:hint="eastAsia" w:ascii="宋体" w:hAnsi="宋体" w:cs="宋体"/>
          <w:kern w:val="0"/>
          <w:sz w:val="24"/>
        </w:rPr>
        <w:t>2</w:t>
      </w:r>
      <w:r>
        <w:rPr>
          <w:rFonts w:hint="eastAsia" w:ascii="宋体" w:hAnsi="宋体" w:cs="宋体"/>
          <w:sz w:val="24"/>
        </w:rPr>
        <w:t>.2.2法人授权委托书</w:t>
      </w:r>
    </w:p>
    <w:p>
      <w:pPr>
        <w:spacing w:line="500" w:lineRule="exact"/>
        <w:ind w:firstLine="1446" w:firstLineChars="600"/>
        <w:rPr>
          <w:rFonts w:ascii="宋体" w:hAnsi="宋体" w:cs="宋体"/>
          <w:b/>
          <w:bCs/>
          <w:sz w:val="24"/>
        </w:rPr>
      </w:pPr>
      <w:r>
        <w:rPr>
          <w:rFonts w:hint="eastAsia" w:ascii="宋体" w:hAnsi="宋体" w:cs="宋体"/>
          <w:b/>
          <w:bCs/>
          <w:sz w:val="24"/>
        </w:rPr>
        <w:t>法定代表人授权委托证明书</w:t>
      </w:r>
    </w:p>
    <w:p>
      <w:pPr>
        <w:pStyle w:val="31"/>
        <w:spacing w:line="360" w:lineRule="auto"/>
        <w:ind w:firstLine="424" w:firstLineChars="177"/>
        <w:rPr>
          <w:rFonts w:hAnsi="宋体" w:cs="宋体"/>
          <w:bCs/>
          <w:sz w:val="24"/>
          <w:szCs w:val="24"/>
        </w:rPr>
      </w:pPr>
    </w:p>
    <w:p>
      <w:pPr>
        <w:spacing w:before="120" w:beforeLines="50" w:after="120" w:afterLines="50"/>
        <w:ind w:right="600" w:firstLine="480" w:firstLineChars="200"/>
        <w:rPr>
          <w:rFonts w:hAnsi="宋体" w:cs="宋体"/>
          <w:sz w:val="24"/>
        </w:rPr>
      </w:pPr>
      <w:r>
        <w:rPr>
          <w:rFonts w:hint="eastAsia" w:hAnsi="宋体" w:cs="宋体"/>
          <w:bCs/>
          <w:sz w:val="24"/>
        </w:rPr>
        <w:t>兹授权（委托代理人姓名）为我方委托代理人，其权限是：</w:t>
      </w:r>
      <w:r>
        <w:rPr>
          <w:rFonts w:hint="eastAsia" w:hAnsi="宋体" w:cs="宋体"/>
          <w:sz w:val="24"/>
        </w:rPr>
        <w:t>办理                       广州城投综合能源投资经营管理有限公司组织的“2号站V6b电动阀执行器及涡轮箱更换工程”的投标和合同执行，以我方的名义处理一切与之有关的事宜。</w:t>
      </w:r>
    </w:p>
    <w:p>
      <w:pPr>
        <w:pStyle w:val="31"/>
        <w:spacing w:line="360" w:lineRule="auto"/>
        <w:ind w:firstLine="480" w:firstLineChars="200"/>
        <w:rPr>
          <w:rFonts w:hAnsi="宋体" w:cs="宋体"/>
          <w:bCs/>
          <w:sz w:val="24"/>
          <w:szCs w:val="24"/>
        </w:rPr>
      </w:pPr>
      <w:r>
        <w:rPr>
          <w:rFonts w:hint="eastAsia" w:hAnsi="宋体" w:cs="宋体"/>
          <w:sz w:val="24"/>
          <w:szCs w:val="24"/>
          <w:lang w:val="en-GB"/>
        </w:rPr>
        <w:t>本</w:t>
      </w:r>
      <w:r>
        <w:rPr>
          <w:rFonts w:hint="eastAsia" w:hAnsi="宋体" w:cs="宋体"/>
          <w:sz w:val="24"/>
          <w:szCs w:val="24"/>
        </w:rPr>
        <w:t>授权书</w:t>
      </w:r>
      <w:r>
        <w:rPr>
          <w:rFonts w:hint="eastAsia" w:hAnsi="宋体" w:cs="宋体"/>
          <w:sz w:val="24"/>
          <w:szCs w:val="24"/>
          <w:lang w:val="en-GB"/>
        </w:rPr>
        <w:t>自</w:t>
      </w:r>
      <w:r>
        <w:rPr>
          <w:rFonts w:hint="eastAsia" w:hAnsi="宋体" w:cs="宋体"/>
          <w:sz w:val="24"/>
          <w:szCs w:val="24"/>
        </w:rPr>
        <w:t>年月日</w:t>
      </w:r>
      <w:r>
        <w:rPr>
          <w:rFonts w:hint="eastAsia" w:hAnsi="宋体" w:cs="宋体"/>
          <w:sz w:val="24"/>
          <w:szCs w:val="24"/>
          <w:lang w:val="en-GB"/>
        </w:rPr>
        <w:t>签章之日起生效，特此声明。</w:t>
      </w:r>
    </w:p>
    <w:p>
      <w:pPr>
        <w:pStyle w:val="31"/>
        <w:spacing w:line="360" w:lineRule="auto"/>
        <w:ind w:firstLine="480" w:firstLineChars="200"/>
        <w:rPr>
          <w:rFonts w:hAnsi="宋体" w:cs="宋体"/>
          <w:sz w:val="24"/>
          <w:szCs w:val="24"/>
          <w:u w:val="single"/>
        </w:rPr>
      </w:pPr>
      <w:r>
        <w:rPr>
          <w:rFonts w:hint="eastAsia" w:hAnsi="宋体" w:cs="宋体"/>
          <w:sz w:val="24"/>
          <w:szCs w:val="24"/>
        </w:rPr>
        <w:t>附：代理人性别：   年龄：   职务：</w:t>
      </w:r>
    </w:p>
    <w:p>
      <w:pPr>
        <w:pStyle w:val="31"/>
        <w:spacing w:line="360" w:lineRule="auto"/>
        <w:ind w:firstLine="480" w:firstLineChars="200"/>
        <w:rPr>
          <w:rFonts w:hAnsi="宋体" w:cs="宋体"/>
          <w:sz w:val="24"/>
          <w:szCs w:val="24"/>
          <w:u w:val="single"/>
        </w:rPr>
      </w:pPr>
      <w:r>
        <w:rPr>
          <w:rFonts w:hint="eastAsia" w:hAnsi="宋体" w:cs="宋体"/>
          <w:sz w:val="24"/>
          <w:szCs w:val="24"/>
        </w:rPr>
        <w:t>　　身份证号码：</w:t>
      </w:r>
    </w:p>
    <w:p>
      <w:pPr>
        <w:pStyle w:val="31"/>
        <w:spacing w:line="360" w:lineRule="auto"/>
        <w:ind w:firstLine="480" w:firstLineChars="200"/>
        <w:rPr>
          <w:rFonts w:hAnsi="宋体" w:cs="宋体"/>
          <w:sz w:val="24"/>
          <w:szCs w:val="24"/>
          <w:u w:val="single"/>
        </w:rPr>
      </w:pPr>
      <w:r>
        <w:rPr>
          <w:rFonts w:hint="eastAsia" w:hAnsi="宋体" w:cs="宋体"/>
          <w:sz w:val="24"/>
          <w:szCs w:val="24"/>
        </w:rPr>
        <w:t>　　（营业执照等）注册号码：</w:t>
      </w:r>
    </w:p>
    <w:p>
      <w:pPr>
        <w:pStyle w:val="31"/>
        <w:spacing w:line="360" w:lineRule="auto"/>
        <w:ind w:firstLine="480" w:firstLineChars="200"/>
        <w:rPr>
          <w:rFonts w:hAnsi="宋体" w:cs="宋体"/>
          <w:sz w:val="24"/>
          <w:szCs w:val="24"/>
          <w:u w:val="single"/>
        </w:rPr>
      </w:pPr>
      <w:r>
        <w:rPr>
          <w:rFonts w:hint="eastAsia" w:hAnsi="宋体" w:cs="宋体"/>
          <w:sz w:val="24"/>
          <w:szCs w:val="24"/>
        </w:rPr>
        <w:t>　　企业类型：</w:t>
      </w:r>
    </w:p>
    <w:p>
      <w:pPr>
        <w:pStyle w:val="31"/>
        <w:spacing w:line="360" w:lineRule="auto"/>
        <w:ind w:firstLine="480" w:firstLineChars="200"/>
        <w:rPr>
          <w:rFonts w:hAnsi="宋体" w:cs="宋体"/>
          <w:sz w:val="24"/>
          <w:szCs w:val="24"/>
          <w:u w:val="single"/>
        </w:rPr>
      </w:pPr>
      <w:r>
        <w:rPr>
          <w:rFonts w:hint="eastAsia" w:hAnsi="宋体" w:cs="宋体"/>
          <w:sz w:val="24"/>
          <w:szCs w:val="24"/>
        </w:rPr>
        <w:t>　　经营范围：</w:t>
      </w:r>
    </w:p>
    <w:p>
      <w:pPr>
        <w:pStyle w:val="31"/>
        <w:spacing w:line="360" w:lineRule="auto"/>
        <w:rPr>
          <w:rFonts w:hAnsi="宋体" w:cs="宋体"/>
          <w:sz w:val="24"/>
          <w:szCs w:val="24"/>
        </w:rPr>
      </w:pPr>
      <w:r>
        <w:rPr>
          <w:rFonts w:hint="eastAsia" w:hAnsi="宋体" w:cs="宋体"/>
          <w:sz w:val="24"/>
          <w:szCs w:val="24"/>
        </w:rPr>
        <w:t>附：被授权人有效身份证正反面或其他身份证明材料复印　　　　　　　</w:t>
      </w:r>
    </w:p>
    <w:p>
      <w:pPr>
        <w:pStyle w:val="30"/>
        <w:spacing w:line="360" w:lineRule="auto"/>
        <w:jc w:val="both"/>
        <w:rPr>
          <w:rFonts w:hAnsi="宋体" w:eastAsia="宋体" w:cs="宋体"/>
          <w:sz w:val="24"/>
          <w:szCs w:val="24"/>
        </w:rPr>
      </w:pPr>
      <w:r>
        <w:rPr>
          <w:rFonts w:hint="eastAsia" w:hAnsi="宋体" w:eastAsia="宋体" w:cs="宋体"/>
          <w:sz w:val="24"/>
          <w:szCs w:val="24"/>
        </w:rPr>
        <w:t>（单位盖章）：</w:t>
      </w:r>
    </w:p>
    <w:p>
      <w:pPr>
        <w:pStyle w:val="30"/>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30"/>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30"/>
        <w:spacing w:line="360" w:lineRule="auto"/>
        <w:jc w:val="both"/>
        <w:rPr>
          <w:rFonts w:hAnsi="宋体" w:eastAsia="宋体" w:cs="宋体"/>
          <w:sz w:val="24"/>
          <w:szCs w:val="24"/>
        </w:rPr>
      </w:pPr>
      <w:r>
        <w:rPr>
          <w:rFonts w:hint="eastAsia" w:hAnsi="宋体" w:eastAsia="宋体" w:cs="宋体"/>
          <w:sz w:val="24"/>
          <w:szCs w:val="24"/>
        </w:rPr>
        <w:t>日期： 2025年   月  日</w:t>
      </w:r>
    </w:p>
    <w:p>
      <w:pPr>
        <w:rPr>
          <w:rFonts w:ascii="宋体" w:hAnsi="宋体" w:cs="宋体"/>
          <w:sz w:val="24"/>
          <w:lang w:val="zh-CN"/>
        </w:rPr>
      </w:pPr>
      <w:r>
        <w:rPr>
          <w:rFonts w:hint="eastAsia" w:ascii="宋体" w:hAnsi="宋体" w:cs="宋体"/>
          <w:sz w:val="24"/>
          <w:lang w:val="zh-CN"/>
        </w:rPr>
        <w:t>说明：法定代表人亲自办理投标事宜的，无需提交本证明书。</w:t>
      </w:r>
    </w:p>
    <w:tbl>
      <w:tblPr>
        <w:tblStyle w:val="29"/>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530" w:type="dxa"/>
            <w:vAlign w:val="center"/>
          </w:tcPr>
          <w:p>
            <w:pPr>
              <w:pStyle w:val="16"/>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6"/>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9" w:hRule="atLeast"/>
        </w:trPr>
        <w:tc>
          <w:tcPr>
            <w:tcW w:w="4530" w:type="dxa"/>
          </w:tcPr>
          <w:p>
            <w:pPr>
              <w:pStyle w:val="16"/>
              <w:spacing w:line="240" w:lineRule="auto"/>
              <w:ind w:firstLine="0"/>
              <w:jc w:val="center"/>
              <w:rPr>
                <w:rFonts w:ascii="宋体" w:hAnsi="宋体" w:eastAsia="宋体" w:cs="宋体"/>
                <w:color w:val="auto"/>
                <w:sz w:val="24"/>
              </w:rPr>
            </w:pPr>
          </w:p>
        </w:tc>
        <w:tc>
          <w:tcPr>
            <w:tcW w:w="4530" w:type="dxa"/>
          </w:tcPr>
          <w:p>
            <w:pPr>
              <w:pStyle w:val="16"/>
              <w:spacing w:line="240" w:lineRule="auto"/>
              <w:ind w:firstLine="0"/>
              <w:jc w:val="center"/>
              <w:rPr>
                <w:rFonts w:ascii="宋体" w:hAnsi="宋体" w:eastAsia="宋体" w:cs="宋体"/>
                <w:color w:val="auto"/>
                <w:sz w:val="24"/>
              </w:rPr>
            </w:pPr>
          </w:p>
        </w:tc>
      </w:tr>
    </w:tbl>
    <w:p>
      <w:pPr>
        <w:pStyle w:val="9"/>
        <w:ind w:firstLine="480"/>
        <w:rPr>
          <w:rFonts w:ascii="宋体" w:hAnsi="宋体" w:cs="宋体"/>
          <w:sz w:val="24"/>
          <w:szCs w:val="24"/>
          <w:lang w:val="zh-CN"/>
        </w:rPr>
      </w:pPr>
    </w:p>
    <w:p>
      <w:pPr>
        <w:pStyle w:val="9"/>
        <w:ind w:firstLine="480"/>
        <w:rPr>
          <w:rFonts w:ascii="宋体" w:hAnsi="宋体" w:cs="宋体"/>
          <w:sz w:val="24"/>
          <w:szCs w:val="24"/>
          <w:lang w:val="zh-CN"/>
        </w:rPr>
      </w:pPr>
    </w:p>
    <w:p>
      <w:pPr>
        <w:widowControl/>
        <w:jc w:val="left"/>
        <w:rPr>
          <w:rFonts w:ascii="宋体" w:hAnsi="宋体"/>
          <w:sz w:val="32"/>
        </w:rPr>
      </w:pPr>
    </w:p>
    <w:p>
      <w:pPr>
        <w:pStyle w:val="2"/>
        <w:rPr>
          <w:rFonts w:ascii="宋体" w:hAnsi="宋体"/>
          <w:sz w:val="32"/>
        </w:rPr>
      </w:pPr>
    </w:p>
    <w:p>
      <w:pPr>
        <w:rPr>
          <w:rFonts w:ascii="宋体" w:hAnsi="宋体"/>
          <w:sz w:val="32"/>
        </w:rPr>
      </w:pPr>
    </w:p>
    <w:p>
      <w:pPr>
        <w:pStyle w:val="2"/>
      </w:pPr>
    </w:p>
    <w:p/>
    <w:p>
      <w:pPr>
        <w:pStyle w:val="2"/>
      </w:pPr>
    </w:p>
    <w:p>
      <w:pPr>
        <w:widowControl/>
        <w:jc w:val="right"/>
        <w:rPr>
          <w:rFonts w:ascii="宋体" w:hAnsi="宋体" w:cs="宋体"/>
          <w:kern w:val="0"/>
          <w:szCs w:val="21"/>
        </w:rPr>
      </w:pPr>
      <w:r>
        <w:rPr>
          <w:rFonts w:hint="eastAsia" w:ascii="宋体" w:hAnsi="宋体"/>
          <w:sz w:val="32"/>
        </w:rPr>
        <w:t xml:space="preserve">2.3格式3                                        </w:t>
      </w:r>
      <w:r>
        <w:rPr>
          <w:rFonts w:hint="eastAsia" w:ascii="宋体" w:hAnsi="宋体" w:cs="宋体"/>
          <w:kern w:val="0"/>
          <w:szCs w:val="21"/>
        </w:rPr>
        <w:t>编号：TZ4-23</w:t>
      </w:r>
    </w:p>
    <w:p>
      <w:pPr>
        <w:widowControl/>
        <w:jc w:val="left"/>
        <w:rPr>
          <w:rFonts w:ascii="宋体" w:hAnsi="宋体"/>
          <w:sz w:val="32"/>
        </w:rPr>
      </w:pPr>
    </w:p>
    <w:tbl>
      <w:tblPr>
        <w:tblStyle w:val="28"/>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4" w:name="_Hlk33473319"/>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lang w:eastAsia="zh-CN"/>
              </w:rPr>
            </w:pPr>
            <w:r>
              <w:rPr>
                <w:rFonts w:hint="eastAsia" w:ascii="宋体" w:hAnsi="宋体" w:cs="宋体"/>
                <w:kern w:val="0"/>
                <w:sz w:val="28"/>
                <w:szCs w:val="28"/>
              </w:rPr>
              <w:t>项目名称：</w:t>
            </w:r>
            <w:r>
              <w:rPr>
                <w:rFonts w:hint="eastAsia" w:ascii="宋体"/>
                <w:sz w:val="24"/>
                <w:lang w:eastAsia="zh-CN"/>
              </w:rPr>
              <w:t>2025年3#站水泵更新改造工程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 xml:space="preserve">日期：2025年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4"/>
    <w:p>
      <w:pPr>
        <w:pStyle w:val="9"/>
        <w:ind w:firstLine="480"/>
        <w:jc w:val="left"/>
        <w:rPr>
          <w:rFonts w:ascii="宋体" w:hAnsi="宋体" w:cs="宋体"/>
          <w:sz w:val="24"/>
          <w:szCs w:val="24"/>
        </w:rPr>
      </w:pPr>
      <w:r>
        <w:rPr>
          <w:sz w:val="28"/>
          <w:szCs w:val="28"/>
        </w:rPr>
        <w:br w:type="page"/>
      </w:r>
      <w:r>
        <w:rPr>
          <w:rFonts w:hint="eastAsia" w:ascii="宋体" w:hAnsi="宋体" w:cs="宋体"/>
          <w:sz w:val="24"/>
          <w:szCs w:val="24"/>
        </w:rPr>
        <w:t>2.4 投标人未被列入“信用中国”网站(www.creditchina.gov.cn)记录失信被执行人名单,须提供“信用中国”网站(www.creditchina.gov.cn)的信用记录查询结果截图或信用信息报告并打印页面加盖公章。</w:t>
      </w: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sectPr>
          <w:pgSz w:w="11906" w:h="16838"/>
          <w:pgMar w:top="1418" w:right="1418" w:bottom="1418" w:left="1418" w:header="851" w:footer="992" w:gutter="0"/>
          <w:cols w:space="720" w:num="1"/>
          <w:docGrid w:linePitch="312" w:charSpace="0"/>
        </w:sectPr>
      </w:pPr>
    </w:p>
    <w:p>
      <w:pPr>
        <w:pStyle w:val="9"/>
        <w:ind w:firstLine="480"/>
        <w:jc w:val="left"/>
        <w:rPr>
          <w:rFonts w:ascii="宋体" w:hAnsi="宋体" w:cs="宋体"/>
          <w:b/>
          <w:bCs/>
          <w:sz w:val="24"/>
          <w:szCs w:val="24"/>
        </w:rPr>
      </w:pPr>
      <w:r>
        <w:rPr>
          <w:rFonts w:hint="eastAsia" w:ascii="宋体" w:hAnsi="宋体" w:cs="宋体"/>
          <w:sz w:val="24"/>
          <w:szCs w:val="24"/>
        </w:rPr>
        <w:t>2.5</w:t>
      </w:r>
      <w:r>
        <w:rPr>
          <w:rFonts w:hint="eastAsia" w:ascii="宋体" w:hAnsi="宋体" w:cs="宋体"/>
          <w:b/>
          <w:bCs/>
          <w:sz w:val="24"/>
          <w:szCs w:val="24"/>
        </w:rPr>
        <w:t>格式4</w:t>
      </w:r>
    </w:p>
    <w:p>
      <w:pPr>
        <w:pStyle w:val="9"/>
        <w:ind w:firstLine="480"/>
        <w:jc w:val="center"/>
        <w:rPr>
          <w:rFonts w:ascii="宋体" w:hAnsi="宋体" w:cs="宋体"/>
          <w:b/>
          <w:sz w:val="24"/>
          <w:szCs w:val="24"/>
        </w:rPr>
      </w:pPr>
      <w:r>
        <w:rPr>
          <w:rFonts w:hint="eastAsia" w:ascii="宋体" w:hAnsi="宋体" w:cs="宋体"/>
          <w:b/>
          <w:bCs/>
          <w:sz w:val="24"/>
          <w:szCs w:val="24"/>
        </w:rPr>
        <w:t>投标单位</w:t>
      </w:r>
      <w:r>
        <w:rPr>
          <w:rFonts w:hint="eastAsia" w:ascii="宋体" w:hAnsi="宋体" w:cs="宋体"/>
          <w:b/>
          <w:sz w:val="24"/>
          <w:szCs w:val="24"/>
        </w:rPr>
        <w:t>声明函</w:t>
      </w:r>
    </w:p>
    <w:p>
      <w:pPr>
        <w:rPr>
          <w:rFonts w:ascii="宋体" w:hAnsi="宋体" w:cs="宋体"/>
          <w:b/>
          <w:sz w:val="24"/>
        </w:rPr>
      </w:pPr>
    </w:p>
    <w:p>
      <w:pPr>
        <w:rPr>
          <w:rFonts w:ascii="宋体" w:hAnsi="宋体" w:cs="宋体"/>
          <w:b/>
          <w:sz w:val="24"/>
        </w:rPr>
      </w:pPr>
      <w:r>
        <w:rPr>
          <w:rFonts w:hint="eastAsia" w:ascii="宋体" w:hAnsi="宋体" w:cs="宋体"/>
          <w:sz w:val="24"/>
          <w:u w:val="single"/>
        </w:rPr>
        <w:t xml:space="preserve"> 广州城投综合能源投资经营管理有限公司</w:t>
      </w:r>
      <w:r>
        <w:rPr>
          <w:rFonts w:hint="eastAsia" w:ascii="宋体" w:hAnsi="宋体" w:cs="宋体"/>
          <w:b/>
          <w:sz w:val="24"/>
        </w:rPr>
        <w:t>：</w:t>
      </w:r>
    </w:p>
    <w:p>
      <w:pPr>
        <w:spacing w:before="156" w:line="360" w:lineRule="auto"/>
        <w:ind w:firstLine="480" w:firstLineChars="200"/>
        <w:rPr>
          <w:rFonts w:ascii="宋体" w:hAnsi="宋体" w:cs="宋体"/>
          <w:sz w:val="24"/>
        </w:rPr>
      </w:pPr>
      <w:r>
        <w:rPr>
          <w:rFonts w:hint="eastAsia" w:ascii="宋体" w:hAnsi="宋体" w:cs="宋体"/>
          <w:sz w:val="24"/>
        </w:rPr>
        <w:t>关于贵公司</w:t>
      </w:r>
      <w:r>
        <w:rPr>
          <w:rFonts w:hint="eastAsia" w:ascii="宋体" w:hAnsi="宋体" w:cs="宋体"/>
          <w:sz w:val="24"/>
          <w:lang w:eastAsia="zh-CN"/>
        </w:rPr>
        <w:t>2025年3#站水泵更新改造工程</w:t>
      </w:r>
      <w:r>
        <w:rPr>
          <w:rFonts w:hint="eastAsia" w:ascii="宋体" w:hAnsi="宋体" w:cs="宋体"/>
          <w:sz w:val="24"/>
        </w:rPr>
        <w:t>采购项目，我公司（企业）愿意参加竞选，并声明：</w:t>
      </w:r>
    </w:p>
    <w:p>
      <w:pPr>
        <w:spacing w:line="360" w:lineRule="auto"/>
        <w:ind w:firstLine="480" w:firstLineChars="200"/>
        <w:rPr>
          <w:rFonts w:ascii="宋体" w:hAnsi="宋体" w:cs="宋体"/>
          <w:sz w:val="24"/>
        </w:rPr>
      </w:pPr>
      <w:r>
        <w:rPr>
          <w:rFonts w:hint="eastAsia" w:ascii="宋体" w:hAnsi="宋体" w:cs="宋体"/>
          <w:sz w:val="24"/>
        </w:rPr>
        <w:t>我方承诺在本次采购活动中不存在以下情况：（1）处于被责令停业或破产状态；（2）资产被重组、接管和冻结；（3）在投标活动中3年内有重大违法活动和涉嫌违规行为。</w:t>
      </w:r>
    </w:p>
    <w:p>
      <w:pPr>
        <w:spacing w:line="360" w:lineRule="auto"/>
        <w:ind w:firstLine="480" w:firstLineChars="200"/>
        <w:rPr>
          <w:rFonts w:ascii="宋体" w:hAnsi="宋体" w:cs="宋体"/>
          <w:sz w:val="24"/>
        </w:rPr>
      </w:pPr>
      <w:r>
        <w:rPr>
          <w:rFonts w:hint="eastAsia" w:ascii="宋体" w:hAnsi="宋体" w:cs="宋体"/>
          <w:sz w:val="24"/>
        </w:rPr>
        <w:t>我方承诺在本次采购活动中，如有违法、违规、弄虚作假行为，所造成的损失、不良后果及法律责任，一律由我公司（企业）承担。</w:t>
      </w:r>
    </w:p>
    <w:p>
      <w:pPr>
        <w:spacing w:line="360" w:lineRule="auto"/>
        <w:ind w:firstLine="480" w:firstLineChars="200"/>
        <w:rPr>
          <w:rFonts w:ascii="宋体" w:hAnsi="宋体" w:cs="宋体"/>
          <w:sz w:val="24"/>
        </w:rPr>
      </w:pPr>
      <w:r>
        <w:rPr>
          <w:rFonts w:hint="eastAsia" w:ascii="宋体" w:hAnsi="宋体" w:cs="宋体"/>
          <w:sz w:val="24"/>
        </w:rPr>
        <w:t>特此声明！</w:t>
      </w:r>
    </w:p>
    <w:p>
      <w:pPr>
        <w:spacing w:line="360" w:lineRule="auto"/>
        <w:rPr>
          <w:rFonts w:ascii="宋体" w:hAnsi="宋体" w:cs="宋体"/>
          <w:b/>
          <w:sz w:val="24"/>
        </w:rPr>
      </w:pPr>
      <w:r>
        <w:rPr>
          <w:rFonts w:hint="eastAsia" w:ascii="宋体" w:hAnsi="宋体" w:cs="宋体"/>
          <w:b/>
          <w:sz w:val="24"/>
        </w:rPr>
        <w:t>备注：1.本声明函必须提供且内容不得擅自删改，否则视为无效报价。</w:t>
      </w:r>
    </w:p>
    <w:p>
      <w:pPr>
        <w:spacing w:line="360" w:lineRule="auto"/>
        <w:ind w:firstLine="723" w:firstLineChars="300"/>
        <w:rPr>
          <w:rFonts w:ascii="宋体" w:hAnsi="宋体" w:cs="宋体"/>
          <w:sz w:val="24"/>
        </w:rPr>
      </w:pPr>
      <w:r>
        <w:rPr>
          <w:rFonts w:hint="eastAsia" w:ascii="宋体" w:hAnsi="宋体" w:cs="宋体"/>
          <w:b/>
          <w:sz w:val="24"/>
        </w:rPr>
        <w:t>2.本声明函如有虚假或与事实不符的，作无效报价处理。</w:t>
      </w:r>
    </w:p>
    <w:p>
      <w:pPr>
        <w:spacing w:line="360" w:lineRule="auto"/>
        <w:ind w:firstLine="420"/>
        <w:rPr>
          <w:rFonts w:ascii="宋体" w:hAnsi="宋体" w:cs="宋体"/>
          <w:sz w:val="24"/>
        </w:rPr>
      </w:pPr>
    </w:p>
    <w:p>
      <w:pPr>
        <w:spacing w:line="360" w:lineRule="auto"/>
        <w:ind w:firstLine="420"/>
        <w:rPr>
          <w:rFonts w:ascii="宋体" w:hAnsi="宋体" w:cs="宋体"/>
          <w:sz w:val="24"/>
        </w:rPr>
      </w:pPr>
    </w:p>
    <w:p>
      <w:pPr>
        <w:spacing w:line="360" w:lineRule="auto"/>
        <w:rPr>
          <w:rFonts w:ascii="宋体" w:hAnsi="宋体" w:cs="宋体"/>
          <w:sz w:val="24"/>
        </w:rPr>
      </w:pPr>
      <w:r>
        <w:rPr>
          <w:rFonts w:hint="eastAsia" w:ascii="宋体" w:hAnsi="宋体" w:cs="宋体"/>
          <w:sz w:val="24"/>
        </w:rPr>
        <w:t>投标人名称（盖公章）：</w:t>
      </w:r>
    </w:p>
    <w:p>
      <w:pPr>
        <w:rPr>
          <w:rFonts w:ascii="宋体" w:hAnsi="宋体" w:cs="宋体"/>
          <w:sz w:val="24"/>
        </w:rPr>
      </w:pPr>
      <w:r>
        <w:rPr>
          <w:rFonts w:hint="eastAsia" w:ascii="宋体" w:hAnsi="宋体" w:cs="宋体"/>
          <w:sz w:val="24"/>
        </w:rPr>
        <w:t>日期：</w:t>
      </w:r>
    </w:p>
    <w:p>
      <w:pPr>
        <w:ind w:firstLine="480"/>
        <w:jc w:val="left"/>
        <w:rPr>
          <w:rFonts w:ascii="宋体" w:hAnsi="宋体" w:cs="宋体"/>
          <w:sz w:val="24"/>
        </w:rPr>
      </w:pPr>
      <w:r>
        <w:rPr>
          <w:rFonts w:hint="eastAsia" w:ascii="宋体" w:hAnsi="宋体" w:cs="宋体"/>
          <w:sz w:val="24"/>
        </w:rPr>
        <w:br w:type="page"/>
      </w:r>
    </w:p>
    <w:p>
      <w:pPr>
        <w:rPr>
          <w:rFonts w:ascii="宋体" w:hAnsi="宋体" w:cs="宋体"/>
          <w:b/>
          <w:bCs/>
          <w:sz w:val="24"/>
        </w:rPr>
      </w:pPr>
      <w:r>
        <w:rPr>
          <w:rFonts w:hint="eastAsia" w:ascii="宋体" w:hAnsi="宋体" w:cs="宋体"/>
          <w:b/>
          <w:bCs/>
          <w:sz w:val="24"/>
        </w:rPr>
        <w:t>2.6   格式5.拟投入本项目的项目负责人情况表</w:t>
      </w:r>
    </w:p>
    <w:p>
      <w:pPr>
        <w:jc w:val="center"/>
        <w:rPr>
          <w:rFonts w:ascii="宋体" w:hAnsi="宋体" w:cs="宋体"/>
          <w:b/>
          <w:sz w:val="24"/>
        </w:rPr>
      </w:pPr>
      <w:r>
        <w:rPr>
          <w:rFonts w:hint="eastAsia" w:ascii="宋体" w:hAnsi="宋体" w:cs="宋体"/>
          <w:b/>
          <w:sz w:val="24"/>
        </w:rPr>
        <w:t>拟投入本项目的项目负责人情况表</w:t>
      </w:r>
    </w:p>
    <w:tbl>
      <w:tblPr>
        <w:tblStyle w:val="28"/>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jc w:val="center"/>
              <w:rPr>
                <w:rFonts w:ascii="宋体" w:hAnsi="宋体" w:cs="宋体"/>
                <w:bCs/>
                <w:sz w:val="24"/>
              </w:rPr>
            </w:pPr>
            <w:r>
              <w:rPr>
                <w:rFonts w:hint="eastAsia" w:ascii="宋体" w:hAnsi="宋体" w:cs="宋体"/>
                <w:bCs/>
                <w:sz w:val="24"/>
              </w:rPr>
              <w:t>姓名</w:t>
            </w:r>
          </w:p>
        </w:tc>
        <w:tc>
          <w:tcPr>
            <w:tcW w:w="1497" w:type="dxa"/>
            <w:gridSpan w:val="2"/>
            <w:vAlign w:val="center"/>
          </w:tcPr>
          <w:p>
            <w:pPr>
              <w:jc w:val="center"/>
              <w:rPr>
                <w:rFonts w:ascii="宋体" w:hAnsi="宋体" w:cs="宋体"/>
                <w:bCs/>
                <w:sz w:val="24"/>
              </w:rPr>
            </w:pPr>
          </w:p>
        </w:tc>
        <w:tc>
          <w:tcPr>
            <w:tcW w:w="1613" w:type="dxa"/>
            <w:gridSpan w:val="2"/>
            <w:vAlign w:val="center"/>
          </w:tcPr>
          <w:p>
            <w:pPr>
              <w:jc w:val="center"/>
              <w:rPr>
                <w:rFonts w:ascii="宋体" w:hAnsi="宋体" w:cs="宋体"/>
                <w:bCs/>
                <w:sz w:val="24"/>
              </w:rPr>
            </w:pPr>
            <w:r>
              <w:rPr>
                <w:rFonts w:hint="eastAsia" w:ascii="宋体" w:hAnsi="宋体" w:cs="宋体"/>
                <w:bCs/>
                <w:sz w:val="24"/>
              </w:rPr>
              <w:t>出生年月</w:t>
            </w:r>
          </w:p>
        </w:tc>
        <w:tc>
          <w:tcPr>
            <w:tcW w:w="1337" w:type="dxa"/>
            <w:gridSpan w:val="2"/>
            <w:vAlign w:val="center"/>
          </w:tcPr>
          <w:p>
            <w:pPr>
              <w:jc w:val="center"/>
              <w:rPr>
                <w:rFonts w:ascii="宋体" w:hAnsi="宋体" w:cs="宋体"/>
                <w:bCs/>
                <w:sz w:val="24"/>
              </w:rPr>
            </w:pPr>
          </w:p>
        </w:tc>
        <w:tc>
          <w:tcPr>
            <w:tcW w:w="2198" w:type="dxa"/>
            <w:gridSpan w:val="2"/>
            <w:vAlign w:val="center"/>
          </w:tcPr>
          <w:p>
            <w:pPr>
              <w:jc w:val="center"/>
              <w:rPr>
                <w:rFonts w:ascii="宋体" w:hAnsi="宋体" w:cs="宋体"/>
                <w:bCs/>
                <w:sz w:val="24"/>
              </w:rPr>
            </w:pPr>
            <w:r>
              <w:rPr>
                <w:rFonts w:hint="eastAsia" w:ascii="宋体" w:hAnsi="宋体" w:cs="宋体"/>
                <w:bCs/>
                <w:sz w:val="24"/>
              </w:rPr>
              <w:t>学历</w:t>
            </w:r>
          </w:p>
        </w:tc>
        <w:tc>
          <w:tcPr>
            <w:tcW w:w="1351" w:type="dxa"/>
            <w:vAlign w:val="center"/>
          </w:tcPr>
          <w:p>
            <w:pPr>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sz w:val="24"/>
              </w:rPr>
            </w:pPr>
            <w:r>
              <w:rPr>
                <w:rFonts w:hint="eastAsia" w:ascii="宋体" w:hAnsi="宋体" w:cs="宋体"/>
                <w:bCs/>
                <w:sz w:val="24"/>
              </w:rPr>
              <w:t>职称</w:t>
            </w:r>
          </w:p>
        </w:tc>
        <w:tc>
          <w:tcPr>
            <w:tcW w:w="1497" w:type="dxa"/>
            <w:gridSpan w:val="2"/>
            <w:vAlign w:val="center"/>
          </w:tcPr>
          <w:p>
            <w:pPr>
              <w:spacing w:line="360" w:lineRule="exact"/>
              <w:jc w:val="center"/>
              <w:rPr>
                <w:rFonts w:ascii="宋体" w:hAnsi="宋体" w:cs="宋体"/>
                <w:bCs/>
                <w:sz w:val="24"/>
              </w:rPr>
            </w:pPr>
          </w:p>
        </w:tc>
        <w:tc>
          <w:tcPr>
            <w:tcW w:w="1613" w:type="dxa"/>
            <w:gridSpan w:val="2"/>
            <w:vAlign w:val="center"/>
          </w:tcPr>
          <w:p>
            <w:pPr>
              <w:spacing w:line="360" w:lineRule="exact"/>
              <w:jc w:val="center"/>
              <w:rPr>
                <w:rFonts w:ascii="宋体" w:hAnsi="宋体" w:cs="宋体"/>
                <w:bCs/>
                <w:sz w:val="24"/>
              </w:rPr>
            </w:pPr>
            <w:r>
              <w:rPr>
                <w:rFonts w:hint="eastAsia" w:ascii="宋体" w:hAnsi="宋体" w:cs="宋体"/>
                <w:bCs/>
                <w:sz w:val="24"/>
              </w:rPr>
              <w:t>职务</w:t>
            </w:r>
          </w:p>
        </w:tc>
        <w:tc>
          <w:tcPr>
            <w:tcW w:w="1337" w:type="dxa"/>
            <w:gridSpan w:val="2"/>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从事本工作时间</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sz w:val="24"/>
              </w:rPr>
            </w:pPr>
            <w:r>
              <w:rPr>
                <w:rFonts w:hint="eastAsia" w:ascii="宋体" w:hAnsi="宋体" w:cs="宋体"/>
                <w:bCs/>
                <w:sz w:val="24"/>
              </w:rPr>
              <w:t>毕业院校</w:t>
            </w:r>
          </w:p>
        </w:tc>
        <w:tc>
          <w:tcPr>
            <w:tcW w:w="1497" w:type="dxa"/>
            <w:gridSpan w:val="2"/>
            <w:vAlign w:val="center"/>
          </w:tcPr>
          <w:p>
            <w:pPr>
              <w:spacing w:line="360" w:lineRule="exact"/>
              <w:jc w:val="center"/>
              <w:rPr>
                <w:rFonts w:ascii="宋体" w:hAnsi="宋体" w:cs="宋体"/>
                <w:bCs/>
                <w:sz w:val="24"/>
              </w:rPr>
            </w:pPr>
          </w:p>
        </w:tc>
        <w:tc>
          <w:tcPr>
            <w:tcW w:w="1613" w:type="dxa"/>
            <w:gridSpan w:val="2"/>
            <w:vAlign w:val="center"/>
          </w:tcPr>
          <w:p>
            <w:pPr>
              <w:spacing w:line="360" w:lineRule="exact"/>
              <w:jc w:val="center"/>
              <w:rPr>
                <w:rFonts w:ascii="宋体" w:hAnsi="宋体" w:cs="宋体"/>
                <w:bCs/>
                <w:sz w:val="24"/>
              </w:rPr>
            </w:pPr>
            <w:r>
              <w:rPr>
                <w:rFonts w:hint="eastAsia" w:ascii="宋体" w:hAnsi="宋体" w:cs="宋体"/>
                <w:bCs/>
                <w:sz w:val="24"/>
              </w:rPr>
              <w:t>毕业时间</w:t>
            </w:r>
          </w:p>
        </w:tc>
        <w:tc>
          <w:tcPr>
            <w:tcW w:w="1337" w:type="dxa"/>
            <w:gridSpan w:val="2"/>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专业</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spacing w:line="360" w:lineRule="exact"/>
              <w:jc w:val="center"/>
              <w:rPr>
                <w:rFonts w:ascii="宋体" w:hAnsi="宋体" w:cs="宋体"/>
                <w:bCs/>
                <w:sz w:val="24"/>
              </w:rPr>
            </w:pPr>
            <w:r>
              <w:rPr>
                <w:rFonts w:hint="eastAsia" w:ascii="宋体" w:hAnsi="宋体" w:cs="宋体"/>
                <w:bCs/>
                <w:sz w:val="24"/>
              </w:rPr>
              <w:t>注册证书等级</w:t>
            </w:r>
          </w:p>
          <w:p>
            <w:pPr>
              <w:spacing w:line="360" w:lineRule="exact"/>
              <w:jc w:val="center"/>
              <w:rPr>
                <w:rFonts w:ascii="宋体" w:hAnsi="宋体" w:cs="宋体"/>
                <w:bCs/>
                <w:sz w:val="24"/>
              </w:rPr>
            </w:pPr>
            <w:r>
              <w:rPr>
                <w:rFonts w:hint="eastAsia" w:ascii="宋体" w:hAnsi="宋体" w:cs="宋体"/>
                <w:bCs/>
                <w:sz w:val="24"/>
              </w:rPr>
              <w:t>和专业</w:t>
            </w:r>
          </w:p>
        </w:tc>
        <w:tc>
          <w:tcPr>
            <w:tcW w:w="2950" w:type="dxa"/>
            <w:gridSpan w:val="4"/>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证书编号</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jc w:val="center"/>
              <w:rPr>
                <w:rFonts w:ascii="宋体" w:hAnsi="宋体" w:cs="宋体"/>
                <w:bCs/>
                <w:sz w:val="24"/>
              </w:rPr>
            </w:pPr>
            <w:r>
              <w:rPr>
                <w:rFonts w:hint="eastAsia" w:ascii="宋体" w:hAnsi="宋体" w:cs="宋体"/>
                <w:bCs/>
                <w:sz w:val="24"/>
              </w:rPr>
              <w:t>职称证专业</w:t>
            </w:r>
          </w:p>
        </w:tc>
        <w:tc>
          <w:tcPr>
            <w:tcW w:w="2950" w:type="dxa"/>
            <w:gridSpan w:val="4"/>
            <w:vAlign w:val="center"/>
          </w:tcPr>
          <w:p>
            <w:pPr>
              <w:jc w:val="center"/>
              <w:rPr>
                <w:rFonts w:ascii="宋体" w:hAnsi="宋体" w:cs="宋体"/>
                <w:bCs/>
                <w:sz w:val="24"/>
              </w:rPr>
            </w:pPr>
          </w:p>
        </w:tc>
        <w:tc>
          <w:tcPr>
            <w:tcW w:w="2198" w:type="dxa"/>
            <w:gridSpan w:val="2"/>
            <w:vAlign w:val="center"/>
          </w:tcPr>
          <w:p>
            <w:pPr>
              <w:jc w:val="center"/>
              <w:rPr>
                <w:rFonts w:ascii="宋体" w:hAnsi="宋体" w:cs="宋体"/>
                <w:bCs/>
                <w:sz w:val="24"/>
              </w:rPr>
            </w:pPr>
            <w:r>
              <w:rPr>
                <w:rFonts w:hint="eastAsia" w:ascii="宋体" w:hAnsi="宋体" w:cs="宋体"/>
                <w:bCs/>
                <w:sz w:val="24"/>
              </w:rPr>
              <w:t>证书编号</w:t>
            </w:r>
          </w:p>
        </w:tc>
        <w:tc>
          <w:tcPr>
            <w:tcW w:w="1351" w:type="dxa"/>
            <w:vAlign w:val="center"/>
          </w:tcPr>
          <w:p>
            <w:pPr>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57" w:type="dxa"/>
            <w:gridSpan w:val="10"/>
          </w:tcPr>
          <w:p>
            <w:pPr>
              <w:jc w:val="center"/>
              <w:rPr>
                <w:rFonts w:ascii="宋体" w:hAnsi="宋体" w:cs="宋体"/>
                <w:bCs/>
                <w:sz w:val="24"/>
              </w:rPr>
            </w:pPr>
            <w:r>
              <w:rPr>
                <w:rFonts w:hint="eastAsia" w:ascii="宋体" w:hAnsi="宋体" w:cs="宋体"/>
                <w:bCs/>
                <w:sz w:val="24"/>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vAlign w:val="center"/>
          </w:tcPr>
          <w:p>
            <w:pPr>
              <w:jc w:val="center"/>
              <w:rPr>
                <w:rFonts w:ascii="宋体" w:hAnsi="宋体" w:cs="宋体"/>
                <w:bCs/>
                <w:sz w:val="24"/>
              </w:rPr>
            </w:pPr>
            <w:r>
              <w:rPr>
                <w:rFonts w:hint="eastAsia" w:ascii="宋体" w:hAnsi="宋体" w:cs="宋体"/>
                <w:bCs/>
                <w:sz w:val="24"/>
              </w:rPr>
              <w:t>项目名称</w:t>
            </w:r>
          </w:p>
        </w:tc>
        <w:tc>
          <w:tcPr>
            <w:tcW w:w="1993" w:type="dxa"/>
            <w:gridSpan w:val="2"/>
            <w:vAlign w:val="center"/>
          </w:tcPr>
          <w:p>
            <w:pPr>
              <w:jc w:val="center"/>
              <w:rPr>
                <w:rFonts w:ascii="宋体" w:hAnsi="宋体" w:cs="宋体"/>
                <w:bCs/>
                <w:sz w:val="24"/>
              </w:rPr>
            </w:pPr>
            <w:r>
              <w:rPr>
                <w:rFonts w:hint="eastAsia" w:ascii="宋体" w:hAnsi="宋体" w:cs="宋体"/>
                <w:bCs/>
                <w:sz w:val="24"/>
              </w:rPr>
              <w:t>合同金额</w:t>
            </w:r>
          </w:p>
        </w:tc>
        <w:tc>
          <w:tcPr>
            <w:tcW w:w="1993" w:type="dxa"/>
            <w:gridSpan w:val="2"/>
            <w:vAlign w:val="center"/>
          </w:tcPr>
          <w:p>
            <w:pPr>
              <w:jc w:val="center"/>
              <w:rPr>
                <w:rFonts w:ascii="宋体" w:hAnsi="宋体" w:cs="宋体"/>
                <w:bCs/>
                <w:sz w:val="24"/>
              </w:rPr>
            </w:pPr>
            <w:r>
              <w:rPr>
                <w:rFonts w:hint="eastAsia" w:ascii="宋体" w:hAnsi="宋体" w:cs="宋体"/>
                <w:bCs/>
                <w:sz w:val="24"/>
              </w:rPr>
              <w:t>开、竣工时间</w:t>
            </w:r>
          </w:p>
        </w:tc>
        <w:tc>
          <w:tcPr>
            <w:tcW w:w="1993" w:type="dxa"/>
            <w:gridSpan w:val="2"/>
            <w:vAlign w:val="center"/>
          </w:tcPr>
          <w:p>
            <w:pPr>
              <w:jc w:val="center"/>
              <w:rPr>
                <w:rFonts w:ascii="宋体" w:hAnsi="宋体" w:cs="宋体"/>
                <w:bCs/>
                <w:sz w:val="24"/>
              </w:rPr>
            </w:pPr>
            <w:r>
              <w:rPr>
                <w:rFonts w:hint="eastAsia" w:ascii="宋体" w:hAnsi="宋体" w:cs="宋体"/>
                <w:bCs/>
                <w:sz w:val="24"/>
              </w:rPr>
              <w:t>担任职务</w:t>
            </w:r>
          </w:p>
        </w:tc>
        <w:tc>
          <w:tcPr>
            <w:tcW w:w="1685" w:type="dxa"/>
            <w:gridSpan w:val="2"/>
            <w:vAlign w:val="center"/>
          </w:tcPr>
          <w:p>
            <w:pPr>
              <w:jc w:val="center"/>
              <w:rPr>
                <w:rFonts w:ascii="宋体" w:hAnsi="宋体" w:cs="宋体"/>
                <w:bCs/>
                <w:sz w:val="24"/>
              </w:rPr>
            </w:pPr>
            <w:r>
              <w:rPr>
                <w:rFonts w:hint="eastAsia" w:ascii="宋体" w:hAnsi="宋体" w:cs="宋体"/>
                <w:bCs/>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bl>
    <w:p>
      <w:pPr>
        <w:pStyle w:val="16"/>
        <w:rPr>
          <w:rFonts w:ascii="宋体" w:hAnsi="宋体" w:eastAsia="宋体" w:cs="宋体"/>
          <w:color w:val="auto"/>
          <w:sz w:val="24"/>
        </w:rPr>
      </w:pPr>
    </w:p>
    <w:p>
      <w:pPr>
        <w:pStyle w:val="16"/>
        <w:rPr>
          <w:rFonts w:ascii="宋体" w:hAnsi="宋体" w:eastAsia="宋体" w:cs="宋体"/>
          <w:color w:val="auto"/>
          <w:sz w:val="24"/>
        </w:rPr>
      </w:pPr>
    </w:p>
    <w:p>
      <w:pPr>
        <w:adjustRightInd w:val="0"/>
        <w:snapToGrid w:val="0"/>
        <w:spacing w:line="360" w:lineRule="auto"/>
        <w:jc w:val="right"/>
        <w:rPr>
          <w:rFonts w:ascii="宋体" w:hAnsi="宋体" w:cs="宋体"/>
          <w:sz w:val="24"/>
          <w:lang w:val="en-GB"/>
        </w:rPr>
      </w:pPr>
      <w:r>
        <w:rPr>
          <w:rFonts w:hint="eastAsia" w:ascii="宋体" w:hAnsi="宋体" w:cs="宋体"/>
          <w:sz w:val="24"/>
          <w:lang w:val="en-GB"/>
        </w:rPr>
        <w:t xml:space="preserve">供应商名称（加盖公章）： </w:t>
      </w:r>
    </w:p>
    <w:p>
      <w:pPr>
        <w:adjustRightInd w:val="0"/>
        <w:snapToGrid w:val="0"/>
        <w:spacing w:line="360" w:lineRule="auto"/>
        <w:jc w:val="right"/>
        <w:rPr>
          <w:rFonts w:ascii="宋体" w:hAnsi="宋体" w:cs="宋体"/>
          <w:sz w:val="24"/>
          <w:lang w:val="en-GB"/>
        </w:rPr>
      </w:pPr>
      <w:r>
        <w:rPr>
          <w:rFonts w:hint="eastAsia" w:ascii="宋体" w:hAnsi="宋体" w:cs="宋体"/>
          <w:sz w:val="24"/>
          <w:lang w:val="en-GB"/>
        </w:rPr>
        <w:t>年  月  日</w:t>
      </w:r>
    </w:p>
    <w:p>
      <w:pPr>
        <w:pStyle w:val="2"/>
        <w:sectPr>
          <w:pgSz w:w="11906" w:h="16838"/>
          <w:pgMar w:top="1418" w:right="1418" w:bottom="1418" w:left="1418" w:header="851" w:footer="992" w:gutter="0"/>
          <w:cols w:space="720" w:num="1"/>
          <w:docGrid w:linePitch="312" w:charSpace="0"/>
        </w:sectPr>
      </w:pPr>
    </w:p>
    <w:p>
      <w:pPr>
        <w:rPr>
          <w:rFonts w:hint="eastAsia" w:ascii="宋体" w:hAnsi="宋体" w:cs="Arial"/>
          <w:color w:val="000000"/>
          <w:sz w:val="24"/>
        </w:rPr>
        <w:sectPr>
          <w:pgSz w:w="11906" w:h="16838"/>
          <w:pgMar w:top="1418" w:right="1418" w:bottom="1418" w:left="1418" w:header="851" w:footer="992" w:gutter="0"/>
          <w:cols w:space="720" w:num="1"/>
          <w:docGrid w:linePitch="312" w:charSpace="0"/>
        </w:sectPr>
      </w:pPr>
      <w:r>
        <w:rPr>
          <w:rFonts w:hint="eastAsia"/>
          <w:sz w:val="24"/>
        </w:rPr>
        <w:t>2.</w:t>
      </w:r>
      <w:r>
        <w:rPr>
          <w:sz w:val="24"/>
        </w:rPr>
        <w:t>7</w:t>
      </w:r>
      <w:r>
        <w:rPr>
          <w:rFonts w:hint="eastAsia"/>
          <w:sz w:val="24"/>
        </w:rPr>
        <w:t>.类似项目业绩复印件：</w:t>
      </w:r>
      <w:r>
        <w:rPr>
          <w:rFonts w:hint="eastAsia" w:ascii="宋体" w:hAnsi="宋体" w:cs="Arial"/>
          <w:color w:val="000000"/>
          <w:sz w:val="24"/>
        </w:rPr>
        <w:t>近3年内(2022年1月1日至今) 完成过完成过质量合格的类似项目业绩（需提供合同等相关证明材料复印件</w:t>
      </w:r>
      <w:r>
        <w:rPr>
          <w:rFonts w:hint="eastAsia" w:ascii="宋体" w:hAnsi="宋体" w:cs="Arial"/>
          <w:color w:val="000000"/>
          <w:sz w:val="24"/>
          <w:lang w:eastAsia="zh-CN"/>
        </w:rPr>
        <w:t>）。</w:t>
      </w:r>
    </w:p>
    <w:p>
      <w:pPr>
        <w:pStyle w:val="2"/>
        <w:rPr>
          <w:rFonts w:ascii="宋体" w:hAnsi="宋体" w:cs="Arial"/>
          <w:color w:val="000000"/>
          <w:sz w:val="24"/>
        </w:rPr>
      </w:pPr>
      <w:r>
        <w:rPr>
          <w:rFonts w:hint="eastAsia"/>
        </w:rPr>
        <w:t>2.8</w:t>
      </w:r>
      <w:r>
        <w:rPr>
          <w:rFonts w:hint="eastAsia" w:ascii="宋体" w:hAnsi="宋体" w:cs="Arial"/>
          <w:color w:val="000000"/>
          <w:sz w:val="24"/>
        </w:rPr>
        <w:t>有效的安全生产许可证及资质证书（</w:t>
      </w:r>
      <w:r>
        <w:rPr>
          <w:rFonts w:hint="eastAsia" w:ascii="宋体" w:hAnsi="宋体" w:cs="宋体"/>
          <w:szCs w:val="21"/>
        </w:rPr>
        <w:t>具有</w:t>
      </w:r>
      <w:r>
        <w:rPr>
          <w:rFonts w:hint="eastAsia" w:ascii="宋体" w:hAnsi="宋体" w:cs="宋体"/>
          <w:bCs/>
          <w:szCs w:val="21"/>
        </w:rPr>
        <w:t>有效期内</w:t>
      </w:r>
      <w:r>
        <w:rPr>
          <w:rFonts w:hint="eastAsia" w:ascii="宋体" w:hAnsi="宋体" w:cs="宋体"/>
          <w:szCs w:val="21"/>
        </w:rPr>
        <w:t>机电工程施工总承包叁级及以上资质；或具有</w:t>
      </w:r>
      <w:r>
        <w:rPr>
          <w:rFonts w:hint="eastAsia" w:ascii="宋体" w:hAnsi="宋体" w:cs="宋体"/>
          <w:bCs/>
          <w:szCs w:val="21"/>
        </w:rPr>
        <w:t>有效期内</w:t>
      </w:r>
      <w:r>
        <w:rPr>
          <w:rFonts w:hint="eastAsia" w:ascii="宋体" w:hAnsi="宋体" w:cs="宋体"/>
          <w:szCs w:val="21"/>
        </w:rPr>
        <w:t>建筑机电安装工程专业承包叁级及以上资质，</w:t>
      </w:r>
      <w:r>
        <w:rPr>
          <w:rFonts w:hint="eastAsia" w:ascii="宋体" w:hAnsi="宋体" w:cs="宋体"/>
          <w:b/>
          <w:bCs/>
          <w:szCs w:val="21"/>
        </w:rPr>
        <w:t>及</w:t>
      </w:r>
      <w:r>
        <w:rPr>
          <w:rFonts w:hint="eastAsia" w:ascii="宋体" w:hAnsi="宋体" w:cs="宋体"/>
          <w:b/>
          <w:bCs/>
          <w:szCs w:val="21"/>
          <w:lang w:val="en-US" w:eastAsia="zh-CN"/>
        </w:rPr>
        <w:t>有效期内</w:t>
      </w:r>
      <w:r>
        <w:rPr>
          <w:rFonts w:hint="eastAsia" w:ascii="宋体" w:hAnsi="宋体" w:cs="宋体"/>
          <w:b/>
          <w:bCs/>
          <w:szCs w:val="21"/>
        </w:rPr>
        <w:t>安全生产许可证</w:t>
      </w:r>
      <w:r>
        <w:rPr>
          <w:rFonts w:hint="eastAsia" w:ascii="宋体" w:hAnsi="宋体" w:cs="宋体"/>
          <w:szCs w:val="21"/>
        </w:rPr>
        <w:t>；</w:t>
      </w:r>
      <w:r>
        <w:rPr>
          <w:rFonts w:hint="eastAsia" w:ascii="宋体" w:hAnsi="宋体" w:cs="Arial"/>
          <w:color w:val="000000"/>
          <w:sz w:val="24"/>
        </w:rPr>
        <w:t>）</w:t>
      </w: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r>
        <w:rPr>
          <w:rFonts w:hint="eastAsia" w:ascii="宋体" w:hAnsi="宋体" w:cs="Arial"/>
          <w:color w:val="000000"/>
          <w:sz w:val="24"/>
        </w:rPr>
        <w:t>2.9专职安全员有效的安全生产考核合格证</w:t>
      </w: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pStyle w:val="5"/>
        <w:kinsoku/>
        <w:overflowPunct/>
        <w:bidi w:val="0"/>
        <w:spacing w:before="0" w:after="0" w:line="360" w:lineRule="auto"/>
        <w:textAlignment w:val="auto"/>
        <w:rPr>
          <w:rFonts w:hint="eastAsia" w:ascii="宋体" w:hAnsi="宋体" w:cs="Arial"/>
          <w:color w:val="000000"/>
          <w:sz w:val="24"/>
        </w:rPr>
      </w:pPr>
    </w:p>
    <w:p>
      <w:pPr>
        <w:pStyle w:val="5"/>
        <w:kinsoku/>
        <w:overflowPunct/>
        <w:bidi w:val="0"/>
        <w:spacing w:before="0" w:after="0" w:line="360" w:lineRule="auto"/>
        <w:textAlignment w:val="auto"/>
        <w:rPr>
          <w:rFonts w:hint="eastAsia" w:eastAsia="宋体"/>
          <w:color w:val="auto"/>
          <w:highlight w:val="none"/>
          <w:lang w:eastAsia="zh-CN"/>
        </w:rPr>
      </w:pPr>
      <w:r>
        <w:rPr>
          <w:rFonts w:hint="eastAsia" w:ascii="宋体" w:hAnsi="宋体" w:cs="Arial"/>
          <w:color w:val="000000"/>
          <w:sz w:val="24"/>
        </w:rPr>
        <w:t xml:space="preserve">2.10 </w:t>
      </w:r>
      <w:r>
        <w:rPr>
          <w:rFonts w:hint="eastAsia" w:ascii="宋体" w:hAnsi="宋体" w:cs="Arial"/>
          <w:color w:val="000000"/>
          <w:sz w:val="24"/>
          <w:lang w:val="en-US" w:eastAsia="zh-CN"/>
        </w:rPr>
        <w:t xml:space="preserve">格式6 </w:t>
      </w:r>
      <w:r>
        <w:rPr>
          <w:rFonts w:hint="eastAsia" w:ascii="宋体" w:hAnsi="宋体" w:cs="宋体"/>
          <w:b/>
          <w:bCs/>
          <w:color w:val="auto"/>
          <w:kern w:val="0"/>
          <w:sz w:val="21"/>
          <w:szCs w:val="21"/>
          <w:highlight w:val="none"/>
          <w:u w:val="single"/>
          <w:shd w:val="clear" w:color="auto" w:fill="FFFFFF"/>
          <w:lang w:val="en-US" w:eastAsia="zh-CN" w:bidi="ar"/>
        </w:rPr>
        <w:t>投标</w:t>
      </w:r>
      <w:r>
        <w:rPr>
          <w:rFonts w:hint="eastAsia" w:ascii="宋体" w:hAnsi="宋体" w:cs="宋体"/>
          <w:b/>
          <w:bCs/>
          <w:color w:val="auto"/>
          <w:kern w:val="0"/>
          <w:sz w:val="21"/>
          <w:szCs w:val="21"/>
          <w:highlight w:val="none"/>
          <w:u w:val="single"/>
          <w:shd w:val="clear" w:color="auto" w:fill="FFFFFF"/>
          <w:lang w:bidi="ar"/>
        </w:rPr>
        <w:t>偏差表</w:t>
      </w:r>
    </w:p>
    <w:p>
      <w:pPr>
        <w:kinsoku/>
        <w:overflowPunct/>
        <w:bidi w:val="0"/>
        <w:spacing w:line="360" w:lineRule="auto"/>
        <w:rPr>
          <w:rFonts w:hint="eastAsia" w:ascii="宋体" w:hAnsi="宋体" w:cs="宋体"/>
          <w:color w:val="auto"/>
          <w:szCs w:val="21"/>
          <w:highlight w:val="none"/>
        </w:rPr>
      </w:pPr>
    </w:p>
    <w:p>
      <w:pPr>
        <w:kinsoku/>
        <w:overflowPunct/>
        <w:bidi w:val="0"/>
        <w:spacing w:line="360" w:lineRule="auto"/>
        <w:rPr>
          <w:rFonts w:hint="eastAsia" w:ascii="宋体" w:hAnsi="宋体" w:cs="宋体"/>
          <w:color w:val="auto"/>
          <w:kern w:val="0"/>
          <w:sz w:val="21"/>
          <w:szCs w:val="21"/>
          <w:highlight w:val="none"/>
          <w:u w:val="single"/>
          <w:shd w:val="clear" w:color="auto" w:fill="FFFFFF"/>
          <w:lang w:eastAsia="zh-CN" w:bidi="ar"/>
        </w:rPr>
      </w:pPr>
      <w:r>
        <w:rPr>
          <w:rFonts w:hint="eastAsia" w:ascii="宋体" w:hAnsi="宋体" w:cs="宋体"/>
          <w:color w:val="auto"/>
          <w:szCs w:val="21"/>
          <w:highlight w:val="none"/>
        </w:rPr>
        <w:t>项目名称：</w:t>
      </w:r>
      <w:r>
        <w:rPr>
          <w:rFonts w:hint="eastAsia" w:ascii="宋体" w:hAnsi="宋体" w:cs="宋体"/>
          <w:color w:val="auto"/>
          <w:kern w:val="0"/>
          <w:szCs w:val="21"/>
          <w:highlight w:val="none"/>
          <w:u w:val="single"/>
          <w:shd w:val="clear" w:color="auto" w:fill="FFFFFF"/>
          <w:lang w:bidi="ar"/>
        </w:rPr>
        <w:t>2025年3#站水泵更新改造工程</w:t>
      </w:r>
    </w:p>
    <w:tbl>
      <w:tblPr>
        <w:tblStyle w:val="28"/>
        <w:tblW w:w="9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783"/>
        <w:gridCol w:w="1794"/>
        <w:gridCol w:w="2027"/>
        <w:gridCol w:w="184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exact"/>
          <w:jc w:val="center"/>
        </w:trPr>
        <w:tc>
          <w:tcPr>
            <w:tcW w:w="835"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竞选文件</w:t>
            </w:r>
            <w:r>
              <w:rPr>
                <w:rFonts w:hint="eastAsia" w:ascii="宋体" w:hAnsi="宋体" w:cs="宋体"/>
                <w:color w:val="auto"/>
                <w:szCs w:val="21"/>
                <w:highlight w:val="none"/>
              </w:rPr>
              <w:t>条目号</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竞选文件</w:t>
            </w:r>
            <w:r>
              <w:rPr>
                <w:rFonts w:hint="eastAsia" w:ascii="宋体" w:hAnsi="宋体" w:cs="宋体"/>
                <w:color w:val="auto"/>
                <w:szCs w:val="21"/>
                <w:highlight w:val="none"/>
              </w:rPr>
              <w:t>条款</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条目号</w:t>
            </w:r>
          </w:p>
        </w:tc>
        <w:tc>
          <w:tcPr>
            <w:tcW w:w="184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条款</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是否完全响应（是/否）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exact"/>
          <w:jc w:val="center"/>
        </w:trPr>
        <w:tc>
          <w:tcPr>
            <w:tcW w:w="835"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2027"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84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exact"/>
          <w:jc w:val="center"/>
        </w:trPr>
        <w:tc>
          <w:tcPr>
            <w:tcW w:w="835"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84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r>
    </w:tbl>
    <w:p>
      <w:pPr>
        <w:shd w:val="clear" w:color="auto" w:fill="auto"/>
        <w:autoSpaceDE w:val="0"/>
        <w:autoSpaceDN w:val="0"/>
        <w:adjustRightInd w:val="0"/>
        <w:spacing w:line="360" w:lineRule="atLeast"/>
        <w:jc w:val="both"/>
        <w:rPr>
          <w:rFonts w:hint="eastAsia" w:ascii="宋体" w:hAnsi="宋体"/>
          <w:color w:val="auto"/>
          <w:sz w:val="21"/>
          <w:szCs w:val="21"/>
          <w:highlight w:val="none"/>
          <w:lang w:val="en-US" w:eastAsia="zh-CN"/>
        </w:rPr>
      </w:pPr>
      <w:bookmarkStart w:id="15" w:name="_Toc1585"/>
      <w:bookmarkStart w:id="16" w:name="_Toc14850"/>
      <w:r>
        <w:rPr>
          <w:rFonts w:hint="eastAsia" w:ascii="宋体" w:hAnsi="宋体"/>
          <w:color w:val="auto"/>
          <w:sz w:val="21"/>
          <w:szCs w:val="21"/>
          <w:highlight w:val="none"/>
          <w:lang w:val="en-US" w:eastAsia="zh-CN"/>
        </w:rPr>
        <w:t>注：</w:t>
      </w:r>
    </w:p>
    <w:p>
      <w:pPr>
        <w:shd w:val="clear" w:color="auto" w:fill="auto"/>
        <w:autoSpaceDE w:val="0"/>
        <w:autoSpaceDN w:val="0"/>
        <w:adjustRightInd w:val="0"/>
        <w:spacing w:line="360" w:lineRule="atLeast"/>
        <w:jc w:val="both"/>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1.投标人对竞选文件的所有条款、条件及规定的任何技术偏差，无论偏差多么微小，都应在偏差表中加以说明；如</w:t>
      </w:r>
      <w:r>
        <w:rPr>
          <w:rFonts w:hint="eastAsia" w:ascii="宋体" w:hAnsi="宋体" w:cs="宋体"/>
          <w:color w:val="auto"/>
          <w:szCs w:val="21"/>
          <w:highlight w:val="none"/>
          <w:lang w:val="en-US" w:eastAsia="zh-CN"/>
        </w:rPr>
        <w:t>完全响应</w:t>
      </w:r>
      <w:r>
        <w:rPr>
          <w:rFonts w:hint="eastAsia" w:ascii="宋体" w:hAnsi="宋体"/>
          <w:color w:val="auto"/>
          <w:sz w:val="21"/>
          <w:szCs w:val="21"/>
          <w:highlight w:val="none"/>
          <w:lang w:val="en-US" w:eastAsia="zh-CN"/>
        </w:rPr>
        <w:t>，投标人应在偏差表中填写“是”，如偏差表无填写内容的，视为投标方完全响应本项目竞选文件的所有标注★号及非★号的参数或条款。</w:t>
      </w:r>
    </w:p>
    <w:p>
      <w:pPr>
        <w:pStyle w:val="9"/>
        <w:shd w:val="clear" w:color="auto" w:fill="auto"/>
        <w:autoSpaceDE w:val="0"/>
        <w:autoSpaceDN w:val="0"/>
        <w:adjustRightInd w:val="0"/>
        <w:spacing w:line="360" w:lineRule="auto"/>
        <w:jc w:val="both"/>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2.对于投标人提出的但未在投标偏差表列明的偏差部分，采购人将视为投标人未提出该偏差，视为投标方完全响应本项目竞选文件的</w:t>
      </w:r>
      <w:r>
        <w:rPr>
          <w:rFonts w:hint="eastAsia" w:ascii="宋体" w:hAnsi="宋体"/>
          <w:b/>
          <w:bCs/>
          <w:color w:val="auto"/>
          <w:sz w:val="21"/>
          <w:szCs w:val="21"/>
          <w:highlight w:val="none"/>
          <w:lang w:val="en-US" w:eastAsia="zh-CN"/>
        </w:rPr>
        <w:t>所有</w:t>
      </w:r>
      <w:r>
        <w:rPr>
          <w:rFonts w:hint="eastAsia" w:ascii="宋体" w:hAnsi="宋体" w:cs="宋体"/>
          <w:b/>
          <w:bCs/>
          <w:i w:val="0"/>
          <w:iCs w:val="0"/>
          <w:color w:val="auto"/>
          <w:spacing w:val="-2"/>
          <w:kern w:val="0"/>
          <w:highlight w:val="none"/>
          <w:u w:val="none"/>
          <w:lang w:val="en-US" w:eastAsia="zh-CN"/>
        </w:rPr>
        <w:t>标注★号及非★号的参数或</w:t>
      </w:r>
      <w:r>
        <w:rPr>
          <w:rFonts w:hint="eastAsia" w:ascii="宋体" w:hAnsi="宋体"/>
          <w:b/>
          <w:bCs/>
          <w:color w:val="auto"/>
          <w:sz w:val="21"/>
          <w:szCs w:val="21"/>
          <w:highlight w:val="none"/>
          <w:lang w:val="en-US" w:eastAsia="zh-CN"/>
        </w:rPr>
        <w:t>条款</w:t>
      </w:r>
      <w:r>
        <w:rPr>
          <w:rFonts w:hint="eastAsia" w:ascii="宋体" w:hAnsi="宋体"/>
          <w:color w:val="auto"/>
          <w:sz w:val="21"/>
          <w:szCs w:val="21"/>
          <w:highlight w:val="none"/>
          <w:lang w:val="en-US" w:eastAsia="zh-CN"/>
        </w:rPr>
        <w:t>。</w:t>
      </w:r>
      <w:r>
        <w:rPr>
          <w:rFonts w:hint="eastAsia" w:ascii="宋体" w:hAnsi="宋体" w:eastAsia="宋体"/>
          <w:color w:val="auto"/>
          <w:sz w:val="21"/>
          <w:szCs w:val="21"/>
          <w:highlight w:val="none"/>
          <w:lang w:val="en-US" w:eastAsia="zh-CN"/>
        </w:rPr>
        <w:t xml:space="preserve"> </w:t>
      </w:r>
      <w:r>
        <w:rPr>
          <w:rFonts w:hint="eastAsia" w:ascii="宋体" w:hAnsi="宋体" w:eastAsia="宋体" w:cs="Times New Roman"/>
          <w:b w:val="0"/>
          <w:bCs w:val="0"/>
          <w:color w:val="auto"/>
          <w:sz w:val="21"/>
          <w:szCs w:val="21"/>
          <w:highlight w:val="none"/>
          <w:lang w:val="en-US" w:eastAsia="zh-CN"/>
        </w:rPr>
        <w:t>附件1乙供材料</w:t>
      </w:r>
      <w:r>
        <w:rPr>
          <w:rFonts w:hint="eastAsia" w:ascii="宋体" w:hAnsi="宋体" w:eastAsia="宋体" w:cs="Times New Roman"/>
          <w:b w:val="0"/>
          <w:bCs w:val="0"/>
          <w:color w:val="auto"/>
          <w:sz w:val="21"/>
          <w:szCs w:val="21"/>
          <w:highlight w:val="none"/>
        </w:rPr>
        <w:t>技术需求书</w:t>
      </w:r>
      <w:r>
        <w:rPr>
          <w:rFonts w:hint="eastAsia" w:ascii="宋体" w:hAnsi="宋体"/>
          <w:color w:val="auto"/>
          <w:sz w:val="21"/>
          <w:szCs w:val="21"/>
          <w:highlight w:val="none"/>
          <w:lang w:val="en-US" w:eastAsia="zh-CN"/>
        </w:rPr>
        <w:t>所有标注★号内容，如投标人在投标偏差表中“是否完全响应”一栏中填写“否”，视为不通过投标文件有效性审查。</w:t>
      </w:r>
    </w:p>
    <w:p>
      <w:pPr>
        <w:shd w:val="clear" w:color="auto" w:fill="auto"/>
        <w:autoSpaceDE w:val="0"/>
        <w:autoSpaceDN w:val="0"/>
        <w:adjustRightInd w:val="0"/>
        <w:spacing w:line="360" w:lineRule="atLeast"/>
        <w:jc w:val="both"/>
        <w:rPr>
          <w:rFonts w:hint="eastAsia"/>
          <w:b w:val="0"/>
          <w:bCs/>
          <w:color w:val="auto"/>
          <w:sz w:val="21"/>
          <w:szCs w:val="21"/>
          <w:highlight w:val="none"/>
          <w:lang w:val="en-US" w:eastAsia="zh-CN"/>
        </w:rPr>
      </w:pPr>
      <w:r>
        <w:rPr>
          <w:rFonts w:hint="eastAsia" w:ascii="宋体" w:hAnsi="宋体"/>
          <w:color w:val="auto"/>
          <w:sz w:val="21"/>
          <w:szCs w:val="21"/>
          <w:highlight w:val="none"/>
          <w:lang w:val="en-US" w:eastAsia="zh-CN"/>
        </w:rPr>
        <w:t>3.投标偏差表内容和其他投标文件内容表述不一致时，以偏差表为准。</w:t>
      </w:r>
    </w:p>
    <w:p>
      <w:pPr>
        <w:ind w:firstLine="3885" w:firstLineChars="1850"/>
        <w:outlineLvl w:val="9"/>
        <w:rPr>
          <w:rFonts w:hint="eastAsia" w:ascii="宋体" w:hAnsi="宋体" w:cs="宋体"/>
          <w:color w:val="auto"/>
          <w:szCs w:val="21"/>
          <w:highlight w:val="none"/>
          <w:lang w:val="en-US" w:eastAsia="zh-CN"/>
        </w:rPr>
      </w:pPr>
    </w:p>
    <w:p>
      <w:pPr>
        <w:ind w:firstLine="3885" w:firstLineChars="1850"/>
        <w:outlineLvl w:val="9"/>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w:t>
      </w:r>
      <w:r>
        <w:rPr>
          <w:rFonts w:hint="eastAsia" w:ascii="宋体" w:hAnsi="宋体" w:cs="宋体"/>
          <w:color w:val="auto"/>
          <w:szCs w:val="21"/>
          <w:highlight w:val="none"/>
          <w:u w:val="single"/>
        </w:rPr>
        <w:t xml:space="preserve">                                   </w:t>
      </w:r>
    </w:p>
    <w:p>
      <w:pPr>
        <w:ind w:firstLine="3885" w:firstLineChars="1850"/>
        <w:outlineLvl w:val="9"/>
        <w:rPr>
          <w:rFonts w:ascii="宋体" w:hAnsi="宋体" w:cs="宋体"/>
          <w:color w:val="auto"/>
          <w:szCs w:val="21"/>
          <w:highlight w:val="none"/>
          <w:u w:val="single"/>
        </w:rPr>
      </w:pPr>
    </w:p>
    <w:p>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bookmarkEnd w:id="15"/>
      <w:bookmarkEnd w:id="16"/>
    </w:p>
    <w:p>
      <w:pPr>
        <w:pStyle w:val="19"/>
        <w:shd w:val="clear" w:color="auto" w:fill="FFFFFF"/>
        <w:wordWrap w:val="0"/>
        <w:rPr>
          <w:rFonts w:hint="eastAsia"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注：</w:t>
      </w:r>
      <w:r>
        <w:rPr>
          <w:rFonts w:hint="eastAsia" w:cs="宋体"/>
          <w:b/>
          <w:bCs/>
          <w:i w:val="0"/>
          <w:iCs w:val="0"/>
          <w:color w:val="000000"/>
          <w:kern w:val="0"/>
          <w:sz w:val="22"/>
          <w:szCs w:val="22"/>
          <w:u w:val="none"/>
          <w:lang w:val="en-US" w:eastAsia="zh-CN" w:bidi="ar"/>
        </w:rPr>
        <w:t>竞选文件要求及</w:t>
      </w:r>
      <w:r>
        <w:rPr>
          <w:rFonts w:hint="eastAsia" w:ascii="宋体" w:hAnsi="宋体" w:eastAsia="宋体" w:cs="宋体"/>
          <w:b/>
          <w:bCs/>
          <w:i w:val="0"/>
          <w:iCs w:val="0"/>
          <w:color w:val="000000"/>
          <w:kern w:val="0"/>
          <w:sz w:val="22"/>
          <w:szCs w:val="22"/>
          <w:u w:val="none"/>
          <w:lang w:val="en-US" w:eastAsia="zh-CN" w:bidi="ar"/>
        </w:rPr>
        <w:t>投标人认为有必要提供相关证明材料</w:t>
      </w:r>
      <w:r>
        <w:rPr>
          <w:rFonts w:hint="eastAsia" w:cs="宋体"/>
          <w:b/>
          <w:bCs/>
          <w:i w:val="0"/>
          <w:iCs w:val="0"/>
          <w:color w:val="000000"/>
          <w:kern w:val="0"/>
          <w:sz w:val="22"/>
          <w:szCs w:val="22"/>
          <w:u w:val="none"/>
          <w:lang w:val="en-US" w:eastAsia="zh-CN" w:bidi="ar"/>
        </w:rPr>
        <w:t>附表格下方。格式自定义，需加盖公章。</w:t>
      </w:r>
    </w:p>
    <w:p>
      <w:pPr>
        <w:pStyle w:val="19"/>
        <w:shd w:val="clear" w:color="auto" w:fill="FFFFFF"/>
        <w:wordWrap w:val="0"/>
        <w:rPr>
          <w:rFonts w:hint="eastAsia" w:cs="宋体"/>
          <w:b/>
          <w:bCs/>
          <w:i w:val="0"/>
          <w:iCs w:val="0"/>
          <w:color w:val="000000"/>
          <w:kern w:val="0"/>
          <w:sz w:val="22"/>
          <w:szCs w:val="22"/>
          <w:u w:val="none"/>
          <w:lang w:val="en-US" w:eastAsia="zh-CN" w:bidi="ar"/>
        </w:rPr>
      </w:pPr>
    </w:p>
    <w:p>
      <w:pPr>
        <w:pStyle w:val="19"/>
        <w:shd w:val="clear" w:color="auto" w:fill="FFFFFF"/>
        <w:wordWrap w:val="0"/>
        <w:rPr>
          <w:rFonts w:hint="eastAsia" w:cs="宋体"/>
          <w:b/>
          <w:bCs/>
          <w:i w:val="0"/>
          <w:iCs w:val="0"/>
          <w:color w:val="000000"/>
          <w:kern w:val="0"/>
          <w:sz w:val="22"/>
          <w:szCs w:val="22"/>
          <w:u w:val="none"/>
          <w:lang w:val="en-US" w:eastAsia="zh-CN" w:bidi="ar"/>
        </w:rPr>
      </w:pPr>
    </w:p>
    <w:p>
      <w:pPr>
        <w:pStyle w:val="19"/>
        <w:shd w:val="clear" w:color="auto" w:fill="FFFFFF"/>
        <w:wordWrap w:val="0"/>
        <w:rPr>
          <w:rFonts w:hint="eastAsia" w:cs="宋体"/>
          <w:b/>
          <w:bCs/>
          <w:i w:val="0"/>
          <w:iCs w:val="0"/>
          <w:color w:val="000000"/>
          <w:kern w:val="0"/>
          <w:sz w:val="22"/>
          <w:szCs w:val="22"/>
          <w:u w:val="none"/>
          <w:lang w:val="en-US" w:eastAsia="zh-CN" w:bidi="ar"/>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sz w:val="24"/>
        </w:rPr>
      </w:pPr>
      <w:r>
        <w:rPr>
          <w:rFonts w:hint="eastAsia"/>
          <w:sz w:val="24"/>
          <w:lang w:val="en-US" w:eastAsia="zh-CN"/>
        </w:rPr>
        <w:t>2.11</w:t>
      </w:r>
      <w:r>
        <w:rPr>
          <w:rFonts w:hint="eastAsia"/>
          <w:sz w:val="24"/>
        </w:rPr>
        <w:t>其他资料</w:t>
      </w:r>
    </w:p>
    <w:p>
      <w:pPr>
        <w:pStyle w:val="9"/>
        <w:ind w:firstLine="480"/>
        <w:jc w:val="left"/>
        <w:rPr>
          <w:rFonts w:hAnsi="Calibri" w:eastAsia="微软雅黑" w:asciiTheme="minorHAnsi" w:cstheme="minorBidi"/>
          <w:sz w:val="24"/>
          <w:szCs w:val="24"/>
          <w:highlight w:val="yellow"/>
        </w:rPr>
      </w:pPr>
      <w:r>
        <w:rPr>
          <w:rFonts w:hint="eastAsia"/>
          <w:sz w:val="24"/>
          <w:szCs w:val="24"/>
        </w:rPr>
        <w:t>供应商提交的其他资料。</w:t>
      </w:r>
    </w:p>
    <w:p>
      <w:pPr>
        <w:sectPr>
          <w:pgSz w:w="11906" w:h="16838"/>
          <w:pgMar w:top="1418" w:right="1418" w:bottom="1418" w:left="1418" w:header="851" w:footer="992" w:gutter="0"/>
          <w:cols w:space="720" w:num="1"/>
          <w:docGrid w:linePitch="312" w:charSpace="0"/>
        </w:sectPr>
      </w:pPr>
    </w:p>
    <w:p>
      <w:pPr>
        <w:spacing w:line="360" w:lineRule="auto"/>
        <w:ind w:firstLine="484" w:firstLineChars="202"/>
        <w:rPr>
          <w:sz w:val="24"/>
        </w:rPr>
      </w:pPr>
      <w:r>
        <w:rPr>
          <w:rFonts w:hint="eastAsia"/>
          <w:sz w:val="24"/>
        </w:rPr>
        <w:t>附件3：评审办法</w:t>
      </w:r>
    </w:p>
    <w:p>
      <w:pPr>
        <w:ind w:firstLine="484" w:firstLineChars="202"/>
        <w:rPr>
          <w:rFonts w:ascii="宋体" w:hAnsi="宋体" w:cs="宋体"/>
          <w:sz w:val="24"/>
        </w:rPr>
      </w:pPr>
      <w:r>
        <w:rPr>
          <w:rFonts w:hint="eastAsia" w:ascii="宋体" w:hAnsi="宋体" w:cs="宋体"/>
          <w:sz w:val="24"/>
        </w:rPr>
        <w:t>一、评审委员会</w:t>
      </w:r>
    </w:p>
    <w:p>
      <w:pPr>
        <w:ind w:firstLine="484" w:firstLineChars="202"/>
        <w:rPr>
          <w:rFonts w:ascii="宋体" w:hAnsi="宋体" w:cs="宋体"/>
          <w:sz w:val="24"/>
        </w:rPr>
      </w:pPr>
      <w:r>
        <w:rPr>
          <w:rFonts w:hint="eastAsia" w:ascii="宋体" w:hAnsi="宋体" w:cs="宋体"/>
          <w:sz w:val="24"/>
        </w:rPr>
        <w:t>本次采购由采购人自行组建评审小组，评审小组成员由广州城投综合能源投资经营管理有限公司人员组成，确定5人的评审小组。</w:t>
      </w:r>
    </w:p>
    <w:p>
      <w:pPr>
        <w:ind w:firstLine="484" w:firstLineChars="202"/>
        <w:rPr>
          <w:rFonts w:ascii="宋体" w:hAnsi="宋体" w:cs="宋体"/>
          <w:sz w:val="24"/>
        </w:rPr>
      </w:pPr>
      <w:r>
        <w:rPr>
          <w:rFonts w:hint="eastAsia" w:ascii="宋体" w:hAnsi="宋体" w:cs="宋体"/>
          <w:sz w:val="24"/>
        </w:rPr>
        <w:t>二、评审标准及程序</w:t>
      </w:r>
    </w:p>
    <w:p>
      <w:pPr>
        <w:ind w:firstLine="484" w:firstLineChars="202"/>
        <w:rPr>
          <w:rFonts w:ascii="宋体" w:hAnsi="宋体" w:cs="宋体"/>
          <w:sz w:val="24"/>
        </w:rPr>
      </w:pPr>
      <w:r>
        <w:rPr>
          <w:rFonts w:hint="eastAsia" w:ascii="宋体" w:hAnsi="宋体" w:cs="宋体"/>
          <w:sz w:val="24"/>
        </w:rPr>
        <w:t>（一）投标文件资格性、有效性审查</w:t>
      </w:r>
    </w:p>
    <w:p>
      <w:r>
        <w:rPr>
          <w:rFonts w:hint="eastAsia" w:ascii="宋体" w:hAnsi="宋体" w:cs="宋体"/>
          <w:sz w:val="24"/>
        </w:rPr>
        <w:t>评审小组对各投标文件进行评审，评审包括资格性审查和有效性审查，出现不符合下列情形之一时，作无效投标处理。《投标人资格审查表》和《投标人有效性审查表》如下：</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ind w:firstLine="2891" w:firstLineChars="800"/>
        <w:rPr>
          <w:rFonts w:ascii="宋体" w:hAnsi="宋体" w:cs="宋体"/>
          <w:b/>
          <w:bCs/>
          <w:sz w:val="36"/>
          <w:szCs w:val="36"/>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sz w:val="24"/>
          <w:lang w:eastAsia="zh-CN"/>
        </w:rPr>
        <w:t>2025年3#站水泵更新改造工程</w:t>
      </w:r>
    </w:p>
    <w:tbl>
      <w:tblPr>
        <w:tblStyle w:val="28"/>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rPr>
                <w:rFonts w:ascii="宋体" w:hAnsi="宋体"/>
                <w:szCs w:val="21"/>
              </w:rPr>
            </w:pPr>
            <w:r>
              <w:rPr>
                <w:rFonts w:hint="eastAsia" w:ascii="宋体" w:hAnsi="宋体" w:cs="宋体"/>
                <w:kern w:val="0"/>
                <w:sz w:val="24"/>
                <w:lang w:bidi="ar"/>
              </w:rPr>
              <w:t>投标单位必须是具有独立承担民事责任能力的在中华人民共和国境内注册的法人或其他组织，提供营业执照或法人证书的盖章扫描件证明；</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8"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1"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3</w:t>
            </w:r>
          </w:p>
        </w:tc>
        <w:tc>
          <w:tcPr>
            <w:tcW w:w="6862" w:type="dxa"/>
            <w:shd w:val="clear" w:color="auto" w:fill="auto"/>
            <w:vAlign w:val="center"/>
          </w:tcPr>
          <w:p>
            <w:pPr>
              <w:rPr>
                <w:rFonts w:ascii="宋体" w:hAnsi="宋体" w:cs="宋体"/>
                <w:szCs w:val="21"/>
              </w:rPr>
            </w:pPr>
            <w:r>
              <w:rPr>
                <w:rFonts w:hint="eastAsia" w:ascii="宋体" w:hAnsi="宋体" w:cs="宋体"/>
                <w:szCs w:val="21"/>
              </w:rPr>
              <w:t>投标单位必须具有</w:t>
            </w:r>
            <w:r>
              <w:rPr>
                <w:rFonts w:hint="eastAsia" w:ascii="宋体" w:hAnsi="宋体" w:cs="宋体"/>
                <w:bCs/>
                <w:szCs w:val="21"/>
              </w:rPr>
              <w:t>有效期内</w:t>
            </w:r>
            <w:r>
              <w:rPr>
                <w:rFonts w:hint="eastAsia" w:ascii="宋体" w:hAnsi="宋体" w:cs="宋体"/>
                <w:szCs w:val="21"/>
              </w:rPr>
              <w:t>机电工程施工总承包叁级及以上资质；或具有</w:t>
            </w:r>
            <w:r>
              <w:rPr>
                <w:rFonts w:hint="eastAsia" w:ascii="宋体" w:hAnsi="宋体" w:cs="宋体"/>
                <w:bCs/>
                <w:szCs w:val="21"/>
              </w:rPr>
              <w:t>有效期内</w:t>
            </w:r>
            <w:r>
              <w:rPr>
                <w:rFonts w:hint="eastAsia" w:ascii="宋体" w:hAnsi="宋体" w:cs="宋体"/>
                <w:szCs w:val="21"/>
              </w:rPr>
              <w:t>建筑机电安装工程专业承包叁级及以上资质；</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4</w:t>
            </w:r>
          </w:p>
        </w:tc>
        <w:tc>
          <w:tcPr>
            <w:tcW w:w="6862" w:type="dxa"/>
            <w:shd w:val="clear" w:color="auto" w:fill="auto"/>
            <w:vAlign w:val="center"/>
          </w:tcPr>
          <w:p>
            <w:pPr>
              <w:rPr>
                <w:rFonts w:ascii="宋体" w:hAnsi="宋体" w:cs="宋体"/>
                <w:szCs w:val="21"/>
              </w:rPr>
            </w:pPr>
            <w:r>
              <w:rPr>
                <w:rFonts w:hint="eastAsia" w:ascii="宋体" w:hAnsi="宋体" w:cs="宋体"/>
                <w:bCs/>
                <w:szCs w:val="21"/>
              </w:rPr>
              <w:t>有效期内的</w:t>
            </w:r>
            <w:r>
              <w:rPr>
                <w:rFonts w:ascii="宋体" w:hAnsi="宋体" w:cs="宋体"/>
                <w:bCs/>
                <w:szCs w:val="21"/>
              </w:rPr>
              <w:t>安全生产许可证</w:t>
            </w:r>
            <w:r>
              <w:rPr>
                <w:rFonts w:hint="eastAsia" w:ascii="宋体" w:hAnsi="宋体" w:cs="宋体"/>
                <w:bCs/>
                <w:szCs w:val="21"/>
              </w:rPr>
              <w:t>（复印件盖章）</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5</w:t>
            </w:r>
          </w:p>
        </w:tc>
        <w:tc>
          <w:tcPr>
            <w:tcW w:w="6862" w:type="dxa"/>
            <w:vAlign w:val="center"/>
          </w:tcPr>
          <w:p>
            <w:pPr>
              <w:rPr>
                <w:rFonts w:ascii="宋体" w:hAnsi="宋体" w:cs="宋体"/>
                <w:szCs w:val="21"/>
              </w:rPr>
            </w:pPr>
            <w:r>
              <w:rPr>
                <w:rFonts w:hint="eastAsia" w:ascii="宋体" w:hAnsi="宋体"/>
                <w:lang w:val="en-US" w:eastAsia="zh-CN"/>
              </w:rPr>
              <w:t>投标单位</w:t>
            </w:r>
            <w:r>
              <w:rPr>
                <w:rFonts w:hint="eastAsia" w:ascii="宋体" w:hAnsi="宋体"/>
              </w:rPr>
              <w:t>提供专职安全员有效的安全生产考核合格证（C类）或建筑施工企业专职安全生产管理人员有效的安全生产考核合格证书（C3）复印件；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6</w:t>
            </w:r>
          </w:p>
        </w:tc>
        <w:tc>
          <w:tcPr>
            <w:tcW w:w="6862" w:type="dxa"/>
            <w:vAlign w:val="center"/>
          </w:tcPr>
          <w:p>
            <w:pPr>
              <w:rPr>
                <w:rFonts w:ascii="宋体" w:hAnsi="宋体" w:cs="宋体"/>
                <w:szCs w:val="21"/>
              </w:rPr>
            </w:pPr>
            <w:r>
              <w:rPr>
                <w:rFonts w:hint="eastAsia" w:ascii="宋体" w:hAnsi="宋体" w:cs="宋体"/>
                <w:szCs w:val="21"/>
              </w:rPr>
              <w:t>近3年内(2022年1月1日至今) 完成过质量合格的类似项目业绩（需提供合同等相关证明材料复印件）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sz w:val="24"/>
          <w:lang w:eastAsia="zh-CN"/>
        </w:rPr>
        <w:t>2025年3#站水泵更新改造工程</w:t>
      </w:r>
    </w:p>
    <w:tbl>
      <w:tblPr>
        <w:tblStyle w:val="28"/>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投标文件按竞选文件规定的格式填写，内容不全或关键字迹模糊、无法辩认；</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3</w:t>
            </w:r>
          </w:p>
        </w:tc>
        <w:tc>
          <w:tcPr>
            <w:tcW w:w="6410" w:type="dxa"/>
            <w:shd w:val="clear" w:color="auto" w:fill="auto"/>
            <w:vAlign w:val="center"/>
          </w:tcPr>
          <w:p>
            <w:pPr>
              <w:rPr>
                <w:rFonts w:ascii="宋体" w:hAnsi="宋体" w:cs="宋体"/>
                <w:szCs w:val="21"/>
              </w:rPr>
            </w:pPr>
            <w:r>
              <w:rPr>
                <w:rFonts w:hint="eastAsia" w:ascii="宋体" w:hAnsi="宋体" w:cs="宋体"/>
                <w:kern w:val="0"/>
                <w:sz w:val="24"/>
                <w:lang w:bidi="ar"/>
              </w:rPr>
              <w:t>投标人未被列入“信用中国”网站(www.creditchina.gov.cn)记录失信被执行人名单,须提供“信用中国”网站(www.creditchina.gov.cn)的信用记录查询结果截图或信用信息报告并打印页面加盖公章</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4</w:t>
            </w:r>
          </w:p>
        </w:tc>
        <w:tc>
          <w:tcPr>
            <w:tcW w:w="6410" w:type="dxa"/>
            <w:shd w:val="clear" w:color="auto" w:fill="auto"/>
            <w:vAlign w:val="center"/>
          </w:tcPr>
          <w:p>
            <w:pPr>
              <w:rPr>
                <w:rFonts w:ascii="宋体" w:hAnsi="宋体" w:cs="宋体"/>
                <w:szCs w:val="21"/>
              </w:rPr>
            </w:pPr>
            <w:r>
              <w:rPr>
                <w:rFonts w:hint="eastAsia" w:ascii="宋体" w:hAnsi="宋体"/>
                <w:sz w:val="24"/>
              </w:rPr>
              <w:t>投标人没有处于被责令停业或破产状态，且资产未被重组、接管和冻结，声明在投标活动中3年内没有重大违法活动和涉嫌违规行为（附投标声明函）</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5</w:t>
            </w:r>
          </w:p>
        </w:tc>
        <w:tc>
          <w:tcPr>
            <w:tcW w:w="6410" w:type="dxa"/>
            <w:shd w:val="clear" w:color="auto" w:fill="auto"/>
            <w:vAlign w:val="center"/>
          </w:tcPr>
          <w:p>
            <w:pPr>
              <w:rPr>
                <w:rFonts w:hint="eastAsia" w:ascii="宋体" w:hAnsi="宋体" w:cs="宋体"/>
                <w:szCs w:val="21"/>
                <w:highlight w:val="none"/>
              </w:rPr>
            </w:pPr>
            <w:r>
              <w:rPr>
                <w:rFonts w:hint="eastAsia" w:ascii="宋体" w:hAnsi="宋体" w:eastAsia="宋体" w:cs="宋体"/>
                <w:b/>
                <w:bCs/>
                <w:i w:val="0"/>
                <w:iCs w:val="0"/>
                <w:color w:val="auto"/>
                <w:sz w:val="21"/>
                <w:szCs w:val="21"/>
                <w:highlight w:val="none"/>
              </w:rPr>
              <w:t>投标文</w:t>
            </w:r>
            <w:r>
              <w:rPr>
                <w:rFonts w:hint="eastAsia" w:ascii="宋体" w:hAnsi="宋体" w:eastAsia="宋体" w:cs="宋体"/>
                <w:b/>
                <w:bCs/>
                <w:i w:val="0"/>
                <w:iCs w:val="0"/>
                <w:color w:val="auto"/>
                <w:sz w:val="21"/>
                <w:szCs w:val="21"/>
                <w:highlight w:val="none"/>
                <w:lang w:val="en-US" w:eastAsia="zh-CN"/>
              </w:rPr>
              <w:t>件投标偏差表完全响应</w:t>
            </w:r>
            <w:r>
              <w:rPr>
                <w:rFonts w:hint="eastAsia" w:ascii="宋体" w:hAnsi="宋体" w:eastAsia="宋体"/>
                <w:b/>
                <w:bCs/>
                <w:color w:val="auto"/>
                <w:sz w:val="21"/>
                <w:szCs w:val="21"/>
                <w:highlight w:val="none"/>
                <w:lang w:val="en-US" w:eastAsia="zh-CN"/>
              </w:rPr>
              <w:t xml:space="preserve"> </w:t>
            </w:r>
            <w:r>
              <w:rPr>
                <w:rFonts w:hint="eastAsia" w:ascii="宋体" w:hAnsi="宋体" w:eastAsia="宋体" w:cs="Times New Roman"/>
                <w:b/>
                <w:bCs/>
                <w:color w:val="auto"/>
                <w:sz w:val="21"/>
                <w:szCs w:val="21"/>
                <w:highlight w:val="none"/>
                <w:lang w:val="en-US" w:eastAsia="zh-CN"/>
              </w:rPr>
              <w:t>附件1乙供材料</w:t>
            </w:r>
            <w:r>
              <w:rPr>
                <w:rFonts w:hint="eastAsia" w:ascii="宋体" w:hAnsi="宋体" w:eastAsia="宋体" w:cs="Times New Roman"/>
                <w:b/>
                <w:bCs/>
                <w:color w:val="auto"/>
                <w:sz w:val="21"/>
                <w:szCs w:val="21"/>
                <w:highlight w:val="none"/>
              </w:rPr>
              <w:t>技术需求书</w:t>
            </w:r>
            <w:r>
              <w:rPr>
                <w:rFonts w:hint="eastAsia" w:ascii="宋体" w:hAnsi="宋体"/>
                <w:b/>
                <w:bCs/>
                <w:color w:val="auto"/>
                <w:sz w:val="21"/>
                <w:szCs w:val="21"/>
                <w:highlight w:val="none"/>
                <w:lang w:val="en-US" w:eastAsia="zh-CN"/>
              </w:rPr>
              <w:t>所有标注★号内容。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eastAsia="宋体"/>
                <w:bCs/>
                <w:szCs w:val="21"/>
                <w:lang w:eastAsia="zh-CN"/>
              </w:rPr>
            </w:pPr>
            <w:r>
              <w:rPr>
                <w:rFonts w:hint="eastAsia" w:ascii="宋体" w:hAnsi="宋体" w:cs="宋体"/>
                <w:szCs w:val="21"/>
                <w:lang w:val="en-US" w:eastAsia="zh-CN"/>
              </w:rPr>
              <w:t>6</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对同一竞选项目未：出现两个或以上的投标报价，且没声明哪个有效；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eastAsia="宋体"/>
                <w:bCs/>
                <w:szCs w:val="21"/>
                <w:lang w:eastAsia="zh-CN"/>
              </w:rPr>
            </w:pPr>
            <w:r>
              <w:rPr>
                <w:rFonts w:hint="eastAsia" w:ascii="宋体" w:hAnsi="宋体" w:cs="宋体"/>
                <w:szCs w:val="21"/>
                <w:lang w:val="en-US" w:eastAsia="zh-CN"/>
              </w:rPr>
              <w:t>7</w:t>
            </w:r>
          </w:p>
        </w:tc>
        <w:tc>
          <w:tcPr>
            <w:tcW w:w="6410" w:type="dxa"/>
            <w:shd w:val="clear" w:color="auto" w:fill="auto"/>
            <w:vAlign w:val="center"/>
          </w:tcPr>
          <w:p>
            <w:pPr>
              <w:rPr>
                <w:rFonts w:ascii="宋体" w:hAnsi="宋体"/>
                <w:szCs w:val="21"/>
              </w:rPr>
            </w:pPr>
            <w:r>
              <w:rPr>
                <w:rFonts w:hint="eastAsia" w:ascii="宋体" w:hAnsi="宋体" w:cs="宋体"/>
                <w:szCs w:val="21"/>
              </w:rPr>
              <w:t>投标总报价不低于企业自身成本；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eastAsia="宋体"/>
                <w:bCs/>
                <w:szCs w:val="21"/>
                <w:lang w:eastAsia="zh-CN"/>
              </w:rPr>
            </w:pPr>
            <w:r>
              <w:rPr>
                <w:rFonts w:hint="eastAsia" w:ascii="宋体" w:hAnsi="宋体" w:cs="宋体"/>
                <w:szCs w:val="21"/>
                <w:lang w:val="en-US" w:eastAsia="zh-CN"/>
              </w:rPr>
              <w:t>8</w:t>
            </w:r>
          </w:p>
        </w:tc>
        <w:tc>
          <w:tcPr>
            <w:tcW w:w="6410" w:type="dxa"/>
            <w:shd w:val="clear" w:color="auto" w:fill="auto"/>
            <w:vAlign w:val="center"/>
          </w:tcPr>
          <w:p>
            <w:pPr>
              <w:rPr>
                <w:rFonts w:ascii="宋体" w:hAnsi="宋体"/>
                <w:szCs w:val="21"/>
              </w:rPr>
            </w:pPr>
            <w:r>
              <w:rPr>
                <w:rFonts w:hint="eastAsia" w:ascii="宋体" w:hAnsi="宋体" w:cs="宋体"/>
                <w:szCs w:val="21"/>
              </w:rPr>
              <w:t>投标报价不超过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eastAsia="宋体"/>
                <w:bCs/>
                <w:szCs w:val="21"/>
                <w:lang w:eastAsia="zh-CN"/>
              </w:rPr>
            </w:pPr>
            <w:r>
              <w:rPr>
                <w:rFonts w:hint="eastAsia" w:ascii="宋体" w:hAnsi="宋体" w:cs="宋体"/>
                <w:szCs w:val="21"/>
                <w:lang w:val="en-US" w:eastAsia="zh-CN"/>
              </w:rPr>
              <w:t>9</w:t>
            </w:r>
          </w:p>
        </w:tc>
        <w:tc>
          <w:tcPr>
            <w:tcW w:w="6410" w:type="dxa"/>
            <w:shd w:val="clear" w:color="auto" w:fill="auto"/>
            <w:vAlign w:val="center"/>
          </w:tcPr>
          <w:p>
            <w:pPr>
              <w:rPr>
                <w:szCs w:val="21"/>
              </w:rPr>
            </w:pPr>
            <w:r>
              <w:rPr>
                <w:rFonts w:hint="eastAsia" w:ascii="宋体" w:hAnsi="宋体" w:cs="宋体"/>
                <w:szCs w:val="21"/>
              </w:rPr>
              <w:t>工期满足竞选文件要求的；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bCs/>
                <w:szCs w:val="21"/>
                <w:lang w:val="en-US" w:eastAsia="zh-CN"/>
              </w:rPr>
            </w:pPr>
            <w:r>
              <w:rPr>
                <w:rFonts w:hint="eastAsia" w:ascii="宋体" w:hAnsi="宋体" w:cs="宋体"/>
                <w:szCs w:val="21"/>
                <w:lang w:val="en-US" w:eastAsia="zh-CN"/>
              </w:rPr>
              <w:t>10</w:t>
            </w:r>
          </w:p>
        </w:tc>
        <w:tc>
          <w:tcPr>
            <w:tcW w:w="6410" w:type="dxa"/>
            <w:shd w:val="clear" w:color="auto" w:fill="auto"/>
            <w:vAlign w:val="center"/>
          </w:tcPr>
          <w:p>
            <w:pPr>
              <w:spacing w:before="120" w:beforeLines="50" w:after="120" w:afterLines="50" w:line="360" w:lineRule="auto"/>
              <w:rPr>
                <w:szCs w:val="21"/>
              </w:rPr>
            </w:pPr>
            <w:r>
              <w:rPr>
                <w:rFonts w:hint="eastAsia" w:ascii="宋体" w:hAnsi="宋体" w:cs="宋体"/>
                <w:szCs w:val="21"/>
              </w:rPr>
              <w:t>施工方案或施工组织设计响应竞选文件中已明确必须要作实质性响应的内容；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w:t>
            </w:r>
            <w:r>
              <w:rPr>
                <w:rFonts w:hint="eastAsia" w:ascii="宋体" w:hAnsi="宋体" w:cs="宋体"/>
                <w:szCs w:val="21"/>
                <w:lang w:val="en-US" w:eastAsia="zh-CN"/>
              </w:rPr>
              <w:t>1</w:t>
            </w:r>
          </w:p>
        </w:tc>
        <w:tc>
          <w:tcPr>
            <w:tcW w:w="6410" w:type="dxa"/>
            <w:shd w:val="clear" w:color="auto" w:fill="auto"/>
            <w:vAlign w:val="center"/>
          </w:tcPr>
          <w:p>
            <w:pPr>
              <w:rPr>
                <w:szCs w:val="21"/>
              </w:rPr>
            </w:pPr>
            <w:r>
              <w:rPr>
                <w:rFonts w:hint="eastAsia" w:ascii="宋体" w:hAnsi="宋体" w:cs="宋体"/>
                <w:szCs w:val="21"/>
              </w:rPr>
              <w:t>投标文件无附有采购人不能接受的条件；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2025年月 日</w:t>
      </w:r>
    </w:p>
    <w:p>
      <w:pPr>
        <w:pStyle w:val="2"/>
        <w:rPr>
          <w:rFonts w:ascii="宋体" w:hAnsi="宋体"/>
          <w:sz w:val="24"/>
          <w:highlight w:val="none"/>
        </w:rPr>
      </w:pPr>
    </w:p>
    <w:p>
      <w:pPr>
        <w:numPr>
          <w:ilvl w:val="0"/>
          <w:numId w:val="12"/>
        </w:numPr>
        <w:spacing w:line="360" w:lineRule="auto"/>
        <w:ind w:left="0" w:firstLine="480" w:firstLineChars="200"/>
        <w:rPr>
          <w:rFonts w:hint="eastAsia" w:ascii="宋体" w:hAnsi="宋体" w:cs="宋体"/>
          <w:sz w:val="24"/>
        </w:rPr>
      </w:pPr>
      <w:r>
        <w:rPr>
          <w:rFonts w:hint="eastAsia" w:ascii="宋体" w:hAnsi="宋体" w:cs="宋体"/>
          <w:sz w:val="24"/>
          <w:highlight w:val="none"/>
        </w:rPr>
        <w:t>评标方法：本项目采用综合评分法，对投标人进行价格、商务和技术评审，其中价格评审部分占</w:t>
      </w:r>
      <w:r>
        <w:rPr>
          <w:rFonts w:hint="eastAsia" w:ascii="宋体" w:hAnsi="宋体" w:cs="宋体"/>
          <w:sz w:val="24"/>
          <w:highlight w:val="none"/>
          <w:lang w:val="en-US" w:eastAsia="zh-CN"/>
        </w:rPr>
        <w:t>80</w:t>
      </w:r>
      <w:r>
        <w:rPr>
          <w:rFonts w:hint="eastAsia" w:ascii="宋体" w:hAnsi="宋体" w:cs="宋体"/>
          <w:sz w:val="24"/>
          <w:highlight w:val="none"/>
        </w:rPr>
        <w:t>%，技术评审占</w:t>
      </w:r>
      <w:r>
        <w:rPr>
          <w:rFonts w:hint="eastAsia" w:ascii="宋体" w:hAnsi="宋体" w:cs="宋体"/>
          <w:sz w:val="24"/>
          <w:highlight w:val="none"/>
          <w:lang w:val="en-US" w:eastAsia="zh-CN"/>
        </w:rPr>
        <w:t>40</w:t>
      </w:r>
      <w:r>
        <w:rPr>
          <w:rFonts w:hint="eastAsia" w:ascii="宋体" w:hAnsi="宋体" w:cs="宋体"/>
          <w:sz w:val="24"/>
          <w:highlight w:val="none"/>
        </w:rPr>
        <w:t>%，</w:t>
      </w:r>
      <w:r>
        <w:rPr>
          <w:rFonts w:hint="eastAsia" w:ascii="宋体" w:hAnsi="宋体" w:cs="宋体"/>
          <w:sz w:val="24"/>
        </w:rPr>
        <w:t>投标人评审得分=价格得分+</w:t>
      </w:r>
      <w:bookmarkStart w:id="18" w:name="_GoBack"/>
      <w:bookmarkEnd w:id="18"/>
      <w:r>
        <w:rPr>
          <w:rFonts w:hint="eastAsia" w:ascii="宋体" w:hAnsi="宋体" w:cs="宋体"/>
          <w:sz w:val="24"/>
        </w:rPr>
        <w:t>技术得分，评分标准见下表。同时通过投标人资格及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spacing w:line="400" w:lineRule="exact"/>
        <w:rPr>
          <w:rFonts w:hAnsi="宋体"/>
          <w:color w:val="auto"/>
          <w:szCs w:val="21"/>
        </w:rPr>
      </w:pPr>
    </w:p>
    <w:p>
      <w:pPr>
        <w:ind w:firstLine="2891" w:firstLineChars="800"/>
        <w:jc w:val="left"/>
        <w:rPr>
          <w:rFonts w:ascii="宋体" w:hAnsi="宋体" w:cs="宋体"/>
          <w:b/>
          <w:bCs/>
          <w:color w:val="auto"/>
          <w:sz w:val="36"/>
          <w:szCs w:val="36"/>
        </w:rPr>
      </w:pPr>
      <w:r>
        <w:rPr>
          <w:rFonts w:hint="eastAsia" w:ascii="宋体" w:hAnsi="宋体" w:cs="宋体"/>
          <w:b/>
          <w:bCs/>
          <w:color w:val="auto"/>
          <w:sz w:val="36"/>
          <w:szCs w:val="36"/>
        </w:rPr>
        <w:t>综合评分细则</w:t>
      </w:r>
    </w:p>
    <w:tbl>
      <w:tblPr>
        <w:tblStyle w:val="28"/>
        <w:tblW w:w="9356" w:type="dxa"/>
        <w:tblInd w:w="0" w:type="dxa"/>
        <w:tblLayout w:type="fixed"/>
        <w:tblCellMar>
          <w:top w:w="0" w:type="dxa"/>
          <w:left w:w="108" w:type="dxa"/>
          <w:bottom w:w="0" w:type="dxa"/>
          <w:right w:w="108" w:type="dxa"/>
        </w:tblCellMar>
      </w:tblPr>
      <w:tblGrid>
        <w:gridCol w:w="1101"/>
        <w:gridCol w:w="1701"/>
        <w:gridCol w:w="484"/>
        <w:gridCol w:w="6070"/>
      </w:tblGrid>
      <w:tr>
        <w:tblPrEx>
          <w:tblLayout w:type="fixed"/>
          <w:tblCellMar>
            <w:top w:w="0" w:type="dxa"/>
            <w:left w:w="108" w:type="dxa"/>
            <w:bottom w:w="0" w:type="dxa"/>
            <w:right w:w="108" w:type="dxa"/>
          </w:tblCellMar>
        </w:tblPrEx>
        <w:trPr>
          <w:trHeight w:val="607" w:hRule="atLeast"/>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b/>
                <w:color w:val="auto"/>
                <w:kern w:val="0"/>
                <w:sz w:val="18"/>
                <w:szCs w:val="18"/>
              </w:rPr>
            </w:pPr>
            <w:bookmarkStart w:id="17" w:name="_Hlk4405241"/>
            <w:r>
              <w:rPr>
                <w:rFonts w:hint="eastAsia" w:ascii="宋体" w:hAnsi="宋体" w:cs="宋体"/>
                <w:b/>
                <w:color w:val="auto"/>
                <w:kern w:val="0"/>
                <w:sz w:val="18"/>
                <w:szCs w:val="18"/>
              </w:rPr>
              <w:t>评审大项</w:t>
            </w:r>
          </w:p>
        </w:tc>
        <w:tc>
          <w:tcPr>
            <w:tcW w:w="170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cs="宋体"/>
                <w:b/>
                <w:color w:val="auto"/>
                <w:kern w:val="0"/>
                <w:sz w:val="18"/>
                <w:szCs w:val="18"/>
              </w:rPr>
            </w:pPr>
            <w:r>
              <w:rPr>
                <w:rFonts w:hint="eastAsia" w:ascii="宋体" w:hAnsi="宋体" w:cs="宋体"/>
                <w:b/>
                <w:color w:val="auto"/>
                <w:kern w:val="0"/>
                <w:sz w:val="18"/>
                <w:szCs w:val="18"/>
              </w:rPr>
              <w:t>评审内容</w:t>
            </w:r>
          </w:p>
        </w:tc>
        <w:tc>
          <w:tcPr>
            <w:tcW w:w="484"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cs="宋体"/>
                <w:b/>
                <w:color w:val="auto"/>
                <w:kern w:val="0"/>
                <w:sz w:val="18"/>
                <w:szCs w:val="18"/>
              </w:rPr>
            </w:pPr>
            <w:r>
              <w:rPr>
                <w:rFonts w:hint="eastAsia" w:ascii="宋体" w:hAnsi="宋体" w:cs="宋体"/>
                <w:b/>
                <w:color w:val="auto"/>
                <w:kern w:val="0"/>
                <w:sz w:val="18"/>
                <w:szCs w:val="18"/>
              </w:rPr>
              <w:t>分值</w:t>
            </w:r>
          </w:p>
        </w:tc>
        <w:tc>
          <w:tcPr>
            <w:tcW w:w="6070"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cs="宋体"/>
                <w:b/>
                <w:color w:val="auto"/>
                <w:kern w:val="0"/>
                <w:sz w:val="18"/>
                <w:szCs w:val="18"/>
              </w:rPr>
            </w:pPr>
            <w:r>
              <w:rPr>
                <w:rFonts w:hint="eastAsia" w:ascii="宋体" w:hAnsi="宋体" w:cs="宋体"/>
                <w:b/>
                <w:color w:val="auto"/>
                <w:kern w:val="0"/>
                <w:sz w:val="18"/>
                <w:szCs w:val="18"/>
              </w:rPr>
              <w:t>评分标准</w:t>
            </w:r>
          </w:p>
        </w:tc>
      </w:tr>
      <w:tr>
        <w:tblPrEx>
          <w:tblLayout w:type="fixed"/>
          <w:tblCellMar>
            <w:top w:w="0" w:type="dxa"/>
            <w:left w:w="108" w:type="dxa"/>
            <w:bottom w:w="0" w:type="dxa"/>
            <w:right w:w="108" w:type="dxa"/>
          </w:tblCellMar>
        </w:tblPrEx>
        <w:trPr>
          <w:trHeight w:val="1550" w:hRule="atLeast"/>
        </w:trPr>
        <w:tc>
          <w:tcPr>
            <w:tcW w:w="1101"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技术</w:t>
            </w:r>
            <w:r>
              <w:rPr>
                <w:rFonts w:hint="eastAsia" w:ascii="宋体" w:hAnsi="宋体" w:cs="宋体"/>
                <w:color w:val="auto"/>
                <w:kern w:val="0"/>
                <w:sz w:val="24"/>
                <w:lang w:val="en-US" w:eastAsia="zh-CN"/>
              </w:rPr>
              <w:t>方案</w:t>
            </w:r>
            <w:r>
              <w:rPr>
                <w:rFonts w:hint="eastAsia" w:ascii="宋体" w:hAnsi="宋体" w:cs="宋体"/>
                <w:color w:val="auto"/>
                <w:kern w:val="0"/>
                <w:sz w:val="24"/>
              </w:rPr>
              <w:t>部分</w:t>
            </w:r>
          </w:p>
          <w:p>
            <w:pPr>
              <w:widowControl/>
              <w:jc w:val="center"/>
              <w:rPr>
                <w:rFonts w:ascii="宋体" w:hAnsi="宋体" w:cs="宋体"/>
                <w:color w:val="auto"/>
                <w:kern w:val="0"/>
                <w:sz w:val="24"/>
              </w:rPr>
            </w:pPr>
            <w:r>
              <w:rPr>
                <w:rFonts w:hint="eastAsia" w:ascii="宋体" w:hAnsi="宋体" w:cs="宋体"/>
                <w:color w:val="auto"/>
                <w:kern w:val="0"/>
                <w:sz w:val="24"/>
              </w:rPr>
              <w:t>（</w:t>
            </w:r>
            <w:r>
              <w:rPr>
                <w:rFonts w:hint="eastAsia" w:ascii="宋体" w:hAnsi="宋体" w:cs="宋体"/>
                <w:color w:val="auto"/>
                <w:kern w:val="0"/>
                <w:sz w:val="24"/>
                <w:lang w:val="en-US" w:eastAsia="zh-CN"/>
              </w:rPr>
              <w:t>40</w:t>
            </w:r>
            <w:r>
              <w:rPr>
                <w:rFonts w:hint="eastAsia" w:ascii="宋体" w:hAnsi="宋体" w:cs="宋体"/>
                <w:color w:val="auto"/>
                <w:kern w:val="0"/>
                <w:sz w:val="24"/>
              </w:rPr>
              <w:t>分）</w:t>
            </w:r>
          </w:p>
          <w:p>
            <w:pPr>
              <w:jc w:val="center"/>
              <w:rPr>
                <w:rFonts w:ascii="宋体" w:hAnsi="宋体" w:cs="宋体"/>
                <w:color w:val="auto"/>
                <w:kern w:val="0"/>
                <w:sz w:val="24"/>
              </w:rPr>
            </w:pPr>
          </w:p>
        </w:tc>
        <w:tc>
          <w:tcPr>
            <w:tcW w:w="1701"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主要设备材料响应情况</w:t>
            </w:r>
          </w:p>
        </w:tc>
        <w:tc>
          <w:tcPr>
            <w:tcW w:w="484" w:type="dxa"/>
            <w:tcBorders>
              <w:top w:val="nil"/>
              <w:left w:val="nil"/>
              <w:bottom w:val="single" w:color="auto" w:sz="4" w:space="0"/>
              <w:right w:val="single" w:color="auto" w:sz="4" w:space="0"/>
            </w:tcBorders>
            <w:vAlign w:val="center"/>
          </w:tcPr>
          <w:p>
            <w:pPr>
              <w:pStyle w:val="59"/>
              <w:spacing w:line="24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15</w:t>
            </w:r>
          </w:p>
        </w:tc>
        <w:tc>
          <w:tcPr>
            <w:tcW w:w="6070" w:type="dxa"/>
            <w:tcBorders>
              <w:top w:val="nil"/>
              <w:left w:val="nil"/>
              <w:bottom w:val="single" w:color="auto" w:sz="4" w:space="0"/>
              <w:right w:val="single" w:color="auto" w:sz="4" w:space="0"/>
            </w:tcBorders>
            <w:vAlign w:val="center"/>
          </w:tcPr>
          <w:p>
            <w:pPr>
              <w:pStyle w:val="59"/>
              <w:spacing w:line="240" w:lineRule="auto"/>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所报价的设备材料品牌、主要性能参数等对比乙供材料技术需求书要求的符合和满足程度，及附带投标设备材料说明、产品手册资料等进行综合评审；</w:t>
            </w:r>
          </w:p>
          <w:p>
            <w:pPr>
              <w:pStyle w:val="59"/>
              <w:spacing w:line="240" w:lineRule="auto"/>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优的得15分；</w:t>
            </w:r>
          </w:p>
          <w:p>
            <w:pPr>
              <w:pStyle w:val="59"/>
              <w:spacing w:line="240" w:lineRule="auto"/>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良的得8分； </w:t>
            </w:r>
          </w:p>
          <w:p>
            <w:pPr>
              <w:pStyle w:val="59"/>
              <w:spacing w:line="240" w:lineRule="auto"/>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一般的得2分。</w:t>
            </w:r>
          </w:p>
        </w:tc>
      </w:tr>
      <w:tr>
        <w:tblPrEx>
          <w:tblLayout w:type="fixed"/>
          <w:tblCellMar>
            <w:top w:w="0" w:type="dxa"/>
            <w:left w:w="108" w:type="dxa"/>
            <w:bottom w:w="0" w:type="dxa"/>
            <w:right w:w="108" w:type="dxa"/>
          </w:tblCellMar>
        </w:tblPrEx>
        <w:trPr>
          <w:trHeight w:val="1550" w:hRule="atLeast"/>
        </w:trPr>
        <w:tc>
          <w:tcPr>
            <w:tcW w:w="1101" w:type="dxa"/>
            <w:vMerge w:val="continue"/>
            <w:tcBorders>
              <w:left w:val="single" w:color="auto" w:sz="4" w:space="0"/>
              <w:right w:val="single" w:color="auto" w:sz="4" w:space="0"/>
            </w:tcBorders>
            <w:vAlign w:val="center"/>
          </w:tcPr>
          <w:p>
            <w:pPr>
              <w:jc w:val="center"/>
              <w:rPr>
                <w:rFonts w:ascii="宋体" w:hAnsi="宋体" w:cs="宋体"/>
                <w:color w:val="auto"/>
                <w:kern w:val="0"/>
                <w:sz w:val="24"/>
              </w:rPr>
            </w:pP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总体施工方案评审</w:t>
            </w:r>
          </w:p>
        </w:tc>
        <w:tc>
          <w:tcPr>
            <w:tcW w:w="484" w:type="dxa"/>
            <w:tcBorders>
              <w:top w:val="nil"/>
              <w:left w:val="nil"/>
              <w:bottom w:val="single" w:color="auto" w:sz="4" w:space="0"/>
              <w:right w:val="single" w:color="auto" w:sz="4" w:space="0"/>
            </w:tcBorders>
            <w:vAlign w:val="center"/>
          </w:tcPr>
          <w:p>
            <w:pPr>
              <w:pStyle w:val="59"/>
              <w:spacing w:line="24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8</w:t>
            </w:r>
          </w:p>
        </w:tc>
        <w:tc>
          <w:tcPr>
            <w:tcW w:w="6070" w:type="dxa"/>
            <w:tcBorders>
              <w:top w:val="nil"/>
              <w:left w:val="nil"/>
              <w:bottom w:val="single" w:color="auto" w:sz="4" w:space="0"/>
              <w:right w:val="single" w:color="auto" w:sz="4" w:space="0"/>
            </w:tcBorders>
            <w:vAlign w:val="center"/>
          </w:tcPr>
          <w:p>
            <w:pPr>
              <w:pStyle w:val="59"/>
              <w:spacing w:line="240" w:lineRule="auto"/>
              <w:rPr>
                <w:rFonts w:ascii="宋体" w:hAnsi="宋体" w:cs="宋体"/>
                <w:color w:val="auto"/>
                <w:kern w:val="0"/>
                <w:sz w:val="21"/>
                <w:szCs w:val="21"/>
                <w:highlight w:val="none"/>
              </w:rPr>
            </w:pPr>
            <w:r>
              <w:rPr>
                <w:rFonts w:hint="eastAsia" w:ascii="宋体" w:hAnsi="宋体" w:cs="宋体"/>
                <w:color w:val="auto"/>
                <w:kern w:val="0"/>
                <w:sz w:val="24"/>
              </w:rPr>
              <w:t xml:space="preserve"> </w:t>
            </w:r>
            <w:r>
              <w:rPr>
                <w:rFonts w:hint="eastAsia" w:ascii="宋体" w:hAnsi="宋体" w:cs="宋体"/>
                <w:color w:val="auto"/>
                <w:kern w:val="0"/>
                <w:sz w:val="21"/>
                <w:szCs w:val="21"/>
                <w:highlight w:val="none"/>
              </w:rPr>
              <w:t xml:space="preserve"> </w:t>
            </w:r>
            <w:r>
              <w:rPr>
                <w:rFonts w:ascii="宋体" w:hAnsi="宋体" w:cs="宋体"/>
                <w:color w:val="auto"/>
                <w:kern w:val="0"/>
                <w:sz w:val="21"/>
                <w:szCs w:val="21"/>
                <w:highlight w:val="none"/>
              </w:rPr>
              <w:t>A.</w:t>
            </w:r>
            <w:r>
              <w:rPr>
                <w:rFonts w:hint="eastAsia" w:ascii="宋体" w:hAnsi="宋体" w:cs="宋体"/>
                <w:color w:val="auto"/>
                <w:kern w:val="0"/>
                <w:sz w:val="21"/>
                <w:szCs w:val="21"/>
                <w:highlight w:val="none"/>
              </w:rPr>
              <w:t>对项目已深入研究熟悉，总体方案具有针对性，符合项目特点，合理且可操作性强，构思方案优良，得</w:t>
            </w:r>
            <w:r>
              <w:rPr>
                <w:rFonts w:hint="eastAsia" w:ascii="宋体" w:hAnsi="宋体" w:cs="宋体"/>
                <w:color w:val="auto"/>
                <w:kern w:val="0"/>
                <w:sz w:val="21"/>
                <w:szCs w:val="21"/>
                <w:highlight w:val="none"/>
                <w:lang w:val="en-US" w:eastAsia="zh-CN"/>
              </w:rPr>
              <w:t>6-8</w:t>
            </w:r>
            <w:r>
              <w:rPr>
                <w:rFonts w:hint="eastAsia" w:ascii="宋体" w:hAnsi="宋体" w:cs="宋体"/>
                <w:color w:val="auto"/>
                <w:kern w:val="0"/>
                <w:sz w:val="21"/>
                <w:szCs w:val="21"/>
                <w:highlight w:val="none"/>
              </w:rPr>
              <w:t>分。</w:t>
            </w:r>
          </w:p>
          <w:p>
            <w:pPr>
              <w:pStyle w:val="59"/>
              <w:spacing w:line="240" w:lineRule="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w:t>
            </w:r>
            <w:r>
              <w:rPr>
                <w:rFonts w:ascii="宋体" w:hAnsi="宋体" w:cs="宋体"/>
                <w:color w:val="auto"/>
                <w:kern w:val="0"/>
                <w:sz w:val="21"/>
                <w:szCs w:val="21"/>
                <w:highlight w:val="none"/>
              </w:rPr>
              <w:t>B.</w:t>
            </w:r>
            <w:r>
              <w:rPr>
                <w:rFonts w:hint="eastAsia" w:ascii="宋体" w:hAnsi="宋体" w:cs="宋体"/>
                <w:color w:val="auto"/>
                <w:kern w:val="0"/>
                <w:sz w:val="21"/>
                <w:szCs w:val="21"/>
                <w:highlight w:val="none"/>
              </w:rPr>
              <w:t xml:space="preserve"> 对项目较为了解，总体案有一定的针对性，基本符合项目特点，基本合理，可操作性一般，构思方案一般，得</w:t>
            </w:r>
            <w:r>
              <w:rPr>
                <w:rFonts w:hint="eastAsia" w:ascii="宋体" w:hAnsi="宋体" w:cs="宋体"/>
                <w:color w:val="auto"/>
                <w:kern w:val="0"/>
                <w:sz w:val="21"/>
                <w:szCs w:val="21"/>
                <w:highlight w:val="none"/>
                <w:lang w:val="en-US" w:eastAsia="zh-CN"/>
              </w:rPr>
              <w:t>3-5</w:t>
            </w:r>
            <w:r>
              <w:rPr>
                <w:rFonts w:hint="eastAsia" w:ascii="宋体" w:hAnsi="宋体" w:cs="宋体"/>
                <w:color w:val="auto"/>
                <w:kern w:val="0"/>
                <w:sz w:val="21"/>
                <w:szCs w:val="21"/>
                <w:highlight w:val="none"/>
              </w:rPr>
              <w:t>分。</w:t>
            </w:r>
          </w:p>
          <w:p>
            <w:pPr>
              <w:pStyle w:val="59"/>
              <w:spacing w:line="240" w:lineRule="auto"/>
              <w:rPr>
                <w:rFonts w:hint="default" w:ascii="宋体" w:hAnsi="宋体" w:eastAsia="宋体" w:cs="宋体"/>
                <w:color w:val="auto"/>
                <w:kern w:val="0"/>
                <w:sz w:val="24"/>
                <w:lang w:val="en-US" w:eastAsia="zh-CN"/>
              </w:rPr>
            </w:pPr>
            <w:r>
              <w:rPr>
                <w:rFonts w:hint="eastAsia" w:ascii="宋体" w:hAnsi="宋体" w:cs="宋体"/>
                <w:color w:val="auto"/>
                <w:kern w:val="0"/>
                <w:sz w:val="21"/>
                <w:szCs w:val="21"/>
                <w:highlight w:val="none"/>
              </w:rPr>
              <w:t xml:space="preserve">    </w:t>
            </w:r>
            <w:r>
              <w:rPr>
                <w:rFonts w:ascii="宋体" w:hAnsi="宋体" w:cs="宋体"/>
                <w:color w:val="auto"/>
                <w:kern w:val="0"/>
                <w:sz w:val="21"/>
                <w:szCs w:val="21"/>
                <w:highlight w:val="none"/>
              </w:rPr>
              <w:t>C.</w:t>
            </w:r>
            <w:r>
              <w:rPr>
                <w:rFonts w:hint="eastAsia" w:ascii="宋体" w:hAnsi="宋体" w:cs="宋体"/>
                <w:color w:val="auto"/>
                <w:kern w:val="0"/>
                <w:sz w:val="21"/>
                <w:szCs w:val="21"/>
                <w:highlight w:val="none"/>
              </w:rPr>
              <w:t xml:space="preserve"> 项目情况</w:t>
            </w:r>
            <w:r>
              <w:rPr>
                <w:rFonts w:hint="eastAsia" w:ascii="宋体" w:hAnsi="宋体" w:cs="宋体"/>
                <w:color w:val="auto"/>
                <w:kern w:val="0"/>
                <w:sz w:val="21"/>
                <w:szCs w:val="21"/>
                <w:highlight w:val="none"/>
                <w:lang w:val="en-US" w:eastAsia="zh-CN"/>
              </w:rPr>
              <w:t>了解一般</w:t>
            </w:r>
            <w:r>
              <w:rPr>
                <w:rFonts w:hint="eastAsia" w:ascii="宋体" w:hAnsi="宋体" w:cs="宋体"/>
                <w:color w:val="auto"/>
                <w:kern w:val="0"/>
                <w:sz w:val="21"/>
                <w:szCs w:val="21"/>
                <w:highlight w:val="none"/>
              </w:rPr>
              <w:t>，总体方案泛泛，得</w:t>
            </w:r>
            <w:r>
              <w:rPr>
                <w:rFonts w:ascii="宋体" w:hAnsi="宋体" w:cs="宋体"/>
                <w:color w:val="auto"/>
                <w:kern w:val="0"/>
                <w:sz w:val="21"/>
                <w:szCs w:val="21"/>
                <w:highlight w:val="none"/>
              </w:rPr>
              <w:t>0</w:t>
            </w:r>
            <w:r>
              <w:rPr>
                <w:rFonts w:hint="eastAsia" w:ascii="宋体" w:hAnsi="宋体" w:cs="宋体"/>
                <w:color w:val="auto"/>
                <w:kern w:val="0"/>
                <w:sz w:val="21"/>
                <w:szCs w:val="21"/>
                <w:highlight w:val="none"/>
              </w:rPr>
              <w:t>-2分。</w:t>
            </w:r>
          </w:p>
        </w:tc>
      </w:tr>
      <w:tr>
        <w:tblPrEx>
          <w:tblLayout w:type="fixed"/>
          <w:tblCellMar>
            <w:top w:w="0" w:type="dxa"/>
            <w:left w:w="108" w:type="dxa"/>
            <w:bottom w:w="0" w:type="dxa"/>
            <w:right w:w="108" w:type="dxa"/>
          </w:tblCellMar>
        </w:tblPrEx>
        <w:trPr>
          <w:trHeight w:val="1794" w:hRule="atLeast"/>
        </w:trPr>
        <w:tc>
          <w:tcPr>
            <w:tcW w:w="1101" w:type="dxa"/>
            <w:vMerge w:val="continue"/>
            <w:tcBorders>
              <w:left w:val="single" w:color="auto" w:sz="4" w:space="0"/>
              <w:right w:val="single" w:color="auto" w:sz="4" w:space="0"/>
            </w:tcBorders>
            <w:vAlign w:val="center"/>
          </w:tcPr>
          <w:p>
            <w:pPr>
              <w:jc w:val="center"/>
              <w:rPr>
                <w:rFonts w:ascii="宋体" w:hAnsi="宋体" w:cs="宋体"/>
                <w:color w:val="auto"/>
                <w:kern w:val="0"/>
                <w:sz w:val="24"/>
              </w:rPr>
            </w:pP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施工的质量与进度保证措施（提出针对本项目提供优质的施工计划及技术支持，其他措施自拟）</w:t>
            </w:r>
          </w:p>
        </w:tc>
        <w:tc>
          <w:tcPr>
            <w:tcW w:w="48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8</w:t>
            </w:r>
          </w:p>
        </w:tc>
        <w:tc>
          <w:tcPr>
            <w:tcW w:w="6070" w:type="dxa"/>
            <w:tcBorders>
              <w:top w:val="nil"/>
              <w:left w:val="nil"/>
              <w:bottom w:val="single" w:color="auto" w:sz="4" w:space="0"/>
              <w:right w:val="single" w:color="auto" w:sz="4" w:space="0"/>
            </w:tcBorders>
            <w:shd w:val="clear" w:color="auto" w:fill="FFFFFF"/>
            <w:vAlign w:val="center"/>
          </w:tcPr>
          <w:p>
            <w:pPr>
              <w:widowControl/>
              <w:jc w:val="left"/>
              <w:rPr>
                <w:rFonts w:ascii="宋体" w:hAnsi="宋体" w:eastAsia="宋体" w:cs="宋体"/>
                <w:color w:val="auto"/>
                <w:kern w:val="0"/>
                <w:sz w:val="21"/>
                <w:szCs w:val="21"/>
                <w:highlight w:val="none"/>
              </w:rPr>
            </w:pPr>
            <w:r>
              <w:rPr>
                <w:rFonts w:hint="eastAsia" w:ascii="宋体" w:hAnsi="宋体" w:cs="宋体"/>
                <w:color w:val="auto"/>
                <w:kern w:val="0"/>
                <w:sz w:val="24"/>
              </w:rPr>
              <w:t xml:space="preserve"> </w:t>
            </w:r>
            <w:r>
              <w:rPr>
                <w:rFonts w:hint="eastAsia" w:ascii="宋体" w:hAnsi="宋体" w:eastAsia="宋体" w:cs="宋体"/>
                <w:color w:val="auto"/>
                <w:kern w:val="0"/>
                <w:sz w:val="21"/>
                <w:szCs w:val="21"/>
                <w:highlight w:val="none"/>
              </w:rPr>
              <w:t xml:space="preserve"> </w:t>
            </w:r>
            <w:r>
              <w:rPr>
                <w:rFonts w:ascii="宋体" w:hAnsi="宋体" w:eastAsia="宋体" w:cs="宋体"/>
                <w:color w:val="auto"/>
                <w:kern w:val="0"/>
                <w:sz w:val="21"/>
                <w:szCs w:val="21"/>
                <w:highlight w:val="none"/>
              </w:rPr>
              <w:t>A.</w:t>
            </w:r>
            <w:r>
              <w:rPr>
                <w:rFonts w:hint="eastAsia" w:ascii="宋体" w:hAnsi="宋体" w:eastAsia="宋体" w:cs="宋体"/>
                <w:color w:val="auto"/>
                <w:kern w:val="0"/>
                <w:sz w:val="21"/>
                <w:szCs w:val="21"/>
                <w:highlight w:val="none"/>
              </w:rPr>
              <w:t>措施合理、具体可行，可操作性强，工期安排较优，完全满足各阶段的服务要求，人员配置合理、分工明确、架构科学，能及时回应采购人有关诉求得</w:t>
            </w:r>
            <w:r>
              <w:rPr>
                <w:rFonts w:hint="eastAsia" w:ascii="宋体" w:hAnsi="宋体" w:eastAsia="宋体" w:cs="宋体"/>
                <w:color w:val="auto"/>
                <w:kern w:val="0"/>
                <w:sz w:val="21"/>
                <w:szCs w:val="21"/>
                <w:highlight w:val="none"/>
                <w:lang w:val="en-US" w:eastAsia="zh-CN"/>
              </w:rPr>
              <w:t>6-8</w:t>
            </w:r>
            <w:r>
              <w:rPr>
                <w:rFonts w:hint="eastAsia" w:ascii="宋体" w:hAnsi="宋体" w:eastAsia="宋体" w:cs="宋体"/>
                <w:color w:val="auto"/>
                <w:kern w:val="0"/>
                <w:sz w:val="21"/>
                <w:szCs w:val="21"/>
                <w:highlight w:val="none"/>
              </w:rPr>
              <w:t>分。</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B.措施较为合理，基本可行，可操作性一般，工期基本满足采购人需求。人员配置及构架基本合理，基本满是采购人需求，得</w:t>
            </w:r>
            <w:r>
              <w:rPr>
                <w:rFonts w:hint="eastAsia" w:ascii="宋体" w:hAnsi="宋体" w:eastAsia="宋体" w:cs="宋体"/>
                <w:color w:val="auto"/>
                <w:kern w:val="0"/>
                <w:sz w:val="21"/>
                <w:szCs w:val="21"/>
                <w:highlight w:val="none"/>
                <w:lang w:val="en-US" w:eastAsia="zh-CN"/>
              </w:rPr>
              <w:t>3-5</w:t>
            </w:r>
            <w:r>
              <w:rPr>
                <w:rFonts w:hint="eastAsia" w:ascii="宋体" w:hAnsi="宋体" w:eastAsia="宋体" w:cs="宋体"/>
                <w:color w:val="auto"/>
                <w:kern w:val="0"/>
                <w:sz w:val="21"/>
                <w:szCs w:val="21"/>
                <w:highlight w:val="none"/>
              </w:rPr>
              <w:t>分。</w:t>
            </w:r>
          </w:p>
          <w:p>
            <w:pPr>
              <w:widowControl/>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1"/>
                <w:szCs w:val="21"/>
                <w:highlight w:val="none"/>
                <w:lang w:val="en-US" w:eastAsia="zh-CN"/>
              </w:rPr>
              <w:t>其余不得分。</w:t>
            </w:r>
          </w:p>
        </w:tc>
      </w:tr>
      <w:tr>
        <w:tblPrEx>
          <w:tblLayout w:type="fixed"/>
          <w:tblCellMar>
            <w:top w:w="0" w:type="dxa"/>
            <w:left w:w="108" w:type="dxa"/>
            <w:bottom w:w="0" w:type="dxa"/>
            <w:right w:w="108" w:type="dxa"/>
          </w:tblCellMar>
        </w:tblPrEx>
        <w:trPr>
          <w:trHeight w:val="1059" w:hRule="atLeast"/>
        </w:trPr>
        <w:tc>
          <w:tcPr>
            <w:tcW w:w="1101" w:type="dxa"/>
            <w:vMerge w:val="continue"/>
            <w:tcBorders>
              <w:left w:val="single" w:color="auto" w:sz="4" w:space="0"/>
              <w:right w:val="single" w:color="auto" w:sz="4" w:space="0"/>
            </w:tcBorders>
            <w:vAlign w:val="center"/>
          </w:tcPr>
          <w:p>
            <w:pPr>
              <w:jc w:val="center"/>
              <w:rPr>
                <w:rFonts w:ascii="宋体" w:hAnsi="宋体" w:cs="宋体"/>
                <w:color w:val="auto"/>
                <w:kern w:val="0"/>
                <w:sz w:val="24"/>
              </w:rPr>
            </w:pPr>
          </w:p>
        </w:tc>
        <w:tc>
          <w:tcPr>
            <w:tcW w:w="170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18"/>
                <w:szCs w:val="18"/>
                <w:highlight w:val="none"/>
              </w:rPr>
            </w:pPr>
          </w:p>
          <w:p>
            <w:pPr>
              <w:widowControl/>
              <w:jc w:val="center"/>
              <w:rPr>
                <w:rFonts w:ascii="宋体" w:hAnsi="宋体" w:cs="宋体"/>
                <w:color w:val="auto"/>
                <w:kern w:val="0"/>
                <w:sz w:val="24"/>
              </w:rPr>
            </w:pPr>
            <w:r>
              <w:rPr>
                <w:rFonts w:hint="eastAsia" w:ascii="宋体" w:hAnsi="宋体" w:eastAsia="宋体" w:cs="宋体"/>
                <w:color w:val="auto"/>
                <w:kern w:val="0"/>
                <w:sz w:val="18"/>
                <w:szCs w:val="18"/>
                <w:highlight w:val="none"/>
              </w:rPr>
              <w:t>项目的重点和难点分析</w:t>
            </w:r>
          </w:p>
        </w:tc>
        <w:tc>
          <w:tcPr>
            <w:tcW w:w="484"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24"/>
                <w:lang w:val="en-US"/>
              </w:rPr>
            </w:pPr>
            <w:r>
              <w:rPr>
                <w:rFonts w:hint="eastAsia" w:ascii="宋体" w:hAnsi="宋体" w:cs="宋体"/>
                <w:color w:val="auto"/>
                <w:kern w:val="0"/>
                <w:sz w:val="18"/>
                <w:szCs w:val="18"/>
                <w:highlight w:val="none"/>
                <w:lang w:val="en-US" w:eastAsia="zh-CN"/>
              </w:rPr>
              <w:t>7</w:t>
            </w:r>
          </w:p>
        </w:tc>
        <w:tc>
          <w:tcPr>
            <w:tcW w:w="6070" w:type="dxa"/>
            <w:tcBorders>
              <w:top w:val="nil"/>
              <w:left w:val="nil"/>
              <w:bottom w:val="single" w:color="auto" w:sz="4" w:space="0"/>
              <w:right w:val="single" w:color="auto" w:sz="4" w:space="0"/>
            </w:tcBorders>
            <w:shd w:val="clear" w:color="auto" w:fill="FFFFFF"/>
            <w:vAlign w:val="center"/>
          </w:tcPr>
          <w:p>
            <w:pPr>
              <w:widowControl/>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r>
              <w:rPr>
                <w:rFonts w:ascii="宋体" w:hAnsi="宋体" w:eastAsia="宋体" w:cs="宋体"/>
                <w:color w:val="auto"/>
                <w:kern w:val="0"/>
                <w:sz w:val="21"/>
                <w:szCs w:val="21"/>
                <w:highlight w:val="none"/>
              </w:rPr>
              <w:t xml:space="preserve">A. </w:t>
            </w:r>
            <w:r>
              <w:rPr>
                <w:rFonts w:hint="eastAsia" w:ascii="宋体" w:hAnsi="宋体" w:eastAsia="宋体" w:cs="宋体"/>
                <w:color w:val="auto"/>
                <w:kern w:val="0"/>
                <w:sz w:val="21"/>
                <w:szCs w:val="21"/>
                <w:highlight w:val="none"/>
              </w:rPr>
              <w:t>技术理念先进，叙述全面，且简明扼要，重点突出，近远期结合，经济可行。项目难点的分析透彻，并提出实际可行的针对措施，得</w:t>
            </w:r>
            <w:r>
              <w:rPr>
                <w:rFonts w:hint="eastAsia" w:ascii="宋体" w:hAnsi="宋体" w:eastAsia="宋体" w:cs="宋体"/>
                <w:color w:val="auto"/>
                <w:kern w:val="0"/>
                <w:sz w:val="21"/>
                <w:szCs w:val="21"/>
                <w:highlight w:val="none"/>
                <w:lang w:val="en-US" w:eastAsia="zh-CN"/>
              </w:rPr>
              <w:t>5-7</w:t>
            </w:r>
            <w:r>
              <w:rPr>
                <w:rFonts w:hint="eastAsia" w:ascii="宋体" w:hAnsi="宋体" w:eastAsia="宋体" w:cs="宋体"/>
                <w:color w:val="auto"/>
                <w:kern w:val="0"/>
                <w:sz w:val="21"/>
                <w:szCs w:val="21"/>
                <w:highlight w:val="none"/>
              </w:rPr>
              <w:t>分。</w:t>
            </w:r>
          </w:p>
          <w:p>
            <w:pPr>
              <w:widowControl/>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r>
              <w:rPr>
                <w:rFonts w:ascii="宋体" w:hAnsi="宋体" w:eastAsia="宋体" w:cs="宋体"/>
                <w:color w:val="auto"/>
                <w:kern w:val="0"/>
                <w:sz w:val="21"/>
                <w:szCs w:val="21"/>
                <w:highlight w:val="none"/>
              </w:rPr>
              <w:t xml:space="preserve">B. </w:t>
            </w:r>
            <w:r>
              <w:rPr>
                <w:rFonts w:hint="eastAsia" w:ascii="宋体" w:hAnsi="宋体" w:eastAsia="宋体" w:cs="宋体"/>
                <w:color w:val="auto"/>
                <w:kern w:val="0"/>
                <w:sz w:val="21"/>
                <w:szCs w:val="21"/>
                <w:highlight w:val="none"/>
              </w:rPr>
              <w:t>技术理念有</w:t>
            </w:r>
            <w:r>
              <w:rPr>
                <w:rFonts w:hint="eastAsia" w:ascii="宋体" w:hAnsi="宋体" w:eastAsia="宋体" w:cs="宋体"/>
                <w:color w:val="auto"/>
                <w:kern w:val="0"/>
                <w:sz w:val="21"/>
                <w:szCs w:val="21"/>
                <w:highlight w:val="none"/>
                <w:lang w:val="en-US" w:eastAsia="zh-CN"/>
              </w:rPr>
              <w:t>合理</w:t>
            </w:r>
            <w:r>
              <w:rPr>
                <w:rFonts w:hint="eastAsia" w:ascii="宋体" w:hAnsi="宋体" w:eastAsia="宋体" w:cs="宋体"/>
                <w:color w:val="auto"/>
                <w:kern w:val="0"/>
                <w:sz w:val="21"/>
                <w:szCs w:val="21"/>
                <w:highlight w:val="none"/>
              </w:rPr>
              <w:t>，叙述较为全面，可操作性一般，重点基本突出。项目难点分析欠透彻，解决措施可行性一般，得</w:t>
            </w:r>
            <w:r>
              <w:rPr>
                <w:rFonts w:hint="eastAsia" w:ascii="宋体" w:hAnsi="宋体" w:eastAsia="宋体" w:cs="宋体"/>
                <w:color w:val="auto"/>
                <w:kern w:val="0"/>
                <w:sz w:val="21"/>
                <w:szCs w:val="21"/>
                <w:highlight w:val="none"/>
                <w:lang w:val="en-US" w:eastAsia="zh-CN"/>
              </w:rPr>
              <w:t>2-4</w:t>
            </w:r>
            <w:r>
              <w:rPr>
                <w:rFonts w:hint="eastAsia" w:ascii="宋体" w:hAnsi="宋体" w:eastAsia="宋体" w:cs="宋体"/>
                <w:color w:val="auto"/>
                <w:kern w:val="0"/>
                <w:sz w:val="21"/>
                <w:szCs w:val="21"/>
                <w:highlight w:val="none"/>
              </w:rPr>
              <w:t>分。</w:t>
            </w:r>
          </w:p>
          <w:p>
            <w:pPr>
              <w:widowControl/>
              <w:jc w:val="left"/>
              <w:rPr>
                <w:rFonts w:ascii="宋体" w:hAnsi="宋体" w:cs="宋体"/>
                <w:color w:val="auto"/>
                <w:kern w:val="0"/>
                <w:sz w:val="24"/>
              </w:rPr>
            </w:pPr>
            <w:r>
              <w:rPr>
                <w:rFonts w:hint="eastAsia" w:ascii="宋体" w:hAnsi="宋体" w:eastAsia="宋体" w:cs="宋体"/>
                <w:color w:val="auto"/>
                <w:kern w:val="0"/>
                <w:sz w:val="21"/>
                <w:szCs w:val="21"/>
                <w:highlight w:val="none"/>
              </w:rPr>
              <w:t xml:space="preserve">    C. 技术理念无新意，可操作性差，重点不突出；项目重点、难点的分析不透彻，解决措施差或不可行，得</w:t>
            </w:r>
            <w:r>
              <w:rPr>
                <w:rFonts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w:t>
            </w:r>
          </w:p>
        </w:tc>
      </w:tr>
      <w:tr>
        <w:tblPrEx>
          <w:tblLayout w:type="fixed"/>
          <w:tblCellMar>
            <w:top w:w="0" w:type="dxa"/>
            <w:left w:w="108" w:type="dxa"/>
            <w:bottom w:w="0" w:type="dxa"/>
            <w:right w:w="108" w:type="dxa"/>
          </w:tblCellMar>
        </w:tblPrEx>
        <w:trPr>
          <w:trHeight w:val="1059" w:hRule="atLeast"/>
        </w:trPr>
        <w:tc>
          <w:tcPr>
            <w:tcW w:w="1101" w:type="dxa"/>
            <w:vMerge w:val="continue"/>
            <w:tcBorders>
              <w:left w:val="single" w:color="auto" w:sz="4" w:space="0"/>
              <w:right w:val="single" w:color="auto" w:sz="4" w:space="0"/>
            </w:tcBorders>
            <w:vAlign w:val="center"/>
          </w:tcPr>
          <w:p>
            <w:pPr>
              <w:jc w:val="center"/>
              <w:rPr>
                <w:rFonts w:ascii="宋体" w:hAnsi="宋体" w:cs="宋体"/>
                <w:color w:val="auto"/>
                <w:kern w:val="0"/>
                <w:sz w:val="24"/>
              </w:rPr>
            </w:pP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采购人供应商管理系统查到的分值</w:t>
            </w:r>
          </w:p>
        </w:tc>
        <w:tc>
          <w:tcPr>
            <w:tcW w:w="484" w:type="dxa"/>
            <w:tcBorders>
              <w:top w:val="nil"/>
              <w:left w:val="nil"/>
              <w:bottom w:val="single" w:color="auto" w:sz="4" w:space="0"/>
              <w:right w:val="single" w:color="auto" w:sz="4" w:space="0"/>
            </w:tcBorders>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2</w:t>
            </w:r>
          </w:p>
        </w:tc>
        <w:tc>
          <w:tcPr>
            <w:tcW w:w="6070" w:type="dxa"/>
            <w:tcBorders>
              <w:top w:val="nil"/>
              <w:left w:val="nil"/>
              <w:bottom w:val="single" w:color="auto" w:sz="4" w:space="0"/>
              <w:right w:val="single" w:color="auto" w:sz="4" w:space="0"/>
            </w:tcBorders>
            <w:shd w:val="clear" w:color="auto" w:fill="FFFFFF"/>
            <w:vAlign w:val="center"/>
          </w:tcPr>
          <w:p>
            <w:pPr>
              <w:widowControl/>
              <w:jc w:val="left"/>
              <w:rPr>
                <w:rFonts w:ascii="宋体" w:hAnsi="宋体" w:cs="宋体"/>
                <w:color w:val="auto"/>
                <w:kern w:val="0"/>
                <w:sz w:val="24"/>
              </w:rPr>
            </w:pPr>
            <w:r>
              <w:rPr>
                <w:rFonts w:hint="eastAsia" w:ascii="宋体" w:hAnsi="宋体" w:cs="宋体"/>
                <w:color w:val="auto"/>
                <w:kern w:val="0"/>
                <w:sz w:val="24"/>
              </w:rPr>
              <w:t>供应商诚信分以评标当天采购人供应商管理系统查到的分值直接计取（供应商诚信分原始分为0分），投标人不在供应商管理系统内的，诚信分按0分计算。本项供应商诚信分在采购人官方网站上定期公布。</w:t>
            </w:r>
          </w:p>
          <w:p>
            <w:pPr>
              <w:adjustRightInd w:val="0"/>
              <w:snapToGrid w:val="0"/>
              <w:jc w:val="left"/>
              <w:rPr>
                <w:rFonts w:ascii="宋体" w:hAnsi="宋体" w:cs="宋体"/>
                <w:color w:val="auto"/>
                <w:kern w:val="0"/>
                <w:sz w:val="24"/>
              </w:rPr>
            </w:pPr>
            <w:r>
              <w:rPr>
                <w:rFonts w:hint="eastAsia" w:ascii="宋体" w:hAnsi="宋体" w:cs="宋体"/>
                <w:color w:val="auto"/>
                <w:kern w:val="0"/>
                <w:sz w:val="24"/>
              </w:rPr>
              <w:t>诚信分≧2分时本项得2分。</w:t>
            </w:r>
          </w:p>
        </w:tc>
      </w:tr>
      <w:tr>
        <w:tblPrEx>
          <w:tblLayout w:type="fixed"/>
          <w:tblCellMar>
            <w:top w:w="0" w:type="dxa"/>
            <w:left w:w="108" w:type="dxa"/>
            <w:bottom w:w="0" w:type="dxa"/>
            <w:right w:w="108" w:type="dxa"/>
          </w:tblCellMar>
        </w:tblPrEx>
        <w:trPr>
          <w:trHeight w:val="1083" w:hRule="atLeast"/>
        </w:trPr>
        <w:tc>
          <w:tcPr>
            <w:tcW w:w="1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价格部分</w:t>
            </w:r>
          </w:p>
          <w:p>
            <w:pPr>
              <w:widowControl/>
              <w:jc w:val="center"/>
              <w:rPr>
                <w:rFonts w:ascii="宋体" w:hAnsi="宋体" w:cs="宋体"/>
                <w:color w:val="auto"/>
                <w:kern w:val="0"/>
                <w:sz w:val="24"/>
              </w:rPr>
            </w:pPr>
            <w:r>
              <w:rPr>
                <w:rFonts w:hint="eastAsia" w:ascii="宋体" w:hAnsi="宋体" w:cs="宋体"/>
                <w:color w:val="auto"/>
                <w:kern w:val="0"/>
                <w:sz w:val="24"/>
              </w:rPr>
              <w:t>（</w:t>
            </w:r>
            <w:r>
              <w:rPr>
                <w:rFonts w:hint="eastAsia" w:ascii="宋体" w:hAnsi="宋体" w:cs="宋体"/>
                <w:color w:val="auto"/>
                <w:kern w:val="0"/>
                <w:sz w:val="24"/>
                <w:lang w:val="en-US" w:eastAsia="zh-CN"/>
              </w:rPr>
              <w:t>6</w:t>
            </w:r>
            <w:r>
              <w:rPr>
                <w:rFonts w:hint="eastAsia" w:ascii="宋体" w:hAnsi="宋体" w:cs="宋体"/>
                <w:color w:val="auto"/>
                <w:kern w:val="0"/>
                <w:sz w:val="24"/>
              </w:rPr>
              <w:t>0分）</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cs="宋体"/>
                <w:color w:val="auto"/>
                <w:kern w:val="0"/>
                <w:sz w:val="24"/>
              </w:rPr>
            </w:pPr>
            <w:r>
              <w:rPr>
                <w:rFonts w:hint="eastAsia" w:ascii="宋体" w:hAnsi="宋体" w:cs="宋体"/>
                <w:color w:val="auto"/>
                <w:kern w:val="0"/>
                <w:sz w:val="24"/>
              </w:rPr>
              <w:t xml:space="preserve">      报价</w:t>
            </w:r>
          </w:p>
        </w:tc>
        <w:tc>
          <w:tcPr>
            <w:tcW w:w="484"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cs="宋体"/>
                <w:color w:val="auto"/>
                <w:kern w:val="0"/>
                <w:sz w:val="24"/>
              </w:rPr>
            </w:pPr>
            <w:r>
              <w:rPr>
                <w:rFonts w:hint="eastAsia" w:ascii="宋体" w:hAnsi="宋体" w:cs="宋体"/>
                <w:color w:val="auto"/>
                <w:kern w:val="0"/>
                <w:sz w:val="24"/>
                <w:lang w:val="en-US" w:eastAsia="zh-CN"/>
              </w:rPr>
              <w:t>6</w:t>
            </w:r>
            <w:r>
              <w:rPr>
                <w:rFonts w:hint="eastAsia" w:ascii="宋体" w:hAnsi="宋体" w:cs="宋体"/>
                <w:color w:val="auto"/>
                <w:kern w:val="0"/>
                <w:sz w:val="24"/>
              </w:rPr>
              <w:t>0</w:t>
            </w:r>
          </w:p>
        </w:tc>
        <w:tc>
          <w:tcPr>
            <w:tcW w:w="60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color w:val="auto"/>
                <w:kern w:val="0"/>
                <w:sz w:val="24"/>
              </w:rPr>
            </w:pPr>
            <w:r>
              <w:rPr>
                <w:rFonts w:hint="eastAsia" w:ascii="宋体" w:hAnsi="宋体" w:cs="宋体"/>
                <w:color w:val="auto"/>
                <w:kern w:val="0"/>
                <w:sz w:val="24"/>
              </w:rPr>
              <w:t>通过资格性和有效性审查的投标人中，以投标人报价的最低价为评标基准价，通过资格性和有效性审查的各投标人的价格评分统一按照下列公式计算：</w:t>
            </w:r>
          </w:p>
          <w:p>
            <w:pPr>
              <w:adjustRightInd w:val="0"/>
              <w:snapToGrid w:val="0"/>
              <w:jc w:val="left"/>
              <w:rPr>
                <w:rFonts w:ascii="宋体" w:hAnsi="宋体" w:cs="宋体"/>
                <w:color w:val="auto"/>
                <w:kern w:val="0"/>
                <w:sz w:val="24"/>
              </w:rPr>
            </w:pPr>
            <w:r>
              <w:rPr>
                <w:rFonts w:hint="eastAsia" w:ascii="宋体" w:hAnsi="宋体" w:cs="宋体"/>
                <w:color w:val="auto"/>
                <w:kern w:val="0"/>
                <w:sz w:val="24"/>
              </w:rPr>
              <w:t>价格评分＝评标基准价÷投标人投标报价×</w:t>
            </w:r>
            <w:r>
              <w:rPr>
                <w:rFonts w:hint="eastAsia" w:ascii="宋体" w:hAnsi="宋体" w:cs="宋体"/>
                <w:color w:val="auto"/>
                <w:kern w:val="0"/>
                <w:sz w:val="24"/>
                <w:lang w:val="en-US" w:eastAsia="zh-CN"/>
              </w:rPr>
              <w:t>6</w:t>
            </w:r>
            <w:r>
              <w:rPr>
                <w:rFonts w:hint="eastAsia" w:ascii="宋体" w:hAnsi="宋体" w:cs="宋体"/>
                <w:color w:val="auto"/>
                <w:kern w:val="0"/>
                <w:sz w:val="24"/>
              </w:rPr>
              <w:t>0</w:t>
            </w:r>
          </w:p>
        </w:tc>
      </w:tr>
      <w:bookmarkEnd w:id="17"/>
    </w:tbl>
    <w:p>
      <w:pPr>
        <w:pStyle w:val="2"/>
        <w:numPr>
          <w:ilvl w:val="-1"/>
          <w:numId w:val="0"/>
        </w:numPr>
        <w:ind w:left="420" w:leftChars="200" w:firstLine="0" w:firstLineChars="0"/>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2DE5B4"/>
    <w:multiLevelType w:val="singleLevel"/>
    <w:tmpl w:val="572DE5B4"/>
    <w:lvl w:ilvl="0" w:tentative="0">
      <w:start w:val="1"/>
      <w:numFmt w:val="decimal"/>
      <w:suff w:val="nothing"/>
      <w:lvlText w:val="%1."/>
      <w:lvlJc w:val="left"/>
    </w:lvl>
  </w:abstractNum>
  <w:abstractNum w:abstractNumId="10">
    <w:nsid w:val="5C4B78AE"/>
    <w:multiLevelType w:val="multilevel"/>
    <w:tmpl w:val="5C4B78AE"/>
    <w:lvl w:ilvl="0" w:tentative="0">
      <w:start w:val="1"/>
      <w:numFmt w:val="decimal"/>
      <w:lvlText w:val="（%1）"/>
      <w:lvlJc w:val="left"/>
      <w:pPr>
        <w:ind w:left="0" w:firstLine="426"/>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1">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6E68E01"/>
    <w:multiLevelType w:val="singleLevel"/>
    <w:tmpl w:val="76E68E01"/>
    <w:lvl w:ilvl="0" w:tentative="0">
      <w:start w:val="1"/>
      <w:numFmt w:val="chineseCounting"/>
      <w:suff w:val="nothing"/>
      <w:lvlText w:val="（%1）"/>
      <w:lvlJc w:val="left"/>
      <w:rPr>
        <w:rFonts w:hint="eastAsia"/>
      </w:rPr>
    </w:lvl>
  </w:abstractNum>
  <w:abstractNum w:abstractNumId="13">
    <w:nsid w:val="7CE70E6D"/>
    <w:multiLevelType w:val="singleLevel"/>
    <w:tmpl w:val="7CE70E6D"/>
    <w:lvl w:ilvl="0" w:tentative="0">
      <w:start w:val="1"/>
      <w:numFmt w:val="decimal"/>
      <w:suff w:val="nothing"/>
      <w:lvlText w:val="%1."/>
      <w:lvlJc w:val="left"/>
    </w:lvl>
  </w:abstractNum>
  <w:num w:numId="1">
    <w:abstractNumId w:val="0"/>
  </w:num>
  <w:num w:numId="2">
    <w:abstractNumId w:val="3"/>
  </w:num>
  <w:num w:numId="3">
    <w:abstractNumId w:val="12"/>
  </w:num>
  <w:num w:numId="4">
    <w:abstractNumId w:val="1"/>
  </w:num>
  <w:num w:numId="5">
    <w:abstractNumId w:val="11"/>
  </w:num>
  <w:num w:numId="6">
    <w:abstractNumId w:val="7"/>
  </w:num>
  <w:num w:numId="7">
    <w:abstractNumId w:val="2"/>
  </w:num>
  <w:num w:numId="8">
    <w:abstractNumId w:val="8"/>
  </w:num>
  <w:num w:numId="9">
    <w:abstractNumId w:val="6"/>
  </w:num>
  <w:num w:numId="10">
    <w:abstractNumId w:val="5"/>
  </w:num>
  <w:num w:numId="11">
    <w:abstractNumId w:val="10"/>
  </w:num>
  <w:num w:numId="12">
    <w:abstractNumId w:val="4"/>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96080"/>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0F9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1F19"/>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A7AA5"/>
    <w:rsid w:val="007B5D30"/>
    <w:rsid w:val="007B7C38"/>
    <w:rsid w:val="007C04CE"/>
    <w:rsid w:val="007C3669"/>
    <w:rsid w:val="007C6EBF"/>
    <w:rsid w:val="007D3003"/>
    <w:rsid w:val="007D7DD0"/>
    <w:rsid w:val="007E302E"/>
    <w:rsid w:val="007E3907"/>
    <w:rsid w:val="007E6065"/>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0D46"/>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51B"/>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33C5"/>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31DD"/>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24C9F"/>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11A3"/>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1F493D"/>
    <w:rsid w:val="0155188C"/>
    <w:rsid w:val="01586AB7"/>
    <w:rsid w:val="02886BD6"/>
    <w:rsid w:val="02924B96"/>
    <w:rsid w:val="038832FE"/>
    <w:rsid w:val="042B4404"/>
    <w:rsid w:val="049C609A"/>
    <w:rsid w:val="04E21E30"/>
    <w:rsid w:val="05170E2A"/>
    <w:rsid w:val="05F33E19"/>
    <w:rsid w:val="08244D8F"/>
    <w:rsid w:val="08A607DC"/>
    <w:rsid w:val="08D3781C"/>
    <w:rsid w:val="09325F56"/>
    <w:rsid w:val="09F02B90"/>
    <w:rsid w:val="0A2D7BA4"/>
    <w:rsid w:val="0BB772E4"/>
    <w:rsid w:val="0CA3463F"/>
    <w:rsid w:val="0F5F37A8"/>
    <w:rsid w:val="0FF11DF9"/>
    <w:rsid w:val="0FFF5BD0"/>
    <w:rsid w:val="101A2CF7"/>
    <w:rsid w:val="109255ED"/>
    <w:rsid w:val="10C72F2E"/>
    <w:rsid w:val="11BB0C9D"/>
    <w:rsid w:val="12342DAB"/>
    <w:rsid w:val="12AD7924"/>
    <w:rsid w:val="13033C28"/>
    <w:rsid w:val="1317637F"/>
    <w:rsid w:val="13B94E90"/>
    <w:rsid w:val="13BF1349"/>
    <w:rsid w:val="14DD2439"/>
    <w:rsid w:val="16FA62BC"/>
    <w:rsid w:val="18C56545"/>
    <w:rsid w:val="19367B17"/>
    <w:rsid w:val="1B1A2AFA"/>
    <w:rsid w:val="1B85573B"/>
    <w:rsid w:val="1F0E7249"/>
    <w:rsid w:val="1F8751EC"/>
    <w:rsid w:val="20674731"/>
    <w:rsid w:val="206D64A1"/>
    <w:rsid w:val="21440AB1"/>
    <w:rsid w:val="214926E0"/>
    <w:rsid w:val="216E6D6B"/>
    <w:rsid w:val="21841F76"/>
    <w:rsid w:val="21BE527B"/>
    <w:rsid w:val="222C3F22"/>
    <w:rsid w:val="22593A38"/>
    <w:rsid w:val="22CB6B74"/>
    <w:rsid w:val="242A1E4E"/>
    <w:rsid w:val="24874F28"/>
    <w:rsid w:val="24ED39A1"/>
    <w:rsid w:val="26176E88"/>
    <w:rsid w:val="29C013EA"/>
    <w:rsid w:val="2B037ABA"/>
    <w:rsid w:val="2B864B08"/>
    <w:rsid w:val="2D670935"/>
    <w:rsid w:val="2FDD7C63"/>
    <w:rsid w:val="334C5ADA"/>
    <w:rsid w:val="3413706F"/>
    <w:rsid w:val="35097DCD"/>
    <w:rsid w:val="35337A84"/>
    <w:rsid w:val="35FC3943"/>
    <w:rsid w:val="37DA1FFD"/>
    <w:rsid w:val="3BCA294F"/>
    <w:rsid w:val="3C823756"/>
    <w:rsid w:val="3C9B5EFD"/>
    <w:rsid w:val="3CC07139"/>
    <w:rsid w:val="3E036E1E"/>
    <w:rsid w:val="3E13186C"/>
    <w:rsid w:val="3F4227C8"/>
    <w:rsid w:val="41EE19CD"/>
    <w:rsid w:val="42310B31"/>
    <w:rsid w:val="4313005E"/>
    <w:rsid w:val="44977557"/>
    <w:rsid w:val="45CD34A3"/>
    <w:rsid w:val="474C0777"/>
    <w:rsid w:val="4AA93177"/>
    <w:rsid w:val="4BC8116F"/>
    <w:rsid w:val="4DD6035A"/>
    <w:rsid w:val="4ED0024E"/>
    <w:rsid w:val="4F0E00F7"/>
    <w:rsid w:val="50055DC9"/>
    <w:rsid w:val="51C14B32"/>
    <w:rsid w:val="524B628E"/>
    <w:rsid w:val="550F0ABA"/>
    <w:rsid w:val="55857A4F"/>
    <w:rsid w:val="5598176B"/>
    <w:rsid w:val="5890674E"/>
    <w:rsid w:val="5D296356"/>
    <w:rsid w:val="5D2C2D96"/>
    <w:rsid w:val="5FA63A90"/>
    <w:rsid w:val="600D73EF"/>
    <w:rsid w:val="60575394"/>
    <w:rsid w:val="61987519"/>
    <w:rsid w:val="61EB7EEB"/>
    <w:rsid w:val="656858CF"/>
    <w:rsid w:val="656F3231"/>
    <w:rsid w:val="65C636CA"/>
    <w:rsid w:val="66C813D4"/>
    <w:rsid w:val="682D569C"/>
    <w:rsid w:val="691A5ECD"/>
    <w:rsid w:val="691B6ACA"/>
    <w:rsid w:val="691F79C3"/>
    <w:rsid w:val="697F115B"/>
    <w:rsid w:val="6AB5708C"/>
    <w:rsid w:val="6C3626BB"/>
    <w:rsid w:val="6F731338"/>
    <w:rsid w:val="719F2646"/>
    <w:rsid w:val="74F9453B"/>
    <w:rsid w:val="7645311C"/>
    <w:rsid w:val="767B5CCB"/>
    <w:rsid w:val="782F28F7"/>
    <w:rsid w:val="78C65FFF"/>
    <w:rsid w:val="796C3466"/>
    <w:rsid w:val="7B2D3227"/>
    <w:rsid w:val="7D5D521C"/>
    <w:rsid w:val="7E926339"/>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3"/>
    <w:semiHidden/>
    <w:unhideWhenUsed/>
    <w:qFormat/>
    <w:uiPriority w:val="99"/>
    <w:pPr>
      <w:spacing w:after="120"/>
    </w:pPr>
  </w:style>
  <w:style w:type="paragraph" w:styleId="6">
    <w:name w:val="annotation subject"/>
    <w:basedOn w:val="7"/>
    <w:next w:val="7"/>
    <w:link w:val="39"/>
    <w:semiHidden/>
    <w:unhideWhenUsed/>
    <w:qFormat/>
    <w:uiPriority w:val="99"/>
    <w:rPr>
      <w:b/>
      <w:bCs/>
    </w:rPr>
  </w:style>
  <w:style w:type="paragraph" w:styleId="7">
    <w:name w:val="annotation text"/>
    <w:basedOn w:val="1"/>
    <w:link w:val="38"/>
    <w:semiHidden/>
    <w:unhideWhenUsed/>
    <w:qFormat/>
    <w:uiPriority w:val="99"/>
    <w:pPr>
      <w:jc w:val="left"/>
    </w:pPr>
  </w:style>
  <w:style w:type="paragraph" w:styleId="8">
    <w:name w:val="Body Text First Indent"/>
    <w:basedOn w:val="2"/>
    <w:next w:val="1"/>
    <w:qFormat/>
    <w:uiPriority w:val="0"/>
    <w:pPr>
      <w:ind w:firstLine="420" w:firstLineChars="100"/>
    </w:pPr>
    <w:rPr>
      <w:rFonts w:ascii="Times New Roman" w:hAnsi="Times New Roman" w:eastAsia="宋体" w:cs="Times New Roman"/>
      <w:szCs w:val="20"/>
    </w:rPr>
  </w:style>
  <w:style w:type="paragraph" w:styleId="9">
    <w:name w:val="Normal Indent"/>
    <w:basedOn w:val="1"/>
    <w:qFormat/>
    <w:uiPriority w:val="0"/>
    <w:pPr>
      <w:ind w:firstLine="420"/>
    </w:pPr>
    <w:rPr>
      <w:szCs w:val="20"/>
    </w:rPr>
  </w:style>
  <w:style w:type="paragraph" w:styleId="10">
    <w:name w:val="Closing"/>
    <w:basedOn w:val="1"/>
    <w:qFormat/>
    <w:uiPriority w:val="0"/>
    <w:pPr>
      <w:ind w:left="100" w:leftChars="2100"/>
    </w:pPr>
    <w:rPr>
      <w:rFonts w:ascii="宋体"/>
      <w:sz w:val="24"/>
    </w:rPr>
  </w:style>
  <w:style w:type="paragraph" w:styleId="11">
    <w:name w:val="Body Text Indent"/>
    <w:basedOn w:val="1"/>
    <w:link w:val="41"/>
    <w:qFormat/>
    <w:uiPriority w:val="0"/>
    <w:pPr>
      <w:spacing w:after="120"/>
      <w:ind w:left="420" w:leftChars="200"/>
    </w:pPr>
    <w:rPr>
      <w:rFonts w:ascii="Calibri" w:hAnsi="Calibri"/>
      <w:szCs w:val="22"/>
    </w:rPr>
  </w:style>
  <w:style w:type="paragraph" w:styleId="12">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3">
    <w:name w:val="endnote text"/>
    <w:basedOn w:val="1"/>
    <w:link w:val="52"/>
    <w:semiHidden/>
    <w:unhideWhenUsed/>
    <w:qFormat/>
    <w:uiPriority w:val="99"/>
    <w:pPr>
      <w:snapToGrid w:val="0"/>
      <w:jc w:val="left"/>
    </w:pPr>
  </w:style>
  <w:style w:type="paragraph" w:styleId="14">
    <w:name w:val="Balloon Text"/>
    <w:basedOn w:val="1"/>
    <w:link w:val="47"/>
    <w:qFormat/>
    <w:uiPriority w:val="0"/>
    <w:rPr>
      <w:sz w:val="18"/>
      <w:szCs w:val="18"/>
    </w:rPr>
  </w:style>
  <w:style w:type="paragraph" w:styleId="15">
    <w:name w:val="footer"/>
    <w:basedOn w:val="1"/>
    <w:link w:val="33"/>
    <w:qFormat/>
    <w:uiPriority w:val="0"/>
    <w:pPr>
      <w:tabs>
        <w:tab w:val="center" w:pos="4153"/>
        <w:tab w:val="right" w:pos="8306"/>
      </w:tabs>
      <w:snapToGrid w:val="0"/>
      <w:jc w:val="left"/>
    </w:pPr>
    <w:rPr>
      <w:sz w:val="18"/>
      <w:szCs w:val="18"/>
    </w:rPr>
  </w:style>
  <w:style w:type="paragraph" w:styleId="16">
    <w:name w:val="Body Text First Indent 2"/>
    <w:basedOn w:val="11"/>
    <w:qFormat/>
    <w:uiPriority w:val="0"/>
    <w:pPr>
      <w:spacing w:line="360" w:lineRule="auto"/>
      <w:ind w:firstLine="420"/>
    </w:pPr>
    <w:rPr>
      <w:rFonts w:eastAsia="等线"/>
      <w:color w:val="000000"/>
      <w:szCs w:val="24"/>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next w:val="1"/>
    <w:qFormat/>
    <w:uiPriority w:val="0"/>
    <w:pPr>
      <w:snapToGrid w:val="0"/>
    </w:pPr>
  </w:style>
  <w:style w:type="paragraph" w:styleId="19">
    <w:name w:val="HTML Preformatted"/>
    <w:basedOn w:val="1"/>
    <w:link w:val="4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qFormat/>
    <w:uiPriority w:val="10"/>
    <w:pPr>
      <w:spacing w:before="240" w:after="60"/>
      <w:outlineLvl w:val="0"/>
    </w:pPr>
    <w:rPr>
      <w:rFonts w:asciiTheme="majorHAnsi" w:hAnsiTheme="majorHAnsi" w:cstheme="majorBidi"/>
      <w:b/>
      <w:bCs/>
      <w:sz w:val="32"/>
      <w:szCs w:val="32"/>
    </w:r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5"/>
    <w:qFormat/>
    <w:uiPriority w:val="0"/>
    <w:rPr>
      <w:kern w:val="2"/>
      <w:sz w:val="18"/>
      <w:szCs w:val="18"/>
    </w:rPr>
  </w:style>
  <w:style w:type="character" w:customStyle="1" w:styleId="34">
    <w:name w:val="apple-style-span"/>
    <w:basedOn w:val="22"/>
    <w:qFormat/>
    <w:uiPriority w:val="0"/>
  </w:style>
  <w:style w:type="character" w:customStyle="1" w:styleId="35">
    <w:name w:val="页眉 字符"/>
    <w:link w:val="17"/>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2"/>
    <w:link w:val="12"/>
    <w:qFormat/>
    <w:uiPriority w:val="0"/>
    <w:rPr>
      <w:rFonts w:ascii="宋体" w:hAnsi="Courier New" w:eastAsia="微软雅黑" w:cs="Courier New"/>
      <w:sz w:val="22"/>
      <w:szCs w:val="21"/>
    </w:rPr>
  </w:style>
  <w:style w:type="character" w:customStyle="1" w:styleId="38">
    <w:name w:val="批注文字 字符"/>
    <w:basedOn w:val="22"/>
    <w:link w:val="7"/>
    <w:semiHidden/>
    <w:qFormat/>
    <w:uiPriority w:val="99"/>
    <w:rPr>
      <w:kern w:val="2"/>
      <w:sz w:val="21"/>
      <w:szCs w:val="24"/>
    </w:rPr>
  </w:style>
  <w:style w:type="character" w:customStyle="1" w:styleId="39">
    <w:name w:val="批注主题 字符"/>
    <w:basedOn w:val="38"/>
    <w:link w:val="6"/>
    <w:semiHidden/>
    <w:qFormat/>
    <w:uiPriority w:val="99"/>
    <w:rPr>
      <w:b/>
      <w:bCs/>
      <w:kern w:val="2"/>
      <w:sz w:val="21"/>
      <w:szCs w:val="24"/>
    </w:rPr>
  </w:style>
  <w:style w:type="paragraph" w:styleId="40">
    <w:name w:val="List Paragraph"/>
    <w:basedOn w:val="1"/>
    <w:qFormat/>
    <w:uiPriority w:val="34"/>
    <w:pPr>
      <w:ind w:firstLine="420" w:firstLineChars="200"/>
    </w:pPr>
  </w:style>
  <w:style w:type="character" w:customStyle="1" w:styleId="41">
    <w:name w:val="正文文本缩进 字符"/>
    <w:basedOn w:val="22"/>
    <w:link w:val="11"/>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2"/>
    <w:link w:val="2"/>
    <w:semiHidden/>
    <w:qFormat/>
    <w:uiPriority w:val="99"/>
    <w:rPr>
      <w:kern w:val="2"/>
      <w:sz w:val="21"/>
      <w:szCs w:val="24"/>
    </w:rPr>
  </w:style>
  <w:style w:type="character" w:customStyle="1" w:styleId="44">
    <w:name w:val="标题 1 字符"/>
    <w:basedOn w:val="22"/>
    <w:qFormat/>
    <w:uiPriority w:val="0"/>
    <w:rPr>
      <w:b/>
      <w:bCs/>
      <w:kern w:val="44"/>
      <w:sz w:val="44"/>
      <w:szCs w:val="44"/>
    </w:rPr>
  </w:style>
  <w:style w:type="character" w:customStyle="1" w:styleId="45">
    <w:name w:val="标题 2 字符"/>
    <w:basedOn w:val="22"/>
    <w:link w:val="4"/>
    <w:qFormat/>
    <w:uiPriority w:val="0"/>
    <w:rPr>
      <w:rFonts w:ascii="Arial" w:hAnsi="Arial" w:eastAsia="黑体"/>
      <w:b/>
      <w:bCs/>
      <w:kern w:val="2"/>
      <w:sz w:val="32"/>
      <w:szCs w:val="32"/>
    </w:rPr>
  </w:style>
  <w:style w:type="character" w:customStyle="1" w:styleId="46">
    <w:name w:val="标题 3 字符"/>
    <w:basedOn w:val="22"/>
    <w:link w:val="5"/>
    <w:qFormat/>
    <w:uiPriority w:val="0"/>
    <w:rPr>
      <w:b/>
      <w:bCs/>
      <w:kern w:val="2"/>
      <w:sz w:val="32"/>
      <w:szCs w:val="32"/>
    </w:rPr>
  </w:style>
  <w:style w:type="character" w:customStyle="1" w:styleId="47">
    <w:name w:val="批注框文本 字符"/>
    <w:basedOn w:val="22"/>
    <w:link w:val="14"/>
    <w:qFormat/>
    <w:uiPriority w:val="0"/>
    <w:rPr>
      <w:kern w:val="2"/>
      <w:sz w:val="18"/>
      <w:szCs w:val="18"/>
    </w:rPr>
  </w:style>
  <w:style w:type="character" w:customStyle="1" w:styleId="48">
    <w:name w:val="HTML 预设格式 字符"/>
    <w:basedOn w:val="22"/>
    <w:link w:val="19"/>
    <w:qFormat/>
    <w:uiPriority w:val="0"/>
    <w:rPr>
      <w:rFonts w:ascii="宋体" w:hAnsi="宋体" w:cs="宋体"/>
      <w:sz w:val="24"/>
      <w:szCs w:val="24"/>
    </w:rPr>
  </w:style>
  <w:style w:type="character" w:customStyle="1" w:styleId="49">
    <w:name w:val="标题 1 字符1"/>
    <w:link w:val="3"/>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2"/>
    <w:link w:val="13"/>
    <w:semiHidden/>
    <w:qFormat/>
    <w:uiPriority w:val="99"/>
    <w:rPr>
      <w:kern w:val="2"/>
      <w:sz w:val="21"/>
      <w:szCs w:val="24"/>
    </w:rPr>
  </w:style>
  <w:style w:type="character" w:customStyle="1" w:styleId="53">
    <w:name w:val="font51"/>
    <w:basedOn w:val="22"/>
    <w:qFormat/>
    <w:uiPriority w:val="0"/>
    <w:rPr>
      <w:rFonts w:ascii="微软雅黑" w:hAnsi="微软雅黑" w:eastAsia="微软雅黑" w:cs="微软雅黑"/>
      <w:color w:val="000000"/>
      <w:sz w:val="24"/>
      <w:szCs w:val="24"/>
      <w:u w:val="none"/>
    </w:rPr>
  </w:style>
  <w:style w:type="paragraph" w:customStyle="1" w:styleId="54">
    <w:name w:val="Default"/>
    <w:next w:val="1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5">
    <w:name w:val="font31"/>
    <w:basedOn w:val="22"/>
    <w:qFormat/>
    <w:uiPriority w:val="0"/>
    <w:rPr>
      <w:rFonts w:hint="eastAsia" w:ascii="宋体" w:hAnsi="宋体" w:eastAsia="宋体"/>
      <w:color w:val="000000"/>
      <w:sz w:val="28"/>
      <w:szCs w:val="28"/>
      <w:u w:val="none"/>
    </w:rPr>
  </w:style>
  <w:style w:type="character" w:customStyle="1" w:styleId="56">
    <w:name w:val="font01"/>
    <w:basedOn w:val="22"/>
    <w:qFormat/>
    <w:uiPriority w:val="0"/>
    <w:rPr>
      <w:rFonts w:hint="eastAsia" w:ascii="宋体" w:hAnsi="宋体" w:eastAsia="宋体"/>
      <w:color w:val="000000"/>
      <w:sz w:val="24"/>
      <w:szCs w:val="24"/>
      <w:u w:val="none"/>
    </w:rPr>
  </w:style>
  <w:style w:type="character" w:customStyle="1" w:styleId="57">
    <w:name w:val="font21"/>
    <w:basedOn w:val="22"/>
    <w:qFormat/>
    <w:uiPriority w:val="0"/>
    <w:rPr>
      <w:rFonts w:hint="eastAsia" w:ascii="宋体" w:hAnsi="宋体" w:eastAsia="宋体"/>
      <w:color w:val="000000"/>
      <w:sz w:val="24"/>
      <w:szCs w:val="24"/>
      <w:u w:val="none"/>
    </w:rPr>
  </w:style>
  <w:style w:type="paragraph" w:customStyle="1" w:styleId="58">
    <w:name w:val="XXU正文"/>
    <w:basedOn w:val="1"/>
    <w:qFormat/>
    <w:uiPriority w:val="0"/>
    <w:pPr>
      <w:snapToGrid w:val="0"/>
      <w:spacing w:line="360" w:lineRule="auto"/>
      <w:ind w:firstLine="480" w:firstLineChars="200"/>
      <w:jc w:val="left"/>
    </w:pPr>
    <w:rPr>
      <w:kern w:val="36"/>
      <w:sz w:val="24"/>
      <w:szCs w:val="24"/>
    </w:rPr>
  </w:style>
  <w:style w:type="paragraph" w:customStyle="1" w:styleId="59">
    <w:name w:val="！表格内容"/>
    <w:basedOn w:val="1"/>
    <w:qFormat/>
    <w:uiPriority w:val="0"/>
    <w:pPr>
      <w:spacing w:line="320" w:lineRule="atLeas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AAD6C-1AD8-48AF-9528-486020A1918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38</Pages>
  <Words>3104</Words>
  <Characters>17694</Characters>
  <Lines>147</Lines>
  <Paragraphs>41</Paragraphs>
  <TotalTime>5</TotalTime>
  <ScaleCrop>false</ScaleCrop>
  <LinksUpToDate>false</LinksUpToDate>
  <CharactersWithSpaces>20757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2025-12-11T06:26:44Z</dcterms:modified>
  <dc:title>广州大学城投资经营管理有限公司</dc:title>
  <cp:revision>328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