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bookmarkStart w:id="0" w:name="_Hlk102747051"/>
      <w:bookmarkEnd w:id="0"/>
      <w:r>
        <w:rPr>
          <w:rFonts w:hint="eastAsia"/>
          <w:b/>
          <w:sz w:val="28"/>
          <w:szCs w:val="28"/>
        </w:rPr>
        <w:t>广州城投综合能源投资经营管理有限公司</w:t>
      </w:r>
    </w:p>
    <w:p>
      <w:pPr>
        <w:spacing w:line="360" w:lineRule="auto"/>
        <w:jc w:val="center"/>
        <w:rPr>
          <w:rFonts w:hint="eastAsia" w:ascii="仿宋" w:hAnsi="仿宋" w:eastAsia="宋体"/>
          <w:b/>
          <w:sz w:val="36"/>
          <w:szCs w:val="36"/>
          <w:lang w:eastAsia="zh-CN"/>
        </w:rPr>
      </w:pPr>
      <w:r>
        <w:rPr>
          <w:rFonts w:hint="eastAsia"/>
          <w:b/>
          <w:sz w:val="28"/>
          <w:szCs w:val="28"/>
          <w:lang w:eastAsia="zh-CN"/>
        </w:rPr>
        <w:t>杂用水厂低压电房无功补偿柜安全隐患整改项目零星工程</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ascii="宋体"/>
          <w:sz w:val="24"/>
          <w:lang w:eastAsia="zh-CN"/>
        </w:rPr>
        <w:t>杂用水厂低压电房无功补偿柜安全隐患整改项目零星工程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项目地点：广州番禺区大学城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15</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spacing w:line="440" w:lineRule="exact"/>
        <w:ind w:firstLine="480" w:firstLineChars="200"/>
        <w:jc w:val="lef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none"/>
        </w:rPr>
        <w:t>杂用水厂无功补偿柜为2004年设备，运行至今有20年，已经达到了设备设计年限的末期。完成杂用水厂无功补偿柜的更新后，无功补偿柜柜具备更高的可靠性和安全性，能够有效防范故障和事故的发生；改造后的电容柜采用先进的技术和材料，能够降低能量损耗，提高无功补偿效果。这将有助于减少能源消耗，降低企业成本，无功补偿装置的完好，可避免供电局有关功率因数的考核，甚至获得一定的奖励。因此，通过技术手段实现电能高效利用，符合安全、经济、节能减排的要求，有必要对其进行改造更新。</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pStyle w:val="40"/>
        <w:numPr>
          <w:ilvl w:val="255"/>
          <w:numId w:val="0"/>
        </w:numPr>
        <w:spacing w:before="120" w:beforeLines="50" w:after="120" w:afterLines="50" w:line="360" w:lineRule="auto"/>
        <w:ind w:firstLine="480"/>
        <w:rPr>
          <w:rFonts w:ascii="宋体" w:hAnsi="宋体"/>
          <w:sz w:val="24"/>
        </w:rPr>
      </w:pPr>
      <w:r>
        <w:rPr>
          <w:rFonts w:hint="eastAsia" w:ascii="宋体" w:hAnsi="宋体"/>
          <w:sz w:val="24"/>
        </w:rPr>
        <w:t>(一)必须是具有独立承担民事责任能力的在中华人民共和国境内注册的法人或其他组织，提供营业执照或法人证书的盖章扫描件证明；</w:t>
      </w:r>
    </w:p>
    <w:p>
      <w:pPr>
        <w:pStyle w:val="40"/>
        <w:numPr>
          <w:ilvl w:val="255"/>
          <w:numId w:val="0"/>
        </w:numPr>
        <w:spacing w:before="120" w:beforeLines="50" w:after="120" w:afterLines="50" w:line="360" w:lineRule="auto"/>
        <w:ind w:firstLine="480"/>
        <w:rPr>
          <w:rFonts w:ascii="宋体" w:hAnsi="宋体"/>
          <w:sz w:val="24"/>
        </w:rPr>
      </w:pPr>
      <w:r>
        <w:rPr>
          <w:rFonts w:hint="eastAsia" w:ascii="宋体" w:hAnsi="宋体"/>
          <w:sz w:val="24"/>
        </w:rPr>
        <w:t>(二)投标人未被列入“信用中国”网站(www.creditchina.gov.cn)记录失信被执行人名单,须提供“信用中国”网站(www.creditchina.gov.cn)的信用记录查询结果截图或信用信息报告并打印页面加盖公章；</w:t>
      </w:r>
    </w:p>
    <w:p>
      <w:pPr>
        <w:pStyle w:val="40"/>
        <w:numPr>
          <w:ilvl w:val="255"/>
          <w:numId w:val="0"/>
        </w:numPr>
        <w:spacing w:before="120" w:beforeLines="50" w:after="120" w:afterLines="50" w:line="360" w:lineRule="auto"/>
        <w:ind w:firstLine="480"/>
        <w:rPr>
          <w:rFonts w:ascii="宋体" w:hAnsi="宋体"/>
          <w:sz w:val="24"/>
        </w:rPr>
      </w:pPr>
      <w:r>
        <w:rPr>
          <w:rFonts w:hint="eastAsia" w:ascii="宋体" w:hAnsi="宋体"/>
          <w:sz w:val="24"/>
        </w:rPr>
        <w:t>（三）投标人没有处于被责令停业或破产状态，且资产未被重组、接管和冻结，声明在投标活动中3年内没有重大违法活动和涉嫌违规行为（附投标声明函）；</w:t>
      </w:r>
    </w:p>
    <w:p>
      <w:pPr>
        <w:pStyle w:val="40"/>
        <w:numPr>
          <w:ilvl w:val="255"/>
          <w:numId w:val="0"/>
        </w:numPr>
        <w:spacing w:before="120" w:beforeLines="50" w:after="120" w:afterLines="50" w:line="360" w:lineRule="auto"/>
        <w:ind w:firstLine="480"/>
        <w:rPr>
          <w:rFonts w:ascii="宋体" w:hAnsi="宋体"/>
          <w:sz w:val="24"/>
        </w:rPr>
      </w:pPr>
      <w:r>
        <w:rPr>
          <w:rFonts w:hint="eastAsia" w:ascii="宋体" w:hAnsi="宋体"/>
          <w:sz w:val="24"/>
        </w:rPr>
        <w:t>(四)具有有效期内的承装（修、试）五级（新三级）及以上电力设施许可证；</w:t>
      </w:r>
      <w:r>
        <w:rPr>
          <w:rFonts w:hint="eastAsia"/>
          <w:sz w:val="24"/>
          <w:highlight w:val="none"/>
          <w:lang w:val="en-US" w:eastAsia="zh-CN"/>
        </w:rPr>
        <w:t>或具有有效期内电力工程施工总承包叁级及以上资质。</w:t>
      </w:r>
    </w:p>
    <w:p>
      <w:pPr>
        <w:pStyle w:val="40"/>
        <w:numPr>
          <w:ilvl w:val="0"/>
          <w:numId w:val="2"/>
        </w:numPr>
        <w:spacing w:before="120" w:beforeLines="50" w:after="120" w:afterLines="50" w:line="360" w:lineRule="auto"/>
        <w:ind w:left="0" w:firstLine="480" w:firstLineChars="200"/>
        <w:rPr>
          <w:rFonts w:hint="eastAsia"/>
          <w:sz w:val="24"/>
          <w:highlight w:val="none"/>
          <w:lang w:eastAsia="zh-CN"/>
        </w:rPr>
      </w:pPr>
      <w:r>
        <w:rPr>
          <w:rFonts w:hint="eastAsia" w:ascii="宋体" w:hAnsi="宋体"/>
          <w:sz w:val="24"/>
        </w:rPr>
        <w:t>投标人近3年内(2022年1月1日至今)具有类似无功补偿改造项目业绩（需提供合同等相关证明材料复印件）</w:t>
      </w:r>
      <w:r>
        <w:rPr>
          <w:rFonts w:hint="eastAsia"/>
          <w:sz w:val="24"/>
          <w:highlight w:val="none"/>
          <w:lang w:eastAsia="zh-CN"/>
        </w:rPr>
        <w:t>；</w:t>
      </w:r>
    </w:p>
    <w:p>
      <w:pPr>
        <w:pStyle w:val="40"/>
        <w:numPr>
          <w:ilvl w:val="255"/>
          <w:numId w:val="0"/>
        </w:numPr>
        <w:spacing w:before="120" w:beforeLines="50" w:after="120" w:afterLines="50" w:line="360" w:lineRule="auto"/>
        <w:ind w:firstLine="480"/>
        <w:rPr>
          <w:rFonts w:ascii="宋体" w:hAnsi="宋体"/>
          <w:sz w:val="24"/>
        </w:rPr>
      </w:pPr>
      <w:r>
        <w:rPr>
          <w:rFonts w:hint="eastAsia" w:ascii="宋体" w:hAnsi="宋体"/>
          <w:sz w:val="24"/>
        </w:rPr>
        <w:t>（六）不接受联合体报价。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w:t>
      </w:r>
      <w:r>
        <w:rPr>
          <w:rFonts w:hint="eastAsia"/>
          <w:b/>
          <w:bCs/>
          <w:sz w:val="24"/>
          <w:lang w:val="en-US" w:eastAsia="zh-CN"/>
        </w:rPr>
        <w:t>工作范围及内容</w:t>
      </w:r>
    </w:p>
    <w:p>
      <w:pPr>
        <w:numPr>
          <w:ilvl w:val="0"/>
          <w:numId w:val="3"/>
        </w:numPr>
        <w:spacing w:line="360" w:lineRule="auto"/>
        <w:ind w:left="425" w:leftChars="0" w:hanging="425" w:firstLineChars="0"/>
        <w:rPr>
          <w:rFonts w:hint="eastAsia" w:ascii="宋体" w:hAnsi="宋体"/>
          <w:sz w:val="24"/>
          <w:szCs w:val="24"/>
          <w:lang w:val="en-US" w:eastAsia="zh-CN"/>
        </w:rPr>
      </w:pPr>
      <w:r>
        <w:rPr>
          <w:rFonts w:hint="eastAsia" w:ascii="宋体" w:hAnsi="宋体"/>
          <w:sz w:val="24"/>
          <w:szCs w:val="24"/>
          <w:lang w:val="en-US" w:eastAsia="zh-CN"/>
        </w:rPr>
        <w:t>本项目主要工作范围：</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杂用水厂1#变压器低压无功补偿柜（250kVar）改造；</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杂用水厂2#变压器低压无功补偿柜（250kVar）改造；</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杂用水厂3#变压器低压无功补偿柜（250kVar）改造；</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项目实施过程中，无功补偿柜所在的电力系统需进行停电。</w:t>
      </w:r>
    </w:p>
    <w:p>
      <w:pPr>
        <w:ind w:firstLine="480" w:firstLineChars="200"/>
        <w:jc w:val="center"/>
        <w:rPr>
          <w:rFonts w:hint="default" w:ascii="宋体" w:hAnsi="宋体"/>
          <w:sz w:val="24"/>
          <w:szCs w:val="24"/>
          <w:lang w:val="en-US" w:eastAsia="zh-CN"/>
        </w:rPr>
      </w:pPr>
      <w:r>
        <w:rPr>
          <w:rFonts w:hint="default" w:ascii="宋体" w:hAnsi="宋体"/>
          <w:sz w:val="24"/>
          <w:szCs w:val="24"/>
          <w:lang w:val="en-US" w:eastAsia="zh-CN"/>
        </w:rPr>
        <w:drawing>
          <wp:inline distT="0" distB="0" distL="114300" distR="114300">
            <wp:extent cx="4178935" cy="3482975"/>
            <wp:effectExtent l="0" t="0" r="12065" b="3175"/>
            <wp:docPr id="8" name="图片 1" descr="杂用水厂1#、2#变压器低压无功补偿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杂用水厂1#、2#变压器低压无功补偿柜"/>
                    <pic:cNvPicPr>
                      <a:picLocks noChangeAspect="1"/>
                    </pic:cNvPicPr>
                  </pic:nvPicPr>
                  <pic:blipFill>
                    <a:blip r:embed="rId4"/>
                    <a:stretch>
                      <a:fillRect/>
                    </a:stretch>
                  </pic:blipFill>
                  <pic:spPr>
                    <a:xfrm>
                      <a:off x="0" y="0"/>
                      <a:ext cx="4178935" cy="3482975"/>
                    </a:xfrm>
                    <a:prstGeom prst="rect">
                      <a:avLst/>
                    </a:prstGeom>
                    <a:noFill/>
                    <a:ln>
                      <a:noFill/>
                    </a:ln>
                  </pic:spPr>
                </pic:pic>
              </a:graphicData>
            </a:graphic>
          </wp:inline>
        </w:drawing>
      </w:r>
    </w:p>
    <w:p>
      <w:pPr>
        <w:ind w:firstLine="480" w:firstLineChars="200"/>
        <w:jc w:val="center"/>
        <w:rPr>
          <w:rFonts w:hint="eastAsia" w:ascii="宋体" w:hAnsi="宋体"/>
          <w:sz w:val="24"/>
          <w:szCs w:val="24"/>
          <w:lang w:val="en-US" w:eastAsia="zh-CN"/>
        </w:rPr>
      </w:pPr>
      <w:r>
        <w:rPr>
          <w:rFonts w:hint="eastAsia" w:ascii="宋体" w:hAnsi="宋体"/>
          <w:sz w:val="24"/>
          <w:szCs w:val="24"/>
          <w:lang w:val="en-US" w:eastAsia="zh-CN"/>
        </w:rPr>
        <w:t>图1：杂用水厂1#、2#变压器低压无功补偿柜</w:t>
      </w:r>
    </w:p>
    <w:p>
      <w:pPr>
        <w:ind w:firstLine="480" w:firstLineChars="200"/>
        <w:jc w:val="center"/>
        <w:rPr>
          <w:rFonts w:hint="default" w:ascii="宋体" w:hAnsi="宋体"/>
          <w:sz w:val="24"/>
          <w:szCs w:val="24"/>
          <w:lang w:val="en-US" w:eastAsia="zh-CN"/>
        </w:rPr>
      </w:pPr>
      <w:r>
        <w:rPr>
          <w:rFonts w:hint="default" w:ascii="宋体" w:hAnsi="宋体"/>
          <w:sz w:val="24"/>
          <w:szCs w:val="24"/>
          <w:lang w:val="en-US" w:eastAsia="zh-CN"/>
        </w:rPr>
        <w:drawing>
          <wp:inline distT="0" distB="0" distL="114300" distR="114300">
            <wp:extent cx="3314065" cy="4155440"/>
            <wp:effectExtent l="0" t="0" r="635" b="16510"/>
            <wp:docPr id="3" name="图片 2" descr="杂用水厂3#变压器低压无功补偿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杂用水厂3#变压器低压无功补偿柜"/>
                    <pic:cNvPicPr>
                      <a:picLocks noChangeAspect="1"/>
                    </pic:cNvPicPr>
                  </pic:nvPicPr>
                  <pic:blipFill>
                    <a:blip r:embed="rId5"/>
                    <a:stretch>
                      <a:fillRect/>
                    </a:stretch>
                  </pic:blipFill>
                  <pic:spPr>
                    <a:xfrm>
                      <a:off x="0" y="0"/>
                      <a:ext cx="3314065" cy="4155440"/>
                    </a:xfrm>
                    <a:prstGeom prst="rect">
                      <a:avLst/>
                    </a:prstGeom>
                    <a:noFill/>
                    <a:ln>
                      <a:noFill/>
                    </a:ln>
                  </pic:spPr>
                </pic:pic>
              </a:graphicData>
            </a:graphic>
          </wp:inline>
        </w:drawing>
      </w:r>
    </w:p>
    <w:p>
      <w:pPr>
        <w:ind w:firstLine="480" w:firstLineChars="200"/>
        <w:jc w:val="center"/>
        <w:rPr>
          <w:rFonts w:hint="eastAsia" w:ascii="宋体" w:hAnsi="宋体"/>
          <w:sz w:val="24"/>
          <w:szCs w:val="24"/>
          <w:lang w:val="en-US" w:eastAsia="zh-CN"/>
        </w:rPr>
      </w:pPr>
      <w:r>
        <w:rPr>
          <w:rFonts w:hint="eastAsia" w:ascii="宋体" w:hAnsi="宋体"/>
          <w:sz w:val="24"/>
          <w:szCs w:val="24"/>
          <w:lang w:val="en-US" w:eastAsia="zh-CN"/>
        </w:rPr>
        <w:t>图2：杂用水厂1#、2#变压器低压无功补偿柜</w:t>
      </w:r>
    </w:p>
    <w:p>
      <w:pPr>
        <w:numPr>
          <w:ilvl w:val="0"/>
          <w:numId w:val="3"/>
        </w:numPr>
        <w:spacing w:line="360" w:lineRule="auto"/>
        <w:ind w:left="425" w:leftChars="0" w:hanging="425"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本项目主要工作内容：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（一）出具项目改造设计图纸，并提供可修订修订的CAD版本，以便后期电房系统图修订用；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（二）对涉及改造的无功补偿柜所在电力系统进行停电，办理电气施工许可手续，做好安全隔离措施；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（三）对杂用水厂原有三套低压无功补偿柜体内的电容、电抗、继电器、控制器等器件进行拆除并清理至仓库；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（四）在柜门按电气元器件尺寸进行开孔，并安装多功能无功补偿控制器，多功能表，指示灯，电源开关把手等；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（五）在主母线上安装三相CT，采集主母线三相运行电流；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（六）在分支母线上安装氧化锌避雷器，三相刀熔开关或断路器；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（七）在分支母线上安装三相CT，采集无功补偿柜的三相运行电流；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（八）对柜体进行改造，优化空间，并安装智能电容补偿模块（并联电容器组和串联7%的电抗器），容量为250kVar/柜；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（九）按规范在柜体合适位置开孔安装散热风扇；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（十）对新安装的所有电气元器件进行接线；</w:t>
      </w:r>
    </w:p>
    <w:p>
      <w:pPr>
        <w:numPr>
          <w:ilvl w:val="0"/>
          <w:numId w:val="1"/>
        </w:numPr>
        <w:spacing w:before="120" w:beforeLines="50" w:after="120" w:afterLines="50" w:line="360" w:lineRule="auto"/>
        <w:ind w:left="0" w:firstLine="480" w:firstLineChars="200"/>
        <w:rPr>
          <w:b/>
          <w:bCs/>
          <w:sz w:val="24"/>
        </w:rPr>
      </w:pPr>
      <w:r>
        <w:rPr>
          <w:rFonts w:hint="eastAsia" w:ascii="宋体" w:hAnsi="宋体" w:eastAsia="宋体" w:cs="Times New Roman"/>
          <w:sz w:val="24"/>
          <w:szCs w:val="24"/>
          <w:lang w:val="en-US" w:eastAsia="zh-CN"/>
        </w:rPr>
        <w:t>对改造后的无功补偿柜进行调试。</w:t>
      </w:r>
      <w:r>
        <w:rPr>
          <w:rFonts w:hint="eastAsia"/>
          <w:b/>
          <w:bCs/>
          <w:sz w:val="24"/>
        </w:rPr>
        <w:t>项目施工需求</w:t>
      </w:r>
    </w:p>
    <w:p>
      <w:pPr>
        <w:numPr>
          <w:ilvl w:val="0"/>
          <w:numId w:val="4"/>
        </w:numPr>
        <w:spacing w:line="360" w:lineRule="auto"/>
        <w:ind w:left="425" w:leftChars="0" w:hanging="425"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施工方法及技术要求：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本项目对杂用水厂三套无功补偿柜在原有的位置上进行更新改造，为最大限度减少对杂用水厂生产的影响，缩短施工的停电时间，本次采用不需要更换原柜体和母线，在原有的无功补偿柜内更换电容补偿模块（并联电容器组和串联7%的电抗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采用电容补偿模块相比传统无功补偿设备，集成度高，采用先进的紧凑型一体化设计，占地面积仅为同容量传统的1/3~1/2，极大节省了安装空间。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整体装置具有过温保护、过电流保护和缺相保护，极大提高了整机设备的可靠性。</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sz w:val="24"/>
        </w:rPr>
      </w:pPr>
      <w:r>
        <w:rPr>
          <w:sz w:val="24"/>
        </w:rPr>
        <w:drawing>
          <wp:inline distT="0" distB="0" distL="114300" distR="114300">
            <wp:extent cx="3195320" cy="3110230"/>
            <wp:effectExtent l="0" t="0" r="5080" b="1397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3195320" cy="31102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图3：无功补偿模块安装示意图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drawing>
          <wp:inline distT="0" distB="0" distL="114300" distR="114300">
            <wp:extent cx="2446655" cy="4314190"/>
            <wp:effectExtent l="0" t="0" r="10795" b="10160"/>
            <wp:docPr id="11" name="图片 4" descr="杂用水厂低压无功补偿柜接线图（改造前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杂用水厂低压无功补偿柜接线图（改造前后）"/>
                    <pic:cNvPicPr>
                      <a:picLocks noChangeAspect="1"/>
                    </pic:cNvPicPr>
                  </pic:nvPicPr>
                  <pic:blipFill>
                    <a:blip r:embed="rId7"/>
                    <a:stretch>
                      <a:fillRect/>
                    </a:stretch>
                  </pic:blipFill>
                  <pic:spPr>
                    <a:xfrm>
                      <a:off x="0" y="0"/>
                      <a:ext cx="2446655" cy="4314190"/>
                    </a:xfrm>
                    <a:prstGeom prst="rect">
                      <a:avLst/>
                    </a:prstGeom>
                    <a:noFill/>
                    <a:ln>
                      <a:noFill/>
                    </a:ln>
                  </pic:spPr>
                </pic:pic>
              </a:graphicData>
            </a:graphic>
          </wp:inline>
        </w:drawing>
      </w:r>
    </w:p>
    <w:p>
      <w:pPr>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图4：杂用水厂低压无功补偿柜改造前后接线图对比</w:t>
      </w:r>
    </w:p>
    <w:p>
      <w:pPr>
        <w:pStyle w:val="2"/>
        <w:rPr>
          <w:sz w:val="24"/>
          <w:szCs w:val="24"/>
        </w:rPr>
      </w:pPr>
    </w:p>
    <w:p>
      <w:pPr>
        <w:numPr>
          <w:ilvl w:val="0"/>
          <w:numId w:val="1"/>
        </w:numPr>
        <w:spacing w:before="120" w:beforeLines="50" w:after="120" w:afterLines="50" w:line="360" w:lineRule="auto"/>
        <w:ind w:left="0" w:firstLine="482" w:firstLineChars="200"/>
        <w:rPr>
          <w:b/>
          <w:bCs/>
          <w:sz w:val="24"/>
        </w:rPr>
      </w:pPr>
      <w:r>
        <w:rPr>
          <w:rFonts w:hint="eastAsia"/>
          <w:b/>
          <w:bCs/>
          <w:sz w:val="24"/>
        </w:rPr>
        <w:t>工程量及材料说明</w:t>
      </w:r>
    </w:p>
    <w:p>
      <w:pPr>
        <w:pStyle w:val="10"/>
        <w:numPr>
          <w:ilvl w:val="0"/>
          <w:numId w:val="5"/>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以下工程量仅作参考，本项目由投标人包工包料包安装包调试包措施，投标人应根据竞选文件及结合现场实际情况综合考虑再进行报价，投标人的投标报价应包括按竞选文件要求完成本项的全部费用。</w:t>
      </w:r>
    </w:p>
    <w:tbl>
      <w:tblPr>
        <w:tblStyle w:val="29"/>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237"/>
        <w:gridCol w:w="3362"/>
        <w:gridCol w:w="490"/>
        <w:gridCol w:w="74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型号及规格</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智能电容补偿模块</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480V</w:t>
            </w:r>
            <w:r>
              <w:rPr>
                <w:rFonts w:hint="eastAsia" w:ascii="宋体" w:hAnsi="宋体" w:eastAsia="宋体" w:cs="宋体"/>
                <w:color w:val="auto"/>
                <w:sz w:val="24"/>
                <w:szCs w:val="24"/>
                <w:vertAlign w:val="baseline"/>
                <w:lang w:val="en-US" w:eastAsia="zh-CN"/>
              </w:rPr>
              <w:t>/250kVar，7%电抗（100+100+50），</w:t>
            </w:r>
            <w:r>
              <w:rPr>
                <w:rFonts w:hint="eastAsia" w:ascii="宋体" w:hAnsi="宋体" w:eastAsia="宋体" w:cs="宋体"/>
                <w:sz w:val="24"/>
                <w:szCs w:val="24"/>
                <w:vertAlign w:val="baseline"/>
                <w:lang w:val="en-US" w:eastAsia="zh-CN"/>
              </w:rPr>
              <w:t>干式电容</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补偿控制器</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智能型，配RS485(Modbus协议)，支持接入用户后台监控系统</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低压刀熔开关</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HH12-630A/3P(NT=630A)</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低压电流互感器</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vertAlign w:val="baseline"/>
                <w:lang w:val="en-US" w:eastAsia="zh-CN"/>
              </w:rPr>
              <w:t>1500/5</w:t>
            </w:r>
            <w:r>
              <w:rPr>
                <w:rFonts w:hint="eastAsia" w:ascii="宋体" w:hAnsi="宋体" w:eastAsia="宋体" w:cs="宋体"/>
                <w:sz w:val="24"/>
                <w:szCs w:val="24"/>
                <w:vertAlign w:val="baseline"/>
                <w:lang w:val="en-US" w:eastAsia="zh-CN"/>
              </w:rPr>
              <w:t xml:space="preserve">  0.5S级</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237"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低压电流互感器</w:t>
            </w:r>
          </w:p>
        </w:tc>
        <w:tc>
          <w:tcPr>
            <w:tcW w:w="3362"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600/5  0.5S级</w:t>
            </w:r>
          </w:p>
        </w:tc>
        <w:tc>
          <w:tcPr>
            <w:tcW w:w="490"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1673"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分支母线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低压铜芯线</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ZRBVR-0.45/0.75kV-1×70mm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（黄、绿、红、蓝各20米）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低压铜芯线</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ZRBVR-0.45/0.75kV-1×25mm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（黄、绿、红、蓝各10米）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铜线耳</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DT-70mm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237"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铜线耳</w:t>
            </w:r>
          </w:p>
        </w:tc>
        <w:tc>
          <w:tcPr>
            <w:tcW w:w="3362" w:type="dxa"/>
            <w:noWrap w:val="0"/>
            <w:vAlign w:val="center"/>
          </w:tcPr>
          <w:p>
            <w:pPr>
              <w:pStyle w:val="4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DT-25mm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散热风扇</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220V/55W/2600RPM</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237"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辅材</w:t>
            </w:r>
          </w:p>
        </w:tc>
        <w:tc>
          <w:tcPr>
            <w:tcW w:w="336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二次回路空开，线材，线耳、螺丝，指示灯等</w:t>
            </w:r>
          </w:p>
        </w:tc>
        <w:tc>
          <w:tcPr>
            <w:tcW w:w="490"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w:t>
            </w:r>
          </w:p>
        </w:tc>
        <w:tc>
          <w:tcPr>
            <w:tcW w:w="742"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73" w:type="dxa"/>
            <w:noWrap w:val="0"/>
            <w:vAlign w:val="center"/>
          </w:tcPr>
          <w:p>
            <w:pPr>
              <w:pStyle w:val="40"/>
              <w:numPr>
                <w:ilvl w:val="0"/>
                <w:numId w:val="0"/>
              </w:numPr>
              <w:jc w:val="center"/>
              <w:rPr>
                <w:rFonts w:hint="eastAsia" w:ascii="宋体" w:hAnsi="宋体" w:eastAsia="宋体" w:cs="宋体"/>
                <w:sz w:val="24"/>
                <w:szCs w:val="24"/>
                <w:vertAlign w:val="baseline"/>
                <w:lang w:val="en-US" w:eastAsia="zh-CN"/>
              </w:rPr>
            </w:pPr>
          </w:p>
        </w:tc>
      </w:tr>
    </w:tbl>
    <w:p>
      <w:pPr>
        <w:numPr>
          <w:ilvl w:val="0"/>
          <w:numId w:val="0"/>
        </w:numPr>
        <w:bidi w:val="0"/>
        <w:jc w:val="left"/>
        <w:rPr>
          <w:rFonts w:hint="eastAsia"/>
          <w:b/>
          <w:bCs/>
          <w:sz w:val="24"/>
          <w:szCs w:val="24"/>
          <w:lang w:val="en-US" w:eastAsia="zh-CN"/>
        </w:rPr>
      </w:pPr>
    </w:p>
    <w:p>
      <w:pPr>
        <w:numPr>
          <w:ilvl w:val="255"/>
          <w:numId w:val="0"/>
        </w:numPr>
        <w:spacing w:before="120" w:beforeLines="50" w:after="120"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注意：</w:t>
      </w:r>
      <w:r>
        <w:rPr>
          <w:rFonts w:hint="eastAsia" w:asciiTheme="minorEastAsia" w:hAnsiTheme="minorEastAsia" w:eastAsiaTheme="minorEastAsia" w:cstheme="minorEastAsia"/>
          <w:bCs/>
          <w:sz w:val="24"/>
        </w:rPr>
        <w:t>本项目包</w:t>
      </w:r>
      <w:r>
        <w:rPr>
          <w:rFonts w:hint="eastAsia" w:asciiTheme="minorEastAsia" w:hAnsiTheme="minorEastAsia" w:eastAsiaTheme="minorEastAsia" w:cstheme="minorEastAsia"/>
          <w:bCs/>
          <w:sz w:val="24"/>
          <w:lang w:val="en-US" w:eastAsia="zh-CN"/>
        </w:rPr>
        <w:t>工</w:t>
      </w:r>
      <w:r>
        <w:rPr>
          <w:rFonts w:hint="eastAsia" w:asciiTheme="minorEastAsia" w:hAnsiTheme="minorEastAsia" w:eastAsiaTheme="minorEastAsia" w:cstheme="minorEastAsia"/>
          <w:bCs/>
          <w:sz w:val="24"/>
        </w:rPr>
        <w:t>包料，项目所有材料及辅助材料、棚架、工具机具等</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除备注甲供外，</w:t>
      </w:r>
      <w:r>
        <w:rPr>
          <w:rFonts w:hint="eastAsia" w:asciiTheme="minorEastAsia" w:hAnsiTheme="minorEastAsia" w:eastAsiaTheme="minorEastAsia" w:cstheme="minorEastAsia"/>
          <w:bCs/>
          <w:sz w:val="24"/>
        </w:rPr>
        <w:t>均由乙方提供并承担相关费用。报价应包含该工程所需的全部主材费、辅料费、人工费、机具费、交通费等</w:t>
      </w:r>
      <w:r>
        <w:rPr>
          <w:rFonts w:hint="eastAsia" w:asciiTheme="minorEastAsia" w:hAnsiTheme="minorEastAsia" w:eastAsiaTheme="minorEastAsia" w:cstheme="minorEastAsia"/>
          <w:sz w:val="24"/>
        </w:rPr>
        <w:t>。</w:t>
      </w:r>
    </w:p>
    <w:p>
      <w:pPr>
        <w:pStyle w:val="10"/>
        <w:numPr>
          <w:ilvl w:val="0"/>
          <w:numId w:val="5"/>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主要设备要求</w:t>
      </w:r>
    </w:p>
    <w:p>
      <w:pPr>
        <w:numPr>
          <w:ilvl w:val="-1"/>
          <w:numId w:val="0"/>
        </w:numPr>
        <w:spacing w:line="360" w:lineRule="auto"/>
        <w:ind w:left="420" w:leftChars="0" w:firstLine="0" w:firstLineChars="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1、智能电容补偿模块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容补偿模块由电容器、电抗器、可控硅开关、快速熔断器、智能测控单元等多种器件组成。同时具备有谐波滤除、过流/速断保护、超温保护、缺相保护等保护功能。根据柜体现有尺寸，采用立式模块，按要求容量可实现灵活组合，要求易于扩展，安装方便，结构紧凑，操作简单，布局简洁美观。可实现静态投切：动态响应时间≤20ms，静态响应时间≤3s；带放电电阻，放电时间t≤3min；冷却方式采用强制风冷和自然风冷；显示系统可显示三相电流，不少于5个温度显示，温度高自动启动散热风机；电容器为增强型防爆膜，防爆切断保护，温升≤8K，损耗≤0.4W/kvar；电抗器为7%电抗率，H级绝缘，温升≤20K。</w:t>
      </w:r>
    </w:p>
    <w:p>
      <w:pPr>
        <w:numPr>
          <w:ilvl w:val="-1"/>
          <w:numId w:val="0"/>
        </w:numPr>
        <w:spacing w:line="360" w:lineRule="auto"/>
        <w:ind w:left="420" w:leftChars="0" w:firstLine="0" w:firstLineChars="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r>
        <w:rPr>
          <w:rFonts w:hint="default" w:ascii="宋体" w:hAnsi="宋体" w:eastAsia="宋体" w:cs="宋体"/>
          <w:color w:val="auto"/>
          <w:sz w:val="24"/>
          <w:szCs w:val="24"/>
          <w:vertAlign w:val="baseline"/>
          <w:lang w:val="en-US" w:eastAsia="zh-CN"/>
        </w:rPr>
        <w:t>补偿控制器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项目所配置的补偿控制器为智能型控制器，采用全数字化设计，交流采样，人机界面采用大屏幕LCD中文液晶显示器。可实时显示三相功率因数、电压、电流、有功功率、无功功率、电压总谐波畸变率、电流总谐波畸变率、频率、电容输出显示及投切状态、报警等信息。中文提示设置参数、数字输入。电容器控制方案支持三相补偿、分相补偿、综合补偿方案，可通过菜单操作设置控制方案。电容器投切控制程序支持等容、编码及模糊控制投切方式。具有手动补偿、自动补偿两种工作方式。取样物理量为无功功率，具有谐波测量及保护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控制器具有RS-485,MODBUS标准现场总线通讯接口，方便接入生产控制系统，与控制器通讯口连接，即可在后台计算机显示器观察现场实时数据及用户系统的历史负荷曲线和报表，为生产节能降耗提供快捷方便的现场数据。</w:t>
      </w:r>
    </w:p>
    <w:p>
      <w:pPr>
        <w:numPr>
          <w:ilvl w:val="-1"/>
          <w:numId w:val="0"/>
        </w:numPr>
        <w:spacing w:line="360" w:lineRule="auto"/>
        <w:ind w:left="420" w:leftChars="0" w:firstLine="0" w:firstLineChars="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3、其他主要电气设备及辅材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施工单位提供的所有电气设备辅材应符合国家生产许可规定，电缆，CT,开关，线耳，风机，指示灯应提供合格证、出厂检验报告、CCC认证标志；符合国家标准（GB）或行业标准。</w:t>
      </w: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施工要求及注意事项</w:t>
      </w:r>
    </w:p>
    <w:p>
      <w:pPr>
        <w:spacing w:line="360" w:lineRule="auto"/>
        <w:ind w:firstLine="480"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一</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本项目</w:t>
      </w:r>
      <w:r>
        <w:rPr>
          <w:rFonts w:hint="eastAsia" w:asciiTheme="minorEastAsia" w:hAnsiTheme="minorEastAsia" w:eastAsiaTheme="minorEastAsia" w:cstheme="minorEastAsia"/>
          <w:b w:val="0"/>
          <w:bCs w:val="0"/>
          <w:color w:val="auto"/>
          <w:sz w:val="24"/>
          <w:szCs w:val="24"/>
          <w:lang w:val="en-US" w:eastAsia="zh-CN"/>
        </w:rPr>
        <w:t>如</w:t>
      </w:r>
      <w:r>
        <w:rPr>
          <w:rFonts w:hint="eastAsia" w:asciiTheme="minorEastAsia" w:hAnsiTheme="minorEastAsia" w:eastAsiaTheme="minorEastAsia" w:cstheme="minorEastAsia"/>
          <w:b w:val="0"/>
          <w:bCs w:val="0"/>
          <w:color w:val="auto"/>
          <w:sz w:val="24"/>
          <w:szCs w:val="24"/>
        </w:rPr>
        <w:t>涉及动火</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高处作业、吊装</w:t>
      </w:r>
      <w:r>
        <w:rPr>
          <w:rFonts w:hint="eastAsia" w:asciiTheme="minorEastAsia" w:hAnsiTheme="minorEastAsia" w:eastAsiaTheme="minorEastAsia" w:cstheme="minorEastAsia"/>
          <w:b w:val="0"/>
          <w:bCs w:val="0"/>
          <w:color w:val="auto"/>
          <w:sz w:val="24"/>
          <w:szCs w:val="24"/>
        </w:rPr>
        <w:t>，必须严格按照甲方</w:t>
      </w:r>
      <w:r>
        <w:rPr>
          <w:rFonts w:hint="eastAsia" w:asciiTheme="minorEastAsia" w:hAnsiTheme="minorEastAsia" w:eastAsiaTheme="minorEastAsia" w:cstheme="minorEastAsia"/>
          <w:b w:val="0"/>
          <w:bCs w:val="0"/>
          <w:color w:val="auto"/>
          <w:sz w:val="24"/>
          <w:szCs w:val="24"/>
          <w:lang w:val="en-US" w:eastAsia="zh-CN"/>
        </w:rPr>
        <w:t>制度、办票后执行；办票进场施工</w:t>
      </w:r>
      <w:r>
        <w:rPr>
          <w:rFonts w:hint="eastAsia" w:asciiTheme="minorEastAsia" w:hAnsiTheme="minorEastAsia" w:eastAsiaTheme="minorEastAsia" w:cstheme="minorEastAsia"/>
          <w:b w:val="0"/>
          <w:bCs w:val="0"/>
          <w:color w:val="auto"/>
          <w:sz w:val="24"/>
          <w:szCs w:val="24"/>
        </w:rPr>
        <w:t>相关手续，遵守相应的管理规定和要求。</w:t>
      </w:r>
    </w:p>
    <w:p>
      <w:pPr>
        <w:spacing w:line="360" w:lineRule="auto"/>
        <w:ind w:firstLine="482"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color w:val="auto"/>
          <w:sz w:val="24"/>
          <w:szCs w:val="24"/>
        </w:rPr>
        <w:t>包</w:t>
      </w:r>
      <w:r>
        <w:rPr>
          <w:rFonts w:hint="eastAsia" w:asciiTheme="minorEastAsia" w:hAnsiTheme="minorEastAsia" w:eastAsiaTheme="minorEastAsia" w:cstheme="minorEastAsia"/>
          <w:color w:val="auto"/>
          <w:sz w:val="24"/>
          <w:szCs w:val="24"/>
          <w:lang w:val="en-US" w:eastAsia="zh-CN"/>
        </w:rPr>
        <w:t>废弃物、</w:t>
      </w:r>
      <w:r>
        <w:rPr>
          <w:rFonts w:hint="eastAsia" w:asciiTheme="minorEastAsia" w:hAnsiTheme="minorEastAsia" w:eastAsiaTheme="minorEastAsia" w:cstheme="minorEastAsia"/>
          <w:color w:val="auto"/>
          <w:sz w:val="24"/>
          <w:szCs w:val="24"/>
        </w:rPr>
        <w:t>垃圾外运，完工后场地清理。</w:t>
      </w:r>
    </w:p>
    <w:p>
      <w:pPr>
        <w:pStyle w:val="1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十二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进入施工现场必须遵守安全操作规程和安全生产纪律，</w:t>
      </w:r>
      <w:r>
        <w:rPr>
          <w:rFonts w:hint="eastAsia" w:asciiTheme="minorEastAsia" w:hAnsiTheme="minorEastAsia" w:eastAsiaTheme="minorEastAsia" w:cstheme="minorEastAsia"/>
          <w:color w:val="auto"/>
          <w:sz w:val="24"/>
          <w:szCs w:val="24"/>
          <w:lang w:val="en-US" w:eastAsia="zh-CN"/>
        </w:rPr>
        <w:t>注意文明施工，</w:t>
      </w:r>
      <w:r>
        <w:rPr>
          <w:rFonts w:hint="eastAsia" w:asciiTheme="minorEastAsia" w:hAnsiTheme="minorEastAsia" w:eastAsiaTheme="minorEastAsia" w:cstheme="minorEastAsia"/>
          <w:color w:val="auto"/>
          <w:sz w:val="24"/>
          <w:szCs w:val="24"/>
        </w:rPr>
        <w:t>特种作业人员必须持证上岗，如焊工证等。</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十三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现场动火作业、高处作业等，安全员应到场管理。</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项目工期、验收标准及质保期限</w:t>
      </w:r>
    </w:p>
    <w:p>
      <w:pPr>
        <w:numPr>
          <w:ilvl w:val="0"/>
          <w:numId w:val="6"/>
        </w:numPr>
        <w:spacing w:before="120" w:beforeLines="50" w:after="120" w:afterLines="50" w:line="240" w:lineRule="auto"/>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施工工期</w:t>
      </w:r>
    </w:p>
    <w:p>
      <w:pPr>
        <w:spacing w:after="100" w:afterAutospacing="1" w:line="240" w:lineRule="auto"/>
        <w:ind w:firstLine="480" w:firstLineChars="200"/>
        <w:jc w:val="left"/>
        <w:rPr>
          <w:rFonts w:hint="default" w:asciiTheme="minorEastAsia" w:hAnsiTheme="minorEastAsia" w:eastAsiaTheme="minorEastAsia" w:cstheme="minorEastAsia"/>
          <w:bCs/>
          <w:kern w:val="0"/>
          <w:sz w:val="24"/>
          <w:lang w:val="en-US" w:eastAsia="zh-CN"/>
        </w:rPr>
      </w:pPr>
      <w:r>
        <w:rPr>
          <w:rFonts w:hint="eastAsia" w:asciiTheme="minorEastAsia" w:hAnsiTheme="minorEastAsia" w:eastAsiaTheme="minorEastAsia" w:cstheme="minorEastAsia"/>
          <w:sz w:val="24"/>
        </w:rPr>
        <w:t>本项目工期</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日历天。</w:t>
      </w:r>
      <w:r>
        <w:rPr>
          <w:rFonts w:hint="eastAsia" w:asciiTheme="minorEastAsia" w:hAnsiTheme="minorEastAsia" w:eastAsiaTheme="minorEastAsia" w:cstheme="minorEastAsia"/>
          <w:sz w:val="24"/>
          <w:lang w:val="en-US" w:eastAsia="zh-CN"/>
        </w:rPr>
        <w:t>具体开工日期以采购人通知为准。</w:t>
      </w:r>
    </w:p>
    <w:p>
      <w:pPr>
        <w:numPr>
          <w:ilvl w:val="0"/>
          <w:numId w:val="6"/>
        </w:numPr>
        <w:spacing w:before="120" w:beforeLines="50" w:after="120" w:afterLines="50" w:line="240" w:lineRule="auto"/>
        <w:ind w:left="0"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szCs w:val="24"/>
          <w:lang w:val="en-US" w:eastAsia="zh-CN"/>
        </w:rPr>
        <w:t>验收标准</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《低压成套无功功率补偿装置》GB/T 15576-2020；</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《电气装置安装工程 盘、柜及二次回路接线施工及验收规范》   GB 50171-2012</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《电气装置安装工程 低压电器施工及验收规范》 GB 50254-2014</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《电气装置安装工程 接地工程施工及验收规范》 GB50169-2006</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《电气装置安装工程 电缆线路施工及验收规范》 GB50168-2006</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rPr>
        <w:t>及国家和行业相关的其他质量验收标准要求执行</w:t>
      </w:r>
      <w:r>
        <w:rPr>
          <w:rFonts w:hint="eastAsia" w:asciiTheme="minorEastAsia" w:hAnsiTheme="minorEastAsia" w:eastAsiaTheme="minorEastAsia" w:cstheme="minorEastAsia"/>
          <w:color w:val="auto"/>
          <w:sz w:val="24"/>
          <w:szCs w:val="24"/>
          <w:lang w:eastAsia="zh-CN"/>
        </w:rPr>
        <w:t>。</w:t>
      </w:r>
    </w:p>
    <w:p>
      <w:pPr>
        <w:numPr>
          <w:ilvl w:val="0"/>
          <w:numId w:val="6"/>
        </w:numPr>
        <w:spacing w:line="360" w:lineRule="auto"/>
        <w:ind w:left="0"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项目要达到的质量要求：</w:t>
      </w:r>
    </w:p>
    <w:p>
      <w:pPr>
        <w:numPr>
          <w:ilvl w:val="-1"/>
          <w:numId w:val="0"/>
        </w:numPr>
        <w:spacing w:line="360" w:lineRule="auto"/>
        <w:ind w:left="420" w:leftChars="200"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rPr>
        <w:t>项目实施后必须符合《低压成套无功功率补偿装置》GB/T 15576-2020有关要求；实际运行中，补偿后功率因数应稳定在0.95以上；动态响应时间要求≤20ms；施工单位提供的所有电气设备必须采用国内外正规厂家产品；保护功能完善，必须具备有谐波滤除、过流/速断保护、超温保护、缺相保护等保护功能；散热系统完善，满足系统运行温度要求；提供完整的竣工资料、测试报告、出厂报告、合格证、图纸及说明书等材料</w:t>
      </w:r>
      <w:r>
        <w:rPr>
          <w:rFonts w:hint="eastAsia" w:asciiTheme="minorEastAsia" w:hAnsiTheme="minorEastAsia" w:eastAsiaTheme="minorEastAsia" w:cstheme="minorEastAsia"/>
          <w:color w:val="auto"/>
          <w:sz w:val="24"/>
          <w:szCs w:val="24"/>
          <w:lang w:eastAsia="zh-CN"/>
        </w:rPr>
        <w:t>。</w:t>
      </w:r>
    </w:p>
    <w:p>
      <w:pPr>
        <w:pStyle w:val="3"/>
        <w:spacing w:before="120" w:beforeLines="50" w:after="120" w:afterLines="50" w:line="360" w:lineRule="auto"/>
        <w:ind w:left="420" w:leftChars="2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（四）工程验收的方式</w:t>
      </w:r>
    </w:p>
    <w:p>
      <w:pPr>
        <w:numPr>
          <w:ilvl w:val="0"/>
          <w:numId w:val="7"/>
        </w:numPr>
        <w:spacing w:before="120" w:beforeLines="50" w:after="120" w:afterLines="50" w:line="360" w:lineRule="auto"/>
        <w:ind w:left="0"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项目分材料验收、过程验收及竣工验收。</w:t>
      </w:r>
    </w:p>
    <w:p>
      <w:pPr>
        <w:numPr>
          <w:ilvl w:val="0"/>
          <w:numId w:val="7"/>
        </w:numPr>
        <w:spacing w:before="120" w:beforeLines="50" w:after="120" w:afterLines="50" w:line="360" w:lineRule="auto"/>
        <w:ind w:left="0"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施工单位在完工后，须提前3天提交工程验收进度计划给采购人，以便采购人组织相关人员对项目进行验收。</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3.施工方全部施工完毕，通知采购方，由采购方根据现场条件组织验收。</w:t>
      </w:r>
    </w:p>
    <w:p>
      <w:pPr>
        <w:numPr>
          <w:ilvl w:val="255"/>
          <w:numId w:val="0"/>
        </w:numPr>
        <w:spacing w:before="120" w:beforeLines="50" w:after="120" w:afterLines="50"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4.施工单位必须将产品所有随机资料（包括但不限于设备及材料检验合格证书等）提交采购方，同时将与项目有关的竣工资料一式两份一起提交给采购人</w:t>
      </w:r>
      <w:r>
        <w:rPr>
          <w:rFonts w:hint="eastAsia" w:asciiTheme="minorEastAsia" w:hAnsiTheme="minorEastAsia" w:eastAsiaTheme="minorEastAsia" w:cstheme="minorEastAsia"/>
          <w:kern w:val="0"/>
          <w:sz w:val="24"/>
        </w:rPr>
        <w:t>。</w:t>
      </w:r>
    </w:p>
    <w:p>
      <w:pPr>
        <w:pStyle w:val="2"/>
        <w:spacing w:line="360" w:lineRule="auto"/>
        <w:rPr>
          <w:rFonts w:hint="default" w:eastAsiaTheme="minorEastAsia"/>
          <w:lang w:val="en-US" w:eastAsia="zh-CN"/>
        </w:rPr>
      </w:pPr>
      <w:r>
        <w:rPr>
          <w:rFonts w:hint="eastAsia" w:asciiTheme="minorEastAsia" w:hAnsiTheme="minorEastAsia" w:eastAsiaTheme="minorEastAsia" w:cstheme="minorEastAsia"/>
          <w:kern w:val="0"/>
          <w:sz w:val="24"/>
          <w:lang w:val="en-US" w:eastAsia="zh-CN"/>
        </w:rPr>
        <w:t xml:space="preserve">  5.施工单位在项目施工完毕后需进行自查自改，对存在的问题及不安全因素进行整改到位，后方可填写《工程竣工报验单》，有甲方管理单位对工程质量及工作量进行审核无误后，填写《零星工程验收表》，并由相关部门签字确认完成工程验收工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（五）质保期：本工程质保期要求为1年，</w:t>
      </w:r>
      <w:r>
        <w:rPr>
          <w:rFonts w:hint="eastAsia" w:asciiTheme="minorEastAsia" w:hAnsiTheme="minorEastAsia" w:eastAsiaTheme="minorEastAsia" w:cstheme="minorEastAsia"/>
          <w:sz w:val="24"/>
          <w:lang w:bidi="ar"/>
        </w:rPr>
        <w:t>质保期从设备安装调试验收合格之日起计算，质保期内出现任何质量问题均由施工单位免费负责维修。</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8"/>
        </w:numPr>
        <w:spacing w:before="120" w:beforeLines="50" w:after="120" w:afterLines="50" w:line="360" w:lineRule="auto"/>
        <w:ind w:left="0" w:firstLine="480" w:firstLineChars="200"/>
        <w:rPr>
          <w:sz w:val="24"/>
        </w:rPr>
      </w:pPr>
      <w:r>
        <w:rPr>
          <w:rFonts w:hint="eastAsia"/>
          <w:sz w:val="24"/>
        </w:rPr>
        <w:t>本工程采</w:t>
      </w:r>
      <w:r>
        <w:rPr>
          <w:rFonts w:hint="eastAsia"/>
          <w:b w:val="0"/>
          <w:bCs w:val="0"/>
          <w:color w:val="auto"/>
          <w:sz w:val="24"/>
        </w:rPr>
        <w:t>用</w:t>
      </w:r>
      <w:r>
        <w:rPr>
          <w:rFonts w:hint="eastAsia"/>
          <w:b w:val="0"/>
          <w:bCs w:val="0"/>
          <w:color w:val="FF0000"/>
          <w:sz w:val="24"/>
          <w:lang w:val="en-US" w:eastAsia="zh-CN"/>
        </w:rPr>
        <w:t>合同总价</w:t>
      </w:r>
      <w:r>
        <w:rPr>
          <w:rFonts w:hint="eastAsia"/>
          <w:b w:val="0"/>
          <w:bCs w:val="0"/>
          <w:color w:val="FF0000"/>
          <w:sz w:val="24"/>
        </w:rPr>
        <w:t>包干</w:t>
      </w:r>
      <w:r>
        <w:rPr>
          <w:rFonts w:hint="eastAsia"/>
          <w:sz w:val="24"/>
        </w:rPr>
        <w:t>。包工、包料、包工期、包质量、包安全、包安全文明施工、包验收、包结算、包资料整理、包综合治理、包现场卫生清洁、包风险、包利润和管理费等完成本项目的全部费用</w:t>
      </w:r>
      <w:r>
        <w:rPr>
          <w:sz w:val="24"/>
        </w:rPr>
        <w:t>。</w:t>
      </w:r>
    </w:p>
    <w:p>
      <w:pPr>
        <w:numPr>
          <w:ilvl w:val="0"/>
          <w:numId w:val="8"/>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8"/>
        </w:numPr>
        <w:spacing w:before="120" w:beforeLines="50" w:after="120" w:afterLines="50" w:line="360" w:lineRule="auto"/>
        <w:ind w:left="0" w:firstLine="480" w:firstLineChars="200"/>
        <w:rPr>
          <w:sz w:val="24"/>
        </w:rPr>
      </w:pPr>
      <w:r>
        <w:rPr>
          <w:rFonts w:hint="eastAsia"/>
          <w:sz w:val="24"/>
        </w:rPr>
        <w:t>付款方式</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在本合同履行期内，若国家税费调整，合同含税金额按国家规定税率作出相应调整，供方每次申请付款应按照合同内容开具相应税率的合法有效的增值税专用发票。</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合同付款按施工进度支付，具体为：</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（1）合同签订并进场后，甲方收到乙方请款资料后15个工作日内支付暂定合同总价20%的预付款。</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（2）项目形象进度完成合同工程量</w:t>
      </w:r>
      <w:r>
        <w:rPr>
          <w:rFonts w:hint="eastAsia" w:ascii="宋体" w:hAnsi="宋体" w:cs="Arial"/>
          <w:color w:val="000000"/>
          <w:sz w:val="24"/>
          <w:lang w:val="en-US" w:eastAsia="zh-CN"/>
        </w:rPr>
        <w:t>6</w:t>
      </w:r>
      <w:r>
        <w:rPr>
          <w:rFonts w:hint="eastAsia" w:ascii="宋体" w:hAnsi="宋体" w:cs="Arial"/>
          <w:color w:val="000000"/>
          <w:sz w:val="24"/>
        </w:rPr>
        <w:t>0%，甲方收到乙方请款资料后15个工作日内支付至合同总价的</w:t>
      </w:r>
      <w:r>
        <w:rPr>
          <w:rFonts w:hint="eastAsia" w:ascii="宋体" w:hAnsi="宋体" w:cs="Arial"/>
          <w:color w:val="000000"/>
          <w:sz w:val="24"/>
          <w:lang w:val="en-US" w:eastAsia="zh-CN"/>
        </w:rPr>
        <w:t>4</w:t>
      </w:r>
      <w:r>
        <w:rPr>
          <w:rFonts w:hint="eastAsia" w:ascii="宋体" w:hAnsi="宋体" w:cs="Arial"/>
          <w:color w:val="000000"/>
          <w:sz w:val="24"/>
        </w:rPr>
        <w:t>0%</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项目形象进度完成合同工程量80%，甲方收到乙方请款资料后15个工作日内支付至合同总价的60%。</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（3）工程全部完工，甲方收到乙方请款资料后15个工作日内支付至合同总价的80%。</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（4）项目竣工验收合格，甲方收到乙方请款资料后15个工作日内支付工程款至合同总造价的97%。</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（5）质保期期满且乙方质保期义务按要求履行完毕后，甲方收到乙方请款资料后15个工作日内付清余款（不计利息）。</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10"/>
        </w:numPr>
        <w:spacing w:before="120" w:beforeLines="50" w:after="120" w:afterLines="50" w:line="360" w:lineRule="auto"/>
        <w:ind w:left="0" w:firstLine="480" w:firstLineChars="200"/>
        <w:rPr>
          <w:sz w:val="24"/>
        </w:rPr>
      </w:pPr>
      <w:r>
        <w:rPr>
          <w:rFonts w:hint="eastAsia"/>
          <w:sz w:val="24"/>
        </w:rPr>
        <w:t>商务部分（提供复印件，并加盖公章）</w:t>
      </w:r>
    </w:p>
    <w:p>
      <w:pPr>
        <w:spacing w:before="120" w:beforeLines="50" w:after="120" w:afterLines="50" w:line="360" w:lineRule="auto"/>
        <w:ind w:firstLine="480" w:firstLineChars="200"/>
        <w:rPr>
          <w:rFonts w:ascii="宋体" w:hAnsi="宋体"/>
          <w:sz w:val="24"/>
        </w:rPr>
      </w:pPr>
      <w:bookmarkStart w:id="1" w:name="_Hlk33472787"/>
      <w:r>
        <w:rPr>
          <w:rFonts w:hint="eastAsia" w:ascii="宋体" w:hAnsi="宋体"/>
          <w:sz w:val="24"/>
        </w:rPr>
        <w:t>1.提供营业执照或法人证书的盖章扫描件证明；</w:t>
      </w:r>
    </w:p>
    <w:p>
      <w:pPr>
        <w:spacing w:before="120" w:beforeLines="50" w:after="120" w:afterLines="50" w:line="360" w:lineRule="auto"/>
        <w:ind w:firstLine="480" w:firstLineChars="200"/>
        <w:rPr>
          <w:rFonts w:ascii="宋体" w:hAnsi="宋体"/>
          <w:sz w:val="24"/>
        </w:rPr>
      </w:pPr>
      <w:r>
        <w:rPr>
          <w:rFonts w:hint="eastAsia" w:ascii="宋体" w:hAnsi="宋体"/>
          <w:sz w:val="24"/>
        </w:rPr>
        <w:t>2.投标人未被列入“信用中国”网站(www.creditchina.gov.cn)记录失信被执行人名单,须提供“信用中国”网站(www.creditchina.gov.cn)的信用记录查询结果截图或信用信息报告并打印页面加盖公章；</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sz w:val="24"/>
        </w:rPr>
        <w:t>3.投标人没有处于被责令停业或破产状态，且资产未被重组、接管和冻结，声明在投标活动中3年内没有重大违法活动和涉嫌违规行为（附投标声明函，见附件2格式4）；</w:t>
      </w:r>
    </w:p>
    <w:p>
      <w:pPr>
        <w:numPr>
          <w:ilvl w:val="255"/>
          <w:numId w:val="0"/>
        </w:numPr>
        <w:spacing w:before="120" w:beforeLines="50" w:after="120" w:afterLines="50" w:line="360" w:lineRule="auto"/>
        <w:ind w:left="420" w:leftChars="200"/>
        <w:rPr>
          <w:rFonts w:ascii="宋体" w:hAnsi="宋体" w:cs="Arial"/>
          <w:color w:val="000000"/>
          <w:sz w:val="24"/>
        </w:rPr>
      </w:pPr>
      <w:r>
        <w:rPr>
          <w:rFonts w:hint="eastAsia" w:ascii="宋体" w:hAnsi="宋体" w:cs="Arial"/>
          <w:color w:val="000000"/>
          <w:sz w:val="24"/>
        </w:rPr>
        <w:t>4.供应商调查表（</w:t>
      </w:r>
      <w:r>
        <w:rPr>
          <w:rFonts w:hint="eastAsia" w:ascii="宋体" w:hAnsi="宋体"/>
          <w:sz w:val="24"/>
        </w:rPr>
        <w:t>见附件2格式3</w:t>
      </w:r>
      <w:r>
        <w:rPr>
          <w:rFonts w:hint="eastAsia" w:ascii="宋体" w:hAnsi="宋体" w:cs="Arial"/>
          <w:color w:val="000000"/>
          <w:sz w:val="24"/>
        </w:rPr>
        <w:t>）</w:t>
      </w:r>
    </w:p>
    <w:p>
      <w:pPr>
        <w:pStyle w:val="40"/>
        <w:numPr>
          <w:ilvl w:val="255"/>
          <w:numId w:val="0"/>
        </w:numPr>
        <w:tabs>
          <w:tab w:val="left" w:pos="851"/>
        </w:tabs>
        <w:spacing w:line="360" w:lineRule="auto"/>
        <w:ind w:firstLine="480" w:firstLineChars="200"/>
        <w:rPr>
          <w:rFonts w:asciiTheme="minorEastAsia" w:hAnsiTheme="minorEastAsia"/>
          <w:sz w:val="24"/>
          <w:szCs w:val="28"/>
        </w:rPr>
      </w:pPr>
      <w:r>
        <w:rPr>
          <w:rFonts w:hint="eastAsia" w:asciiTheme="minorEastAsia" w:hAnsiTheme="minorEastAsia"/>
          <w:sz w:val="24"/>
          <w:szCs w:val="28"/>
        </w:rPr>
        <w:t>5.法定代表人证明书、法定代表人授权委托书原件（</w:t>
      </w:r>
      <w:r>
        <w:rPr>
          <w:rFonts w:hint="eastAsia" w:ascii="宋体" w:hAnsi="宋体"/>
          <w:sz w:val="24"/>
        </w:rPr>
        <w:t>见附件2格式2</w:t>
      </w:r>
      <w:r>
        <w:rPr>
          <w:rFonts w:hint="eastAsia" w:asciiTheme="minorEastAsia" w:hAnsiTheme="minorEastAsia"/>
          <w:sz w:val="24"/>
          <w:szCs w:val="28"/>
        </w:rPr>
        <w:t>）；</w:t>
      </w:r>
    </w:p>
    <w:p>
      <w:pPr>
        <w:numPr>
          <w:ilvl w:val="255"/>
          <w:numId w:val="0"/>
        </w:numPr>
        <w:spacing w:before="120" w:beforeLines="50" w:after="120" w:afterLines="50" w:line="360" w:lineRule="auto"/>
        <w:ind w:left="420" w:leftChars="200"/>
        <w:rPr>
          <w:rFonts w:ascii="宋体" w:hAnsi="宋体" w:cs="Arial"/>
          <w:color w:val="000000"/>
          <w:sz w:val="24"/>
        </w:rPr>
      </w:pPr>
      <w:r>
        <w:rPr>
          <w:rFonts w:hint="eastAsia" w:ascii="宋体" w:hAnsi="宋体" w:cs="Arial"/>
          <w:color w:val="000000"/>
          <w:sz w:val="24"/>
        </w:rPr>
        <w:t>6.有效的安全生产许可证及资质证书；</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7.本工程拟派项目负责人简历表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8.近3年内(2022年1月1日至今) 具有类似无功补偿改造项目业绩（需提供合同等相关证明材料复印件；</w:t>
      </w:r>
    </w:p>
    <w:p>
      <w:pPr>
        <w:numPr>
          <w:ilvl w:val="255"/>
          <w:numId w:val="0"/>
        </w:num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hint="eastAsia" w:ascii="宋体" w:hAnsi="宋体" w:cs="Arial"/>
          <w:color w:val="000000"/>
          <w:sz w:val="24"/>
          <w:highlight w:val="none"/>
        </w:rPr>
        <w:t>专职安全员具有有效的安全生产考核合格证（C类）或建筑施工企业专职安全生产管理人员有安全生产考核合格证书（C3），提供复印件；</w:t>
      </w:r>
    </w:p>
    <w:p>
      <w:pPr>
        <w:numPr>
          <w:ilvl w:val="255"/>
          <w:numId w:val="0"/>
        </w:numPr>
        <w:spacing w:before="120" w:beforeLines="50" w:after="120" w:afterLines="50" w:line="360" w:lineRule="auto"/>
        <w:ind w:left="420" w:leftChars="200"/>
        <w:rPr>
          <w:sz w:val="28"/>
          <w:szCs w:val="28"/>
        </w:rPr>
      </w:pPr>
      <w:r>
        <w:rPr>
          <w:rFonts w:hint="eastAsia" w:ascii="宋体" w:hAnsi="宋体" w:cs="Arial"/>
          <w:color w:val="000000"/>
          <w:sz w:val="24"/>
          <w:lang w:val="en-US" w:eastAsia="zh-CN"/>
        </w:rPr>
        <w:t>10.</w:t>
      </w:r>
      <w:r>
        <w:rPr>
          <w:rFonts w:hint="eastAsia" w:ascii="宋体" w:hAnsi="宋体" w:cs="Arial"/>
          <w:color w:val="000000"/>
          <w:sz w:val="24"/>
        </w:rPr>
        <w:t>投标人认为有必要的其他材料复印件</w:t>
      </w:r>
      <w:bookmarkEnd w:id="1"/>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rPr>
      </w:pPr>
      <w:bookmarkStart w:id="2" w:name="_Hlk33472829"/>
      <w:r>
        <w:rPr>
          <w:rFonts w:hint="eastAsia" w:ascii="宋体" w:hAnsi="宋体" w:cs="Arial"/>
          <w:color w:val="000000"/>
          <w:sz w:val="24"/>
        </w:rPr>
        <w:t>总体实施方案</w:t>
      </w:r>
      <w:r>
        <w:rPr>
          <w:rFonts w:hint="eastAsia" w:asciiTheme="minorEastAsia" w:hAnsiTheme="minorEastAsia" w:eastAsiaTheme="minorEastAsia" w:cstheme="minorEastAsia"/>
          <w:color w:val="000000"/>
          <w:sz w:val="24"/>
        </w:rPr>
        <w:t>；</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2"/>
      <w:r>
        <w:rPr>
          <w:rFonts w:hint="eastAsia" w:ascii="宋体" w:hAnsi="宋体" w:cs="Arial"/>
          <w:color w:val="000000"/>
          <w:sz w:val="24"/>
        </w:rPr>
        <w:t>。</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说明：投标人如没有提供施工方案的，视为投标人承诺中标后的施工能完全满足竞选文件的要求。</w:t>
      </w:r>
    </w:p>
    <w:p>
      <w:pPr>
        <w:numPr>
          <w:ilvl w:val="0"/>
          <w:numId w:val="10"/>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rPr>
      </w:pPr>
      <w:bookmarkStart w:id="3" w:name="_Hlk33472852"/>
      <w:r>
        <w:rPr>
          <w:rFonts w:hint="eastAsia" w:ascii="宋体" w:hAnsi="宋体" w:cs="Arial"/>
          <w:color w:val="000000"/>
          <w:sz w:val="24"/>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报价明细表：采用工程量清单计价，按本竞选文件所附工程量清单和乙供主要材料清单报价，包括但不限于工程量清单和乙供主要材料清单各项目单价及综合总报价，并注明未含税总价、税率和含税总价</w:t>
      </w:r>
      <w:bookmarkEnd w:id="3"/>
      <w:r>
        <w:rPr>
          <w:rFonts w:hint="eastAsia" w:ascii="宋体" w:hAnsi="宋体" w:cs="Arial"/>
          <w:color w:val="000000"/>
          <w:sz w:val="24"/>
        </w:rPr>
        <w:t>。</w:t>
      </w:r>
    </w:p>
    <w:p>
      <w:pPr>
        <w:pStyle w:val="2"/>
        <w:rPr>
          <w:rFonts w:hint="default" w:eastAsia="宋体"/>
          <w:lang w:val="en-US" w:eastAsia="zh-CN"/>
        </w:rPr>
      </w:pPr>
      <w:r>
        <w:rPr>
          <w:rFonts w:hint="eastAsia" w:ascii="宋体" w:hAnsi="宋体" w:cs="Arial"/>
          <w:color w:val="000000"/>
          <w:sz w:val="24"/>
          <w:lang w:val="en-US" w:eastAsia="zh-CN"/>
        </w:rPr>
        <w:t xml:space="preserve"> 3.主要设备报价品牌响应表</w:t>
      </w:r>
    </w:p>
    <w:p>
      <w:pPr>
        <w:numPr>
          <w:ilvl w:val="255"/>
          <w:numId w:val="0"/>
        </w:numPr>
        <w:spacing w:line="360" w:lineRule="auto"/>
        <w:ind w:firstLine="482" w:firstLineChars="200"/>
        <w:rPr>
          <w:rFonts w:ascii="宋体" w:hAnsi="宋体"/>
          <w:b/>
          <w:sz w:val="24"/>
        </w:rPr>
      </w:pPr>
      <w:r>
        <w:rPr>
          <w:rFonts w:hint="eastAsia" w:ascii="宋体" w:hAnsi="宋体"/>
          <w:b/>
          <w:sz w:val="24"/>
        </w:rPr>
        <w:t>九、特别注意</w:t>
      </w:r>
    </w:p>
    <w:p>
      <w:pPr>
        <w:tabs>
          <w:tab w:val="left" w:pos="540"/>
          <w:tab w:val="left" w:pos="720"/>
        </w:tabs>
        <w:spacing w:before="120" w:beforeLines="50" w:after="120" w:afterLines="50" w:line="360" w:lineRule="auto"/>
        <w:ind w:firstLine="480" w:firstLineChars="200"/>
        <w:rPr>
          <w:bCs/>
          <w:sz w:val="24"/>
        </w:rPr>
      </w:pPr>
      <w:r>
        <w:rPr>
          <w:rFonts w:hint="eastAsia"/>
          <w:bCs/>
          <w:sz w:val="24"/>
        </w:rPr>
        <w:t>（一）本项目公告未明确事项，按采购文件执行。供应商响应报价即为认同本项目所有文件中的约定，本项目报价文件为采购方免费提供，无论成交与否，均默认授权由采购方自行处理，不作退回。</w:t>
      </w:r>
    </w:p>
    <w:p>
      <w:pPr>
        <w:tabs>
          <w:tab w:val="left" w:pos="540"/>
          <w:tab w:val="left" w:pos="720"/>
        </w:tabs>
        <w:spacing w:before="120" w:beforeLines="50" w:after="120" w:afterLines="50" w:line="360" w:lineRule="auto"/>
        <w:ind w:firstLine="480" w:firstLineChars="200"/>
        <w:rPr>
          <w:bCs/>
          <w:sz w:val="24"/>
        </w:rPr>
      </w:pPr>
      <w:r>
        <w:rPr>
          <w:rFonts w:hint="eastAsia"/>
          <w:bCs/>
          <w:sz w:val="24"/>
        </w:rPr>
        <w:t>（二）供应商之间不得与同一个第三人存在关联关系，如存在关联关系，则投标无效。如果发现供应商存在围标、串标等违法情形，将列入采购黑名单，不得参与采购人的采购项目。</w:t>
      </w:r>
    </w:p>
    <w:p>
      <w:pPr>
        <w:tabs>
          <w:tab w:val="left" w:pos="540"/>
          <w:tab w:val="left" w:pos="720"/>
        </w:tabs>
        <w:spacing w:before="120" w:beforeLines="50" w:after="120" w:afterLines="50" w:line="360" w:lineRule="auto"/>
        <w:ind w:firstLine="480" w:firstLineChars="200"/>
        <w:rPr>
          <w:bCs/>
          <w:sz w:val="24"/>
        </w:rPr>
      </w:pPr>
      <w:r>
        <w:rPr>
          <w:rFonts w:hint="eastAsia"/>
          <w:bCs/>
          <w:sz w:val="24"/>
        </w:rPr>
        <w:t>（三）采购项目若存在项目调整或计划变动，采购人有权单方面终止采购。</w:t>
      </w:r>
    </w:p>
    <w:p>
      <w:pPr>
        <w:numPr>
          <w:ilvl w:val="255"/>
          <w:numId w:val="0"/>
        </w:numPr>
        <w:tabs>
          <w:tab w:val="left" w:pos="540"/>
          <w:tab w:val="left" w:pos="720"/>
        </w:tabs>
        <w:spacing w:before="120" w:beforeLines="50" w:after="120" w:afterLines="50" w:line="360" w:lineRule="auto"/>
        <w:ind w:firstLine="480" w:firstLineChars="200"/>
        <w:rPr>
          <w:rFonts w:hint="eastAsia" w:ascii="宋体" w:hAnsi="宋体"/>
          <w:sz w:val="24"/>
        </w:rPr>
      </w:pPr>
      <w:r>
        <w:rPr>
          <w:rFonts w:hint="eastAsia"/>
          <w:bCs/>
          <w:sz w:val="24"/>
        </w:rPr>
        <w:t>（四）</w:t>
      </w:r>
      <w:r>
        <w:rPr>
          <w:rFonts w:hint="eastAsia" w:ascii="宋体" w:hAnsi="宋体"/>
          <w:sz w:val="24"/>
        </w:rPr>
        <w:t>如乙方所提供的服务未达甲方要求的，甲方书面提出整改通知，乙方未按要求及时整改或未达整改要求的属于违约行为，甲方有权单方面终止合同，由此造成甲方经济损失的，乙方应给予赔偿。</w:t>
      </w:r>
    </w:p>
    <w:p>
      <w:pPr>
        <w:numPr>
          <w:ilvl w:val="255"/>
          <w:numId w:val="0"/>
        </w:numPr>
        <w:tabs>
          <w:tab w:val="left" w:pos="540"/>
          <w:tab w:val="left" w:pos="720"/>
        </w:tabs>
        <w:spacing w:before="120" w:beforeLines="50" w:after="120" w:afterLines="50" w:line="360" w:lineRule="auto"/>
        <w:ind w:left="0" w:leftChars="0" w:firstLine="480" w:firstLineChars="200"/>
        <w:rPr>
          <w:rFonts w:ascii="宋体" w:hAnsi="宋体"/>
          <w:b/>
          <w:sz w:val="24"/>
          <w:highlight w:val="none"/>
        </w:rPr>
      </w:pPr>
      <w:r>
        <w:rPr>
          <w:rFonts w:hint="eastAsia" w:ascii="宋体" w:hAnsi="宋体"/>
          <w:sz w:val="24"/>
          <w:lang w:val="en-US" w:eastAsia="zh-CN"/>
        </w:rPr>
        <w:t xml:space="preserve">  </w:t>
      </w:r>
      <w:r>
        <w:rPr>
          <w:rFonts w:hint="eastAsia" w:ascii="宋体" w:hAnsi="宋体"/>
          <w:b/>
          <w:sz w:val="24"/>
          <w:highlight w:val="none"/>
          <w:lang w:val="en-US" w:eastAsia="zh-CN"/>
        </w:rPr>
        <w:t>十、</w:t>
      </w:r>
      <w:r>
        <w:rPr>
          <w:rFonts w:hint="eastAsia" w:ascii="宋体" w:hAnsi="宋体"/>
          <w:b/>
          <w:sz w:val="24"/>
          <w:highlight w:val="none"/>
        </w:rPr>
        <w:t>评标方法</w:t>
      </w:r>
    </w:p>
    <w:p>
      <w:pPr>
        <w:spacing w:before="120" w:beforeLines="50" w:after="120" w:afterLines="50" w:line="360" w:lineRule="auto"/>
        <w:ind w:firstLine="480" w:firstLineChars="200"/>
        <w:rPr>
          <w:sz w:val="24"/>
        </w:rPr>
      </w:pPr>
      <w:bookmarkStart w:id="4" w:name="_Hlk33472865"/>
      <w:r>
        <w:rPr>
          <w:rFonts w:hint="eastAsia"/>
          <w:sz w:val="24"/>
        </w:rPr>
        <w:t>（一）</w:t>
      </w:r>
      <w:bookmarkStart w:id="5" w:name="OLE_LINK1"/>
      <w:r>
        <w:rPr>
          <w:rFonts w:hint="eastAsia"/>
          <w:sz w:val="24"/>
        </w:rPr>
        <w:t>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w:t>
      </w:r>
    </w:p>
    <w:bookmarkEnd w:id="5"/>
    <w:p>
      <w:pPr>
        <w:numPr>
          <w:ilvl w:val="255"/>
          <w:numId w:val="0"/>
        </w:numPr>
        <w:spacing w:line="360" w:lineRule="auto"/>
        <w:ind w:firstLine="420" w:firstLineChars="200"/>
        <w:rPr>
          <w:rFonts w:ascii="宋体" w:hAnsi="宋体"/>
          <w:sz w:val="24"/>
        </w:rPr>
      </w:pPr>
      <w:r>
        <w:rPr>
          <w:rFonts w:hint="eastAsia"/>
        </w:rPr>
        <w:t xml:space="preserve">（二） </w:t>
      </w:r>
      <w:r>
        <w:rPr>
          <w:rFonts w:hint="eastAsia" w:ascii="宋体" w:hAnsi="宋体"/>
          <w:sz w:val="24"/>
        </w:rPr>
        <w:t>采购人不对未成交人就评标过程以及未能成交原因作出任何解释。未成交人不得向评标委员会组成人员或其他有关人员索问评标过程的情况和材料。</w:t>
      </w:r>
    </w:p>
    <w:p>
      <w:pPr>
        <w:numPr>
          <w:ilvl w:val="255"/>
          <w:numId w:val="0"/>
        </w:numPr>
        <w:spacing w:line="360" w:lineRule="auto"/>
        <w:ind w:firstLine="480" w:firstLineChars="200"/>
        <w:rPr>
          <w:rFonts w:ascii="宋体" w:hAnsi="宋体"/>
          <w:sz w:val="24"/>
        </w:rPr>
      </w:pPr>
      <w:r>
        <w:rPr>
          <w:rFonts w:hint="eastAsia" w:ascii="宋体" w:hAnsi="宋体"/>
          <w:sz w:val="24"/>
        </w:rPr>
        <w:t>（三）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3"/>
        <w:rPr>
          <w:sz w:val="24"/>
        </w:rPr>
      </w:pPr>
      <w:r>
        <w:rPr>
          <w:rFonts w:hint="eastAsia" w:ascii="宋体" w:hAnsi="宋体"/>
          <w:sz w:val="24"/>
        </w:rPr>
        <w:t xml:space="preserve">     （四）成交方式：收到我司通知单位为成交单位，无收到通知单位为未成交单位。</w:t>
      </w:r>
    </w:p>
    <w:bookmarkEnd w:id="4"/>
    <w:p>
      <w:pPr>
        <w:numPr>
          <w:ilvl w:val="255"/>
          <w:numId w:val="0"/>
        </w:numPr>
        <w:spacing w:before="120" w:beforeLines="50" w:after="120" w:afterLines="50" w:line="360" w:lineRule="auto"/>
        <w:ind w:left="420" w:leftChars="200"/>
        <w:rPr>
          <w:rFonts w:ascii="宋体" w:hAnsi="宋体"/>
          <w:b/>
          <w:sz w:val="24"/>
        </w:rPr>
      </w:pPr>
      <w:r>
        <w:rPr>
          <w:rFonts w:hint="eastAsia" w:ascii="宋体" w:hAnsi="宋体"/>
          <w:b/>
          <w:sz w:val="24"/>
        </w:rPr>
        <w:t>十</w:t>
      </w:r>
      <w:r>
        <w:rPr>
          <w:rFonts w:hint="eastAsia" w:ascii="宋体" w:hAnsi="宋体"/>
          <w:b/>
          <w:sz w:val="24"/>
          <w:lang w:val="en-US" w:eastAsia="zh-CN"/>
        </w:rPr>
        <w:t>二</w:t>
      </w:r>
      <w:r>
        <w:rPr>
          <w:rFonts w:hint="eastAsia" w:ascii="宋体" w:hAnsi="宋体"/>
          <w:b/>
          <w:sz w:val="24"/>
        </w:rPr>
        <w:t>、勘踏现场</w:t>
      </w:r>
    </w:p>
    <w:p>
      <w:pPr>
        <w:spacing w:before="120" w:beforeLines="50" w:after="120" w:afterLines="50" w:line="360" w:lineRule="auto"/>
        <w:ind w:firstLine="480" w:firstLineChars="200"/>
        <w:rPr>
          <w:sz w:val="24"/>
        </w:rPr>
      </w:pPr>
      <w:bookmarkStart w:id="6"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hint="eastAsia"/>
          <w:sz w:val="24"/>
        </w:rPr>
        <w:t>。勘踏现场时间：</w:t>
      </w:r>
      <w:r>
        <w:rPr>
          <w:color w:val="FF0000"/>
          <w:sz w:val="24"/>
          <w:highlight w:val="none"/>
        </w:rPr>
        <w:t>202</w:t>
      </w:r>
      <w:r>
        <w:rPr>
          <w:rFonts w:hint="eastAsia"/>
          <w:color w:val="FF0000"/>
          <w:sz w:val="24"/>
          <w:highlight w:val="none"/>
        </w:rPr>
        <w:t>5年</w:t>
      </w:r>
      <w:r>
        <w:rPr>
          <w:rFonts w:hint="eastAsia"/>
          <w:color w:val="FF0000"/>
          <w:sz w:val="24"/>
          <w:highlight w:val="none"/>
          <w:lang w:val="en-US" w:eastAsia="zh-CN"/>
        </w:rPr>
        <w:t>12</w:t>
      </w:r>
      <w:r>
        <w:rPr>
          <w:rFonts w:hint="eastAsia"/>
          <w:color w:val="FF0000"/>
          <w:sz w:val="24"/>
          <w:highlight w:val="none"/>
        </w:rPr>
        <w:t>月</w:t>
      </w:r>
      <w:r>
        <w:rPr>
          <w:rFonts w:hint="eastAsia"/>
          <w:color w:val="FF0000"/>
          <w:sz w:val="24"/>
          <w:highlight w:val="none"/>
          <w:lang w:val="en-US" w:eastAsia="zh-CN"/>
        </w:rPr>
        <w:t xml:space="preserve">19 </w:t>
      </w:r>
      <w:r>
        <w:rPr>
          <w:rFonts w:hint="eastAsia"/>
          <w:color w:val="FF0000"/>
          <w:sz w:val="24"/>
          <w:highlight w:val="none"/>
        </w:rPr>
        <w:t>日</w:t>
      </w:r>
      <w:r>
        <w:rPr>
          <w:rFonts w:hint="eastAsia"/>
          <w:color w:val="FF0000"/>
          <w:sz w:val="24"/>
          <w:highlight w:val="none"/>
          <w:lang w:val="en-US" w:eastAsia="zh-CN"/>
        </w:rPr>
        <w:t>15</w:t>
      </w:r>
      <w:r>
        <w:rPr>
          <w:rFonts w:hint="eastAsia"/>
          <w:color w:val="FF0000"/>
          <w:sz w:val="24"/>
          <w:highlight w:val="none"/>
        </w:rPr>
        <w:t>时</w:t>
      </w:r>
      <w:r>
        <w:rPr>
          <w:rFonts w:hint="eastAsia"/>
          <w:color w:val="FF0000"/>
          <w:sz w:val="24"/>
          <w:highlight w:val="none"/>
          <w:lang w:val="en-US" w:eastAsia="zh-CN"/>
        </w:rPr>
        <w:t>3</w:t>
      </w:r>
      <w:bookmarkStart w:id="15" w:name="_GoBack"/>
      <w:bookmarkEnd w:id="15"/>
      <w:r>
        <w:rPr>
          <w:rFonts w:hint="eastAsia"/>
          <w:color w:val="FF0000"/>
          <w:sz w:val="24"/>
          <w:highlight w:val="none"/>
        </w:rPr>
        <w:t>0分</w:t>
      </w:r>
      <w:r>
        <w:rPr>
          <w:rFonts w:hint="eastAsia"/>
          <w:sz w:val="24"/>
        </w:rPr>
        <w:t>，集中地点：广州市番禺区大学城明志街1号信息枢纽楼一楼西门。勘踏现场联系人</w:t>
      </w:r>
      <w:r>
        <w:rPr>
          <w:rFonts w:hint="eastAsia"/>
          <w:sz w:val="24"/>
          <w:lang w:val="en-US" w:eastAsia="zh-CN"/>
        </w:rPr>
        <w:t>工程部刘工</w:t>
      </w:r>
      <w:r>
        <w:rPr>
          <w:rFonts w:hint="eastAsia"/>
          <w:sz w:val="24"/>
        </w:rPr>
        <w:t>，联系电话：</w:t>
      </w:r>
      <w:r>
        <w:rPr>
          <w:rFonts w:hint="eastAsia" w:ascii="宋体" w:hAnsi="宋体" w:eastAsia="宋体"/>
          <w:sz w:val="24"/>
          <w:szCs w:val="24"/>
          <w:lang w:val="en-US" w:eastAsia="zh-CN"/>
        </w:rPr>
        <w:t>020-31100995转</w:t>
      </w:r>
      <w:r>
        <w:rPr>
          <w:rFonts w:hint="eastAsia" w:ascii="宋体" w:hAnsi="宋体"/>
          <w:sz w:val="24"/>
          <w:szCs w:val="24"/>
          <w:lang w:val="en-US" w:eastAsia="zh-CN"/>
        </w:rPr>
        <w:t>722</w:t>
      </w:r>
      <w:r>
        <w:rPr>
          <w:rFonts w:hint="eastAsia"/>
          <w:sz w:val="24"/>
        </w:rPr>
        <w:t>。投标人未在规定时间勘踏现场的，采购人不再另行组织，由投标人自行前往勘踏。</w:t>
      </w:r>
    </w:p>
    <w:p>
      <w:pPr>
        <w:numPr>
          <w:ilvl w:val="255"/>
          <w:numId w:val="0"/>
        </w:numPr>
        <w:spacing w:before="120" w:beforeLines="50" w:after="120" w:afterLines="50" w:line="360" w:lineRule="auto"/>
        <w:ind w:left="420" w:leftChars="200"/>
        <w:rPr>
          <w:rFonts w:ascii="宋体" w:hAnsi="宋体"/>
          <w:b/>
          <w:sz w:val="24"/>
        </w:rPr>
      </w:pPr>
      <w:bookmarkStart w:id="7" w:name="_Hlk33473031"/>
      <w:r>
        <w:rPr>
          <w:rFonts w:hint="eastAsia" w:ascii="宋体" w:hAnsi="宋体"/>
          <w:b/>
          <w:sz w:val="24"/>
        </w:rPr>
        <w:t>十</w:t>
      </w:r>
      <w:r>
        <w:rPr>
          <w:rFonts w:hint="eastAsia" w:ascii="宋体" w:hAnsi="宋体"/>
          <w:b/>
          <w:sz w:val="24"/>
          <w:lang w:val="en-US" w:eastAsia="zh-CN"/>
        </w:rPr>
        <w:t>三</w:t>
      </w:r>
      <w:r>
        <w:rPr>
          <w:rFonts w:hint="eastAsia" w:ascii="宋体" w:hAnsi="宋体"/>
          <w:b/>
          <w:sz w:val="24"/>
        </w:rPr>
        <w:t>、递交投标文件</w:t>
      </w:r>
    </w:p>
    <w:p>
      <w:pPr>
        <w:numPr>
          <w:ilvl w:val="0"/>
          <w:numId w:val="13"/>
        </w:numPr>
        <w:spacing w:before="120" w:beforeLines="50" w:after="120" w:afterLines="50" w:line="360" w:lineRule="auto"/>
        <w:ind w:left="0" w:firstLine="480" w:firstLineChars="200"/>
        <w:rPr>
          <w:sz w:val="24"/>
        </w:rPr>
      </w:pPr>
      <w:bookmarkStart w:id="8" w:name="_Hlk33472917"/>
      <w:bookmarkStart w:id="9" w:name="_Hlk33473061"/>
      <w:r>
        <w:rPr>
          <w:rFonts w:hint="eastAsia"/>
          <w:sz w:val="24"/>
        </w:rPr>
        <w:t>投标文件递交截止时间</w:t>
      </w:r>
      <w:r>
        <w:rPr>
          <w:rFonts w:hint="eastAsia"/>
          <w:color w:val="FF0000"/>
          <w:sz w:val="24"/>
        </w:rPr>
        <w:t>：</w:t>
      </w:r>
      <w:r>
        <w:rPr>
          <w:color w:val="FF0000"/>
          <w:sz w:val="24"/>
        </w:rPr>
        <w:t>202</w:t>
      </w:r>
      <w:r>
        <w:rPr>
          <w:rFonts w:hint="eastAsia"/>
          <w:color w:val="FF0000"/>
          <w:sz w:val="24"/>
        </w:rPr>
        <w:t>5年</w:t>
      </w:r>
      <w:r>
        <w:rPr>
          <w:rFonts w:hint="eastAsia"/>
          <w:color w:val="FF0000"/>
          <w:sz w:val="24"/>
          <w:lang w:val="en-US" w:eastAsia="zh-CN"/>
        </w:rPr>
        <w:t>12</w:t>
      </w:r>
      <w:r>
        <w:rPr>
          <w:rFonts w:hint="eastAsia"/>
          <w:color w:val="FF0000"/>
          <w:sz w:val="24"/>
        </w:rPr>
        <w:t>月</w:t>
      </w:r>
      <w:r>
        <w:rPr>
          <w:rFonts w:hint="eastAsia"/>
          <w:color w:val="FF0000"/>
          <w:sz w:val="24"/>
          <w:lang w:val="en-US" w:eastAsia="zh-CN"/>
        </w:rPr>
        <w:t>29</w:t>
      </w:r>
      <w:r>
        <w:rPr>
          <w:rFonts w:hint="eastAsia"/>
          <w:color w:val="FF0000"/>
          <w:sz w:val="24"/>
        </w:rPr>
        <w:t>日</w:t>
      </w:r>
      <w:r>
        <w:rPr>
          <w:rFonts w:hint="eastAsia"/>
          <w:sz w:val="24"/>
        </w:rPr>
        <w:t>北京时间16时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lang w:eastAsia="zh-CN"/>
        </w:rPr>
        <w:t>杂用水厂低压电房无功补偿柜安全隐患整改项目零星工程</w:t>
      </w:r>
      <w:r>
        <w:rPr>
          <w:rFonts w:hint="eastAsia" w:ascii="宋体"/>
          <w:sz w:val="24"/>
        </w:rPr>
        <w:t>投标文件</w:t>
      </w:r>
      <w:r>
        <w:rPr>
          <w:rFonts w:hint="eastAsia"/>
          <w:sz w:val="24"/>
        </w:rPr>
        <w:t>”字样。投标人递交投标文件后，请联系采购人确认。</w:t>
      </w:r>
    </w:p>
    <w:p>
      <w:pPr>
        <w:numPr>
          <w:ilvl w:val="0"/>
          <w:numId w:val="13"/>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8"/>
      <w:r>
        <w:rPr>
          <w:sz w:val="24"/>
        </w:rPr>
        <w:t>。</w:t>
      </w:r>
    </w:p>
    <w:bookmarkEnd w:id="9"/>
    <w:p>
      <w:pPr>
        <w:numPr>
          <w:ilvl w:val="255"/>
          <w:numId w:val="0"/>
        </w:numPr>
        <w:spacing w:before="120" w:beforeLines="50" w:after="120" w:afterLines="50" w:line="360" w:lineRule="auto"/>
        <w:ind w:left="420" w:leftChars="200"/>
        <w:rPr>
          <w:rFonts w:ascii="宋体" w:hAnsi="宋体"/>
          <w:b/>
          <w:sz w:val="24"/>
        </w:rPr>
      </w:pPr>
      <w:bookmarkStart w:id="10" w:name="_Hlk33473147"/>
      <w:bookmarkStart w:id="11" w:name="_Hlk33472987"/>
      <w:r>
        <w:rPr>
          <w:rFonts w:hint="eastAsia" w:ascii="宋体" w:hAnsi="宋体"/>
          <w:b/>
          <w:sz w:val="24"/>
        </w:rPr>
        <w:t>十</w:t>
      </w:r>
      <w:r>
        <w:rPr>
          <w:rFonts w:hint="eastAsia" w:ascii="宋体" w:hAnsi="宋体"/>
          <w:b/>
          <w:sz w:val="24"/>
          <w:lang w:val="en-US" w:eastAsia="zh-CN"/>
        </w:rPr>
        <w:t>四</w:t>
      </w:r>
      <w:r>
        <w:rPr>
          <w:rFonts w:hint="eastAsia" w:ascii="宋体" w:hAnsi="宋体"/>
          <w:b/>
          <w:sz w:val="24"/>
        </w:rPr>
        <w:t>、竞选文件公示</w:t>
      </w:r>
    </w:p>
    <w:p>
      <w:pPr>
        <w:spacing w:before="120" w:beforeLines="50" w:after="120" w:afterLines="50" w:line="360" w:lineRule="auto"/>
        <w:ind w:firstLine="480" w:firstLineChars="200"/>
        <w:rPr>
          <w:sz w:val="24"/>
        </w:rPr>
      </w:pPr>
      <w:r>
        <w:rPr>
          <w:rFonts w:hint="eastAsia"/>
          <w:sz w:val="24"/>
        </w:rPr>
        <w:t>本竞选文件在广州国企阳光采购服务平台（http://ygcg.gzggzy.cn））、广州城投综合能源投资经营管理有限公司网站（网址：</w:t>
      </w:r>
      <w:r>
        <w:rPr>
          <w:sz w:val="24"/>
        </w:rPr>
        <w:t>https://www.gzuci.com/</w:t>
      </w:r>
      <w:r>
        <w:rPr>
          <w:rFonts w:hint="eastAsia"/>
          <w:sz w:val="24"/>
        </w:rPr>
        <w:t>）同时发布。本竞选文件在各媒体发布的文本如有不同之处，以在广州城投综合能源投资经营管理有限公司网站发布的文本为准。</w:t>
      </w:r>
    </w:p>
    <w:bookmarkEnd w:id="10"/>
    <w:p>
      <w:pPr>
        <w:numPr>
          <w:ilvl w:val="255"/>
          <w:numId w:val="0"/>
        </w:numPr>
        <w:spacing w:before="120" w:beforeLines="50" w:after="120" w:afterLines="50" w:line="360" w:lineRule="auto"/>
        <w:ind w:left="420" w:leftChars="200"/>
        <w:rPr>
          <w:rFonts w:ascii="宋体" w:hAnsi="宋体"/>
          <w:b/>
          <w:sz w:val="24"/>
        </w:rPr>
      </w:pPr>
      <w:r>
        <w:rPr>
          <w:rFonts w:hint="eastAsia" w:ascii="宋体" w:hAnsi="宋体"/>
          <w:b/>
          <w:sz w:val="24"/>
        </w:rPr>
        <w:t>十</w:t>
      </w:r>
      <w:r>
        <w:rPr>
          <w:rFonts w:hint="eastAsia" w:ascii="宋体" w:hAnsi="宋体"/>
          <w:b/>
          <w:sz w:val="24"/>
          <w:lang w:val="en-US" w:eastAsia="zh-CN"/>
        </w:rPr>
        <w:t>五</w:t>
      </w: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（一）采购单位：广州城投综合能源投资经营管理有限公司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（二）联系地址：广州市番禺区大学城明志街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（三）联系人：詹工  联系电话：</w:t>
      </w:r>
      <w:bookmarkStart w:id="12" w:name="_Hlk33473223"/>
      <w:r>
        <w:rPr>
          <w:rFonts w:hint="eastAsia" w:ascii="宋体" w:hAnsi="宋体" w:eastAsia="宋体"/>
          <w:sz w:val="24"/>
          <w:szCs w:val="24"/>
          <w:lang w:val="en-US" w:eastAsia="zh-CN"/>
        </w:rPr>
        <w:t>020-31100995转877</w:t>
      </w:r>
    </w:p>
    <w:p>
      <w:pPr>
        <w:spacing w:before="120" w:beforeLines="50" w:after="120" w:afterLines="50" w:line="360" w:lineRule="auto"/>
        <w:ind w:firstLine="480" w:firstLineChars="200"/>
        <w:rPr>
          <w:rFonts w:hint="eastAsia" w:ascii="宋体" w:hAnsi="宋体" w:cs="Arial"/>
          <w:sz w:val="24"/>
          <w:lang w:val="en-US" w:eastAsia="zh-CN"/>
        </w:rPr>
      </w:pPr>
      <w:r>
        <w:rPr>
          <w:rFonts w:hint="eastAsia" w:ascii="宋体" w:hAnsi="宋体" w:cs="Arial"/>
          <w:sz w:val="24"/>
        </w:rPr>
        <w:t>附件1：</w:t>
      </w:r>
      <w:r>
        <w:rPr>
          <w:rFonts w:hint="eastAsia" w:ascii="宋体" w:hAnsi="宋体" w:cs="Arial"/>
          <w:sz w:val="24"/>
          <w:lang w:val="en-US" w:eastAsia="zh-CN"/>
        </w:rPr>
        <w:t>采购需求书</w:t>
      </w:r>
    </w:p>
    <w:p>
      <w:pPr>
        <w:spacing w:before="120" w:beforeLines="50" w:after="120" w:afterLines="50" w:line="360" w:lineRule="auto"/>
        <w:ind w:firstLine="480" w:firstLineChars="200"/>
        <w:rPr>
          <w:rFonts w:ascii="宋体" w:hAnsi="宋体" w:cs="Arial"/>
          <w:sz w:val="24"/>
        </w:rPr>
      </w:pPr>
      <w:r>
        <w:rPr>
          <w:rFonts w:hint="eastAsia" w:ascii="宋体" w:hAnsi="宋体" w:cs="Arial"/>
          <w:sz w:val="24"/>
        </w:rPr>
        <w:t>附件2：投标文件目录及格式要求</w:t>
      </w:r>
    </w:p>
    <w:p>
      <w:pPr>
        <w:spacing w:before="120" w:beforeLines="50" w:after="120" w:afterLines="50" w:line="360" w:lineRule="auto"/>
        <w:ind w:firstLine="480" w:firstLineChars="200"/>
        <w:rPr>
          <w:rFonts w:ascii="宋体" w:hAnsi="宋体" w:cs="Arial"/>
          <w:sz w:val="24"/>
        </w:rPr>
      </w:pPr>
      <w:r>
        <w:rPr>
          <w:rFonts w:hint="eastAsia" w:ascii="宋体" w:hAnsi="宋体" w:cs="Arial"/>
          <w:sz w:val="24"/>
        </w:rPr>
        <w:t>附件:3：评审办法</w:t>
      </w:r>
    </w:p>
    <w:p>
      <w:pPr>
        <w:spacing w:before="120" w:beforeLines="50" w:after="120" w:afterLines="50" w:line="360" w:lineRule="auto"/>
        <w:ind w:right="560" w:firstLine="3780" w:firstLineChars="1800"/>
      </w:pPr>
      <w:r>
        <w:rPr>
          <w:rFonts w:hint="eastAsia"/>
        </w:rPr>
        <w:t>采购人：广州城投综合能源投资经营管理有限公司</w:t>
      </w:r>
    </w:p>
    <w:p>
      <w:pPr>
        <w:pStyle w:val="11"/>
        <w:spacing w:before="120" w:beforeLines="50" w:after="120" w:afterLines="50" w:line="360" w:lineRule="auto"/>
        <w:ind w:left="0" w:leftChars="0" w:right="560"/>
        <w:jc w:val="right"/>
      </w:pPr>
      <w:r>
        <w:rPr>
          <w:rFonts w:hint="eastAsia"/>
        </w:rPr>
        <w:t>2025年</w:t>
      </w:r>
      <w:r>
        <w:rPr>
          <w:rFonts w:hint="eastAsia"/>
          <w:lang w:val="en-US" w:eastAsia="zh-CN"/>
        </w:rPr>
        <w:t>12</w:t>
      </w:r>
      <w:r>
        <w:rPr>
          <w:rFonts w:hint="eastAsia"/>
        </w:rPr>
        <w:t>月</w:t>
      </w:r>
      <w:r>
        <w:rPr>
          <w:rFonts w:hint="eastAsia"/>
          <w:lang w:val="en-US" w:eastAsia="zh-CN"/>
        </w:rPr>
        <w:t>17</w:t>
      </w:r>
      <w:r>
        <w:rPr>
          <w:rFonts w:hint="eastAsia"/>
        </w:rPr>
        <w:t>日</w:t>
      </w:r>
      <w:bookmarkEnd w:id="7"/>
    </w:p>
    <w:bookmarkEnd w:id="11"/>
    <w:bookmarkEnd w:id="12"/>
    <w:p>
      <w:pPr>
        <w:spacing w:before="120" w:beforeLines="50" w:after="120" w:afterLines="50" w:line="360" w:lineRule="auto"/>
        <w:rPr>
          <w:rFonts w:ascii="宋体" w:hAnsi="宋体" w:cs="Arial"/>
          <w:color w:val="000000"/>
          <w:sz w:val="30"/>
          <w:szCs w:val="30"/>
        </w:rPr>
      </w:pPr>
      <w:r>
        <w:rPr>
          <w:rFonts w:hint="eastAsia" w:ascii="宋体" w:hAnsi="宋体" w:cs="Arial"/>
          <w:color w:val="000000"/>
          <w:sz w:val="30"/>
          <w:szCs w:val="30"/>
        </w:rPr>
        <w:br w:type="page"/>
      </w:r>
      <w:r>
        <w:rPr>
          <w:rFonts w:hint="eastAsia" w:ascii="宋体" w:hAnsi="宋体" w:cs="Arial"/>
          <w:color w:val="000000"/>
          <w:sz w:val="30"/>
          <w:szCs w:val="30"/>
        </w:rPr>
        <w:t>附件1</w:t>
      </w:r>
    </w:p>
    <w:p>
      <w:pPr>
        <w:tabs>
          <w:tab w:val="left" w:pos="567"/>
        </w:tabs>
        <w:spacing w:before="120" w:beforeLines="50" w:after="120" w:afterLines="50" w:line="360" w:lineRule="auto"/>
        <w:ind w:left="420"/>
        <w:jc w:val="center"/>
        <w:rPr>
          <w:rFonts w:hint="eastAsia" w:ascii="宋体" w:hAnsi="宋体" w:eastAsia="宋体"/>
          <w:b/>
          <w:sz w:val="24"/>
          <w:lang w:eastAsia="zh-CN"/>
        </w:rPr>
      </w:pPr>
      <w:r>
        <w:rPr>
          <w:rFonts w:hint="eastAsia" w:ascii="宋体" w:hAnsi="宋体"/>
          <w:b/>
          <w:sz w:val="24"/>
          <w:lang w:eastAsia="zh-CN"/>
        </w:rPr>
        <w:t>杂用水厂低压电房无功补偿柜安全隐患整改项目零星工程</w:t>
      </w:r>
    </w:p>
    <w:p>
      <w:pPr>
        <w:tabs>
          <w:tab w:val="left" w:pos="567"/>
        </w:tabs>
        <w:spacing w:before="120" w:beforeLines="50" w:after="120" w:afterLines="50" w:line="360" w:lineRule="auto"/>
        <w:ind w:left="420"/>
        <w:jc w:val="center"/>
        <w:rPr>
          <w:rFonts w:hint="eastAsia" w:ascii="宋体" w:hAnsi="宋体" w:cs="宋体"/>
          <w:b/>
          <w:sz w:val="24"/>
        </w:rPr>
      </w:pPr>
      <w:r>
        <w:rPr>
          <w:rFonts w:hint="eastAsia" w:ascii="宋体" w:hAnsi="宋体" w:cs="宋体"/>
          <w:b/>
          <w:sz w:val="24"/>
          <w:lang w:val="en-US" w:eastAsia="zh-CN"/>
        </w:rPr>
        <w:t>采购需求书</w:t>
      </w:r>
    </w:p>
    <w:p>
      <w:pPr>
        <w:numPr>
          <w:ilvl w:val="0"/>
          <w:numId w:val="14"/>
        </w:numPr>
        <w:spacing w:line="360" w:lineRule="auto"/>
        <w:rPr>
          <w:rFonts w:hint="eastAsia" w:ascii="宋体" w:hAnsi="宋体" w:cs="宋体"/>
          <w:b/>
          <w:sz w:val="24"/>
          <w:szCs w:val="24"/>
        </w:rPr>
      </w:pPr>
      <w:r>
        <w:rPr>
          <w:rFonts w:hint="eastAsia" w:ascii="宋体" w:hAnsi="宋体" w:cs="宋体"/>
          <w:b/>
          <w:sz w:val="24"/>
          <w:szCs w:val="24"/>
        </w:rPr>
        <w:t>项目名称：</w:t>
      </w:r>
    </w:p>
    <w:p>
      <w:pPr>
        <w:spacing w:line="360" w:lineRule="auto"/>
        <w:ind w:left="720"/>
        <w:rPr>
          <w:rFonts w:hint="eastAsia" w:ascii="宋体" w:hAnsi="宋体" w:cs="宋体"/>
          <w:sz w:val="24"/>
          <w:szCs w:val="24"/>
        </w:rPr>
      </w:pPr>
      <w:r>
        <w:rPr>
          <w:rFonts w:hint="eastAsia" w:ascii="宋体" w:hAnsi="宋体" w:cs="宋体"/>
          <w:sz w:val="24"/>
          <w:szCs w:val="24"/>
        </w:rPr>
        <w:t>杂用水厂低压电房无功补偿柜安全隐患整改项目</w:t>
      </w:r>
    </w:p>
    <w:p>
      <w:pPr>
        <w:numPr>
          <w:ilvl w:val="0"/>
          <w:numId w:val="14"/>
        </w:numPr>
        <w:spacing w:line="360" w:lineRule="auto"/>
        <w:rPr>
          <w:rFonts w:hint="eastAsia" w:ascii="宋体" w:hAnsi="宋体" w:cs="宋体"/>
          <w:b/>
          <w:sz w:val="24"/>
          <w:szCs w:val="24"/>
        </w:rPr>
      </w:pPr>
      <w:r>
        <w:rPr>
          <w:rFonts w:hint="eastAsia" w:ascii="宋体" w:hAnsi="宋体" w:cs="宋体"/>
          <w:b/>
          <w:sz w:val="24"/>
          <w:szCs w:val="24"/>
        </w:rPr>
        <w:t>项目的必要性说明：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杂用水厂无功补偿</w:t>
      </w:r>
      <w:r>
        <w:rPr>
          <w:rFonts w:hint="eastAsia" w:ascii="宋体" w:hAnsi="宋体" w:cs="宋体"/>
          <w:sz w:val="24"/>
          <w:szCs w:val="24"/>
          <w:lang w:val="en-US" w:eastAsia="zh-CN"/>
        </w:rPr>
        <w:t>柜</w:t>
      </w:r>
      <w:r>
        <w:rPr>
          <w:rFonts w:hint="eastAsia" w:ascii="宋体" w:hAnsi="宋体" w:cs="宋体"/>
          <w:sz w:val="24"/>
          <w:szCs w:val="24"/>
        </w:rPr>
        <w:t>为2004年设备，运行至今有20年，已经达到了设备设计年限的末期。</w:t>
      </w:r>
      <w:r>
        <w:rPr>
          <w:rFonts w:hint="eastAsia" w:ascii="宋体" w:hAnsi="宋体" w:cs="宋体"/>
          <w:sz w:val="24"/>
          <w:szCs w:val="24"/>
          <w:lang w:val="en-US" w:eastAsia="zh-CN"/>
        </w:rPr>
        <w:t>该隐患已被列入《2025年安全生产风险点（公司级隐患）整改计划》。完成杂用水厂无功补偿柜的更新后，无功补偿柜柜具备更高的可靠性和安全性，能够有效防范故障和事故的发生；改造后的电容柜采用先进的技术和材料，能够降低能量损耗，提高无功补偿效果。这将有助于减少能源消耗，降低企业成本，无功补偿装置的完好，可避免供电局有关功率因数的考核，甚至获得一定的奖励。因此，通过技术手段实现电能高效利用，符合安全、经济、节能减排的要求，有必要对其进行改造更新。</w:t>
      </w:r>
    </w:p>
    <w:p>
      <w:pPr>
        <w:numPr>
          <w:ilvl w:val="0"/>
          <w:numId w:val="14"/>
        </w:numPr>
        <w:spacing w:line="360" w:lineRule="auto"/>
        <w:rPr>
          <w:rFonts w:hint="eastAsia" w:ascii="宋体" w:hAnsi="宋体" w:eastAsia="宋体" w:cs="宋体"/>
          <w:b/>
          <w:sz w:val="24"/>
          <w:szCs w:val="24"/>
        </w:rPr>
      </w:pPr>
      <w:r>
        <w:rPr>
          <w:rFonts w:hint="eastAsia" w:ascii="宋体" w:hAnsi="宋体" w:eastAsia="宋体" w:cs="宋体"/>
          <w:b/>
          <w:sz w:val="24"/>
          <w:szCs w:val="24"/>
        </w:rPr>
        <w:t>项目的工作范围及内容</w:t>
      </w:r>
    </w:p>
    <w:p>
      <w:pPr>
        <w:numPr>
          <w:ilvl w:val="0"/>
          <w:numId w:val="3"/>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本项目主要工作范围：</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杂用水厂1#变压器低压无功补偿柜（250kVar）改造；</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杂用水厂2#变压器低压无功补偿柜（250kVar）改造；</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杂用水厂3#变压器低压无功补偿柜（250kVar）改造；</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项目实施过程中，无功补偿柜所在的电力系统需进行停电。</w:t>
      </w:r>
    </w:p>
    <w:p>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drawing>
          <wp:inline distT="0" distB="0" distL="114300" distR="114300">
            <wp:extent cx="3736975" cy="3114040"/>
            <wp:effectExtent l="0" t="0" r="15875" b="10160"/>
            <wp:docPr id="13" name="图片 5" descr="杂用水厂1#、2#变压器低压无功补偿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杂用水厂1#、2#变压器低压无功补偿柜"/>
                    <pic:cNvPicPr>
                      <a:picLocks noChangeAspect="1"/>
                    </pic:cNvPicPr>
                  </pic:nvPicPr>
                  <pic:blipFill>
                    <a:blip r:embed="rId4"/>
                    <a:stretch>
                      <a:fillRect/>
                    </a:stretch>
                  </pic:blipFill>
                  <pic:spPr>
                    <a:xfrm>
                      <a:off x="0" y="0"/>
                      <a:ext cx="3736975" cy="3114040"/>
                    </a:xfrm>
                    <a:prstGeom prst="rect">
                      <a:avLst/>
                    </a:prstGeom>
                    <a:noFill/>
                    <a:ln>
                      <a:noFill/>
                    </a:ln>
                  </pic:spPr>
                </pic:pic>
              </a:graphicData>
            </a:graphic>
          </wp:inline>
        </w:drawing>
      </w:r>
    </w:p>
    <w:p>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图1：杂用水厂1#、2#变压器低压无功补偿柜</w:t>
      </w:r>
    </w:p>
    <w:p>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drawing>
          <wp:inline distT="0" distB="0" distL="114300" distR="114300">
            <wp:extent cx="3314065" cy="4155440"/>
            <wp:effectExtent l="0" t="0" r="635" b="16510"/>
            <wp:docPr id="14" name="图片 6" descr="杂用水厂3#变压器低压无功补偿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杂用水厂3#变压器低压无功补偿柜"/>
                    <pic:cNvPicPr>
                      <a:picLocks noChangeAspect="1"/>
                    </pic:cNvPicPr>
                  </pic:nvPicPr>
                  <pic:blipFill>
                    <a:blip r:embed="rId5"/>
                    <a:stretch>
                      <a:fillRect/>
                    </a:stretch>
                  </pic:blipFill>
                  <pic:spPr>
                    <a:xfrm>
                      <a:off x="0" y="0"/>
                      <a:ext cx="3314065" cy="4155440"/>
                    </a:xfrm>
                    <a:prstGeom prst="rect">
                      <a:avLst/>
                    </a:prstGeom>
                    <a:noFill/>
                    <a:ln>
                      <a:noFill/>
                    </a:ln>
                  </pic:spPr>
                </pic:pic>
              </a:graphicData>
            </a:graphic>
          </wp:inline>
        </w:drawing>
      </w:r>
    </w:p>
    <w:p>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图2：杂用水厂1#、2#变压器低压无功补偿柜</w:t>
      </w:r>
    </w:p>
    <w:p>
      <w:pPr>
        <w:numPr>
          <w:ilvl w:val="0"/>
          <w:numId w:val="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本项目主要工作内容：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（一）出具项目改造设计图纸，并提供可修订修订的CAD版本，以便后期电房系统图修订用；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（二）对涉及改造的无功补偿柜所在电力系统进行停电，办理电气施工许可手续，做好安全隔离措施；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（三）对杂用水厂原有三套低压无功补偿柜体内的电容、电抗、继电器、控制器等器件进行拆除并清理至仓库；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（四）在柜门按电气元器件尺寸进行开孔，并安装多功能无功补偿控制器，多功能表，指示灯，电源开关把手等；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（五）在主母线上安装三相CT，采集主母线三相运行电流；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（六）在分支母线上安装氧化锌避雷器，三相刀熔开关或断路器；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（七）在分支母线上安装三相CT，采集无功补偿柜的三相运行电流；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（八）对柜体进行改造，优化空间，并安装智能电容补偿模块（并联电容器组和串联7%的电抗器），容量为250kVar/柜；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（九）按规范在柜体合适位置开孔安装散热风扇；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（十）对新安装的所有电气元器件进行接线；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对改造后的无功补偿柜进行调试。</w:t>
      </w:r>
    </w:p>
    <w:p>
      <w:pPr>
        <w:numPr>
          <w:ilvl w:val="0"/>
          <w:numId w:val="14"/>
        </w:numPr>
        <w:spacing w:line="360" w:lineRule="auto"/>
        <w:rPr>
          <w:rFonts w:hint="eastAsia" w:ascii="宋体" w:hAnsi="宋体" w:eastAsia="宋体" w:cs="宋体"/>
          <w:b/>
          <w:sz w:val="24"/>
          <w:szCs w:val="24"/>
        </w:rPr>
      </w:pPr>
      <w:r>
        <w:rPr>
          <w:rFonts w:hint="eastAsia" w:ascii="宋体" w:hAnsi="宋体" w:eastAsia="宋体" w:cs="宋体"/>
          <w:b/>
          <w:sz w:val="24"/>
          <w:szCs w:val="24"/>
        </w:rPr>
        <w:t>项目施工需求</w:t>
      </w:r>
    </w:p>
    <w:p>
      <w:pPr>
        <w:numPr>
          <w:ilvl w:val="-1"/>
          <w:numId w:val="0"/>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1.施工方法及技术要求：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本项目对杂用水厂三套无功补偿柜在原有的位置上进行更新改造，为最大限度减少对杂用水厂生产的影响，缩短施工的停电时间，本次采用不需要更换原柜体和母线，在原有的无功补偿柜内更换电容补偿模块（并联电容器组和串联7%的电抗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采用电容补偿模块相比传统无功补偿设备，集成度高，采用先进的紧凑型一体化设计，占地面积仅为同容量传统的1/3~1/2，极大节省了安装空间。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整体装置具有过温保护、过电流保护和缺相保护，极大提高了整机设备的可靠性。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sz w:val="24"/>
        </w:rPr>
      </w:pPr>
      <w:r>
        <w:rPr>
          <w:rFonts w:hint="eastAsia" w:ascii="宋体" w:hAnsi="宋体" w:cs="宋体"/>
          <w:sz w:val="24"/>
        </w:rPr>
        <w:drawing>
          <wp:inline distT="0" distB="0" distL="114300" distR="114300">
            <wp:extent cx="3195320" cy="3110230"/>
            <wp:effectExtent l="0" t="0" r="5080" b="1397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6"/>
                    <a:stretch>
                      <a:fillRect/>
                    </a:stretch>
                  </pic:blipFill>
                  <pic:spPr>
                    <a:xfrm>
                      <a:off x="0" y="0"/>
                      <a:ext cx="3195320" cy="31102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图3：无功补偿模块安装示意图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drawing>
          <wp:inline distT="0" distB="0" distL="114300" distR="114300">
            <wp:extent cx="2446655" cy="4314190"/>
            <wp:effectExtent l="0" t="0" r="10795" b="10160"/>
            <wp:docPr id="16" name="图片 8" descr="杂用水厂低压无功补偿柜接线图（改造前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杂用水厂低压无功补偿柜接线图（改造前后）"/>
                    <pic:cNvPicPr>
                      <a:picLocks noChangeAspect="1"/>
                    </pic:cNvPicPr>
                  </pic:nvPicPr>
                  <pic:blipFill>
                    <a:blip r:embed="rId7"/>
                    <a:stretch>
                      <a:fillRect/>
                    </a:stretch>
                  </pic:blipFill>
                  <pic:spPr>
                    <a:xfrm>
                      <a:off x="0" y="0"/>
                      <a:ext cx="2446655" cy="4314190"/>
                    </a:xfrm>
                    <a:prstGeom prst="rect">
                      <a:avLst/>
                    </a:prstGeom>
                    <a:noFill/>
                    <a:ln>
                      <a:noFill/>
                    </a:ln>
                  </pic:spPr>
                </pic:pic>
              </a:graphicData>
            </a:graphic>
          </wp:inline>
        </w:drawing>
      </w:r>
    </w:p>
    <w:p>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图4：杂用水厂低压无功补偿柜改造前后接线图对比</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五、工程量及材料要求说明</w:t>
      </w:r>
    </w:p>
    <w:p>
      <w:pPr>
        <w:spacing w:line="360" w:lineRule="auto"/>
        <w:rPr>
          <w:rFonts w:hint="eastAsia" w:ascii="宋体" w:hAnsi="宋体" w:cs="宋体"/>
          <w:color w:val="auto"/>
          <w:sz w:val="24"/>
          <w:szCs w:val="24"/>
        </w:rPr>
      </w:pPr>
      <w:r>
        <w:rPr>
          <w:rFonts w:hint="eastAsia" w:ascii="宋体" w:hAnsi="宋体" w:cs="宋体"/>
          <w:color w:val="auto"/>
          <w:sz w:val="24"/>
          <w:szCs w:val="24"/>
        </w:rPr>
        <w:t>5.1 工程量：</w:t>
      </w:r>
    </w:p>
    <w:tbl>
      <w:tblPr>
        <w:tblStyle w:val="29"/>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237"/>
        <w:gridCol w:w="3362"/>
        <w:gridCol w:w="490"/>
        <w:gridCol w:w="74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型号及规格</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智能电容补偿模块</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480V</w:t>
            </w:r>
            <w:r>
              <w:rPr>
                <w:rFonts w:hint="eastAsia" w:ascii="宋体" w:hAnsi="宋体" w:eastAsia="宋体" w:cs="宋体"/>
                <w:color w:val="auto"/>
                <w:sz w:val="24"/>
                <w:szCs w:val="24"/>
                <w:vertAlign w:val="baseline"/>
                <w:lang w:val="en-US" w:eastAsia="zh-CN"/>
              </w:rPr>
              <w:t>/250kVar，7%电抗（100+100+50），</w:t>
            </w:r>
            <w:r>
              <w:rPr>
                <w:rFonts w:hint="eastAsia" w:ascii="宋体" w:hAnsi="宋体" w:eastAsia="宋体" w:cs="宋体"/>
                <w:sz w:val="24"/>
                <w:szCs w:val="24"/>
                <w:vertAlign w:val="baseline"/>
                <w:lang w:val="en-US" w:eastAsia="zh-CN"/>
              </w:rPr>
              <w:t>干式电容</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补偿控制器</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智能型，配RS485(Modbus协议)，支持接入用户后台监控系统</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低压刀熔开关</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HH12-630A/3P(NT=630A)</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低压电流互感器</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vertAlign w:val="baseline"/>
                <w:lang w:val="en-US" w:eastAsia="zh-CN"/>
              </w:rPr>
              <w:t>1500/5</w:t>
            </w:r>
            <w:r>
              <w:rPr>
                <w:rFonts w:hint="eastAsia" w:ascii="宋体" w:hAnsi="宋体" w:eastAsia="宋体" w:cs="宋体"/>
                <w:sz w:val="24"/>
                <w:szCs w:val="24"/>
                <w:vertAlign w:val="baseline"/>
                <w:lang w:val="en-US" w:eastAsia="zh-CN"/>
              </w:rPr>
              <w:t xml:space="preserve">  0.5S级</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237"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低压电流互感器</w:t>
            </w:r>
          </w:p>
        </w:tc>
        <w:tc>
          <w:tcPr>
            <w:tcW w:w="3362"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600/5  0.5S级</w:t>
            </w:r>
          </w:p>
        </w:tc>
        <w:tc>
          <w:tcPr>
            <w:tcW w:w="490"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套</w:t>
            </w:r>
          </w:p>
        </w:tc>
        <w:tc>
          <w:tcPr>
            <w:tcW w:w="742"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1673"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分支母线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低压铜芯线</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ZRBVR-0.45/0.75kV-1×70mm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（黄、绿、红、蓝各20米）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低压铜芯线</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ZRBVR-0.45/0.75kV-1×25mm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（黄、绿、红、蓝各10米）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铜线耳</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DT-70mm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237"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铜线耳</w:t>
            </w:r>
          </w:p>
        </w:tc>
        <w:tc>
          <w:tcPr>
            <w:tcW w:w="3362" w:type="dxa"/>
            <w:noWrap w:val="0"/>
            <w:vAlign w:val="center"/>
          </w:tcPr>
          <w:p>
            <w:pPr>
              <w:pStyle w:val="40"/>
              <w:numPr>
                <w:ilvl w:val="0"/>
                <w:numId w:val="0"/>
              </w:num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DT-25mm</w:t>
            </w:r>
            <w:r>
              <w:rPr>
                <w:rFonts w:hint="eastAsia" w:ascii="宋体" w:hAnsi="宋体" w:eastAsia="宋体" w:cs="宋体"/>
                <w:sz w:val="24"/>
                <w:szCs w:val="24"/>
                <w:vertAlign w:val="superscript"/>
                <w:lang w:val="en-US" w:eastAsia="zh-CN"/>
              </w:rPr>
              <w:t>2</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散热风扇</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220V/55W/2600RPM</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06"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237"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辅材</w:t>
            </w:r>
          </w:p>
        </w:tc>
        <w:tc>
          <w:tcPr>
            <w:tcW w:w="336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二次回路空开，线材，线耳、螺丝，指示灯等</w:t>
            </w:r>
          </w:p>
        </w:tc>
        <w:tc>
          <w:tcPr>
            <w:tcW w:w="490"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w:t>
            </w:r>
          </w:p>
        </w:tc>
        <w:tc>
          <w:tcPr>
            <w:tcW w:w="742"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73" w:type="dxa"/>
            <w:noWrap w:val="0"/>
            <w:vAlign w:val="center"/>
          </w:tcPr>
          <w:p>
            <w:pPr>
              <w:pStyle w:val="40"/>
              <w:numPr>
                <w:ilvl w:val="0"/>
                <w:numId w:val="0"/>
              </w:numPr>
              <w:spacing w:line="360" w:lineRule="auto"/>
              <w:jc w:val="center"/>
              <w:rPr>
                <w:rFonts w:hint="eastAsia" w:ascii="宋体" w:hAnsi="宋体" w:eastAsia="宋体" w:cs="宋体"/>
                <w:sz w:val="24"/>
                <w:szCs w:val="24"/>
                <w:vertAlign w:val="baseline"/>
                <w:lang w:val="en-US" w:eastAsia="zh-CN"/>
              </w:rPr>
            </w:pPr>
          </w:p>
        </w:tc>
      </w:tr>
    </w:tbl>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5.2 </w:t>
      </w:r>
      <w:r>
        <w:rPr>
          <w:rFonts w:hint="eastAsia" w:ascii="宋体" w:hAnsi="宋体" w:eastAsia="宋体" w:cs="宋体"/>
          <w:color w:val="auto"/>
          <w:sz w:val="24"/>
          <w:szCs w:val="24"/>
          <w:lang w:val="en-US" w:eastAsia="zh-CN"/>
        </w:rPr>
        <w:t>主要设备</w:t>
      </w:r>
      <w:r>
        <w:rPr>
          <w:rFonts w:hint="eastAsia" w:ascii="宋体" w:hAnsi="宋体" w:eastAsia="宋体" w:cs="宋体"/>
          <w:color w:val="auto"/>
          <w:sz w:val="24"/>
          <w:szCs w:val="24"/>
        </w:rPr>
        <w:t>要求说明：</w:t>
      </w:r>
    </w:p>
    <w:p>
      <w:pPr>
        <w:numPr>
          <w:ilvl w:val="0"/>
          <w:numId w:val="15"/>
        </w:numPr>
        <w:spacing w:line="360" w:lineRule="auto"/>
        <w:ind w:left="0" w:leftChars="0" w:firstLine="420" w:firstLineChars="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智能电容补偿模块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容补偿模块由电容器、电抗器、可控硅开关、快速熔断器、智能测控单元等多种器件组成。同时具备有谐波滤除、过流/速断保护、超温保护、缺相保护等保护功能。根据柜体现有尺寸，采用立式模块，按要求容量可实现灵活组合，要求易于扩展，安装方便，结构紧凑，操作简单，布局简洁美观。可实现静态投切：动态响应时间≤20ms，静态响应时间≤3s；带放电电阻，放电时间t≤3min；冷却方式采用强制风冷和自然风冷；显示系统可显示三相电流，不少于5个温度显示，温度高自动启动散热风机；电容器为增强型防爆膜，防爆切断保护，温升≤8K，损耗≤0.4W/kvar；电抗器为7%电抗率，H级绝缘，温升≤20K。</w:t>
      </w:r>
    </w:p>
    <w:p>
      <w:pPr>
        <w:numPr>
          <w:ilvl w:val="0"/>
          <w:numId w:val="15"/>
        </w:numPr>
        <w:spacing w:line="360" w:lineRule="auto"/>
        <w:ind w:left="0" w:leftChars="0" w:firstLine="420" w:firstLineChars="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补偿控制器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项目所配置的补偿控制器为智能型控制器，采用全数字化设计，交流采样，人机界面采用大屏幕LCD中文液晶显示器。可实时显示三相功率因数、电压、电流、有功功率、无功功率、电压总谐波畸变率、电流总谐波畸变率、频率、电容输出显示及投切状态、报警等信息。中文提示设置参数、数字输入。电容器控制方案支持三相补偿、分相补偿、综合补偿方案，可通过菜单操作设置控制方案。电容器投切控制程序支持等容、编码及模糊控制投切方式。具有手动补偿、自动补偿两种工作方式。取样物理量为无功功率，具有谐波测量及保护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控制器具有RS-485,MODBUS标准现场总线通讯接口，方便接入生产控制系统，与控制器通讯口连接，即可在后台计算机显示器观察现场实时数据及用户系统的历史负荷曲线和报表，为生产节能降耗提供快捷方便的现场数据。</w:t>
      </w:r>
    </w:p>
    <w:p>
      <w:pPr>
        <w:numPr>
          <w:ilvl w:val="0"/>
          <w:numId w:val="15"/>
        </w:numPr>
        <w:spacing w:line="360" w:lineRule="auto"/>
        <w:ind w:left="0" w:leftChars="0" w:firstLine="420" w:firstLineChars="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其他主要电气设备及辅材</w:t>
      </w:r>
    </w:p>
    <w:p>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vertAlign w:val="baseline"/>
          <w:lang w:val="en-US" w:eastAsia="zh-CN"/>
        </w:rPr>
        <w:t>施工单位提供的所有电气设备辅材应符合国家生产许可规定，电缆，CT,开关，线耳，风机，指示灯应提供合格证、出厂检验报告、CCC认证标志；符合国家标准（GB）或行业标准。</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、项目工期要求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预计工期为</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0天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具体已甲方通知开工时间为准</w:t>
      </w:r>
      <w:r>
        <w:rPr>
          <w:rFonts w:hint="eastAsia" w:ascii="宋体" w:hAnsi="宋体" w:eastAsia="宋体" w:cs="宋体"/>
          <w:color w:val="auto"/>
          <w:sz w:val="24"/>
          <w:szCs w:val="24"/>
        </w:rPr>
        <w:t>。</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八、项目质量要求、验收标准及质保期限</w:t>
      </w:r>
    </w:p>
    <w:p>
      <w:pPr>
        <w:spacing w:line="36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1 项目要达到的质量要求：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项目实施后必须符合《低压成套无功功率补偿装置》GB/T 15576-2020有关要求；实际运行中，补偿后功率因数应稳定在0.95以上；动态响应时间要求≤20ms；施工单位提供的所有电气设备必须采用国内外正规厂家产品；保护功能完善，必须具备</w:t>
      </w:r>
      <w:r>
        <w:rPr>
          <w:rFonts w:hint="eastAsia" w:ascii="宋体" w:hAnsi="宋体" w:eastAsia="宋体" w:cs="宋体"/>
          <w:color w:val="auto"/>
          <w:sz w:val="24"/>
          <w:szCs w:val="24"/>
          <w:vertAlign w:val="baseline"/>
          <w:lang w:val="en-US" w:eastAsia="zh-CN"/>
        </w:rPr>
        <w:t>有谐波滤除、过流/速断保护、超温保护、缺相保护等保护功能；散热系统完善，满足系统运行温度要求；提供完整的竣工资料、测试报告、出厂报告、合格证、图纸及说明书等材料。</w:t>
      </w:r>
    </w:p>
    <w:p>
      <w:pPr>
        <w:spacing w:line="360" w:lineRule="auto"/>
        <w:rPr>
          <w:rFonts w:hint="eastAsia" w:ascii="宋体" w:hAnsi="宋体" w:cs="宋体"/>
          <w:color w:val="auto"/>
          <w:sz w:val="24"/>
          <w:szCs w:val="24"/>
        </w:rPr>
      </w:pPr>
      <w:r>
        <w:rPr>
          <w:rFonts w:hint="eastAsia" w:ascii="宋体" w:hAnsi="宋体" w:cs="宋体"/>
          <w:color w:val="auto"/>
          <w:sz w:val="24"/>
          <w:szCs w:val="24"/>
        </w:rPr>
        <w:t>8.2 工程验收的参考标准：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rPr>
        <w:t>本工程的施工和验收按</w:t>
      </w:r>
      <w:r>
        <w:rPr>
          <w:rFonts w:hint="eastAsia" w:ascii="宋体" w:hAnsi="宋体" w:cs="宋体"/>
          <w:color w:val="auto"/>
          <w:sz w:val="24"/>
          <w:szCs w:val="24"/>
          <w:lang w:val="en-US" w:eastAsia="zh-CN"/>
        </w:rPr>
        <w:t>以下标准执行：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rPr>
        <w:t>《低压成套无功功率补偿装置》GB/T 15576-2020</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《电气装置安装工程 盘、柜及二次回路接线施工及验收规范》   GB 50171-2012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《电气装置安装工程 低压电器施工及验收规范》 GB 50254-2014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《电气装置安装工程 接地工程施工及验收规范》 GB50169-2006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《电气装置安装工程 电缆线路施工及验收规范》 GB50168-2006</w:t>
      </w:r>
    </w:p>
    <w:p>
      <w:pPr>
        <w:spacing w:line="360" w:lineRule="auto"/>
        <w:rPr>
          <w:rFonts w:hint="eastAsia" w:ascii="宋体" w:hAnsi="宋体" w:cs="宋体"/>
          <w:color w:val="auto"/>
          <w:sz w:val="24"/>
          <w:szCs w:val="24"/>
        </w:rPr>
      </w:pPr>
      <w:r>
        <w:rPr>
          <w:rFonts w:hint="eastAsia" w:ascii="宋体" w:hAnsi="宋体" w:cs="宋体"/>
          <w:color w:val="auto"/>
          <w:sz w:val="24"/>
          <w:szCs w:val="24"/>
        </w:rPr>
        <w:t>8.3 工程验收的方式：</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施工单位在项目施工完毕后需进行自查自改，对存在的问题及不安全因素进行整改到位，后方可填写《工程竣工报验单》，有甲方管理单位对工程质量及工作量进行审核无误后，填写《零星工程验收表》，并由相关部门签字确认完成工程验收工作。</w:t>
      </w:r>
    </w:p>
    <w:p>
      <w:pPr>
        <w:spacing w:line="360" w:lineRule="auto"/>
        <w:rPr>
          <w:rFonts w:hint="eastAsia" w:ascii="宋体" w:hAnsi="宋体" w:cs="宋体"/>
          <w:color w:val="auto"/>
          <w:sz w:val="24"/>
          <w:szCs w:val="24"/>
        </w:rPr>
      </w:pPr>
      <w:r>
        <w:rPr>
          <w:rFonts w:hint="eastAsia" w:ascii="宋体" w:hAnsi="宋体" w:cs="宋体"/>
          <w:color w:val="auto"/>
          <w:sz w:val="24"/>
          <w:szCs w:val="24"/>
        </w:rPr>
        <w:t>8.4 质保期及质保期内需履行的特殊义务：</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质保期：1年。</w:t>
      </w:r>
    </w:p>
    <w:p>
      <w:pPr>
        <w:spacing w:line="360" w:lineRule="auto"/>
        <w:rPr>
          <w:rFonts w:hint="eastAsia" w:ascii="宋体" w:hAnsi="宋体" w:cs="宋体"/>
          <w:color w:val="FF0000"/>
          <w:sz w:val="24"/>
        </w:rPr>
      </w:pPr>
    </w:p>
    <w:p>
      <w:pPr>
        <w:pStyle w:val="58"/>
        <w:snapToGrid/>
        <w:spacing w:line="360" w:lineRule="auto"/>
        <w:ind w:firstLine="200" w:firstLineChars="0"/>
        <w:contextualSpacing/>
        <w:rPr>
          <w:rFonts w:hint="eastAsia" w:ascii="宋体" w:hAnsi="宋体" w:cs="宋体"/>
          <w:snapToGrid w:val="0"/>
          <w:sz w:val="24"/>
          <w:szCs w:val="24"/>
        </w:rPr>
      </w:pPr>
    </w:p>
    <w:p>
      <w:pPr>
        <w:rPr>
          <w:rFonts w:hint="eastAsia" w:ascii="宋体" w:hAnsi="宋体" w:cs="宋体"/>
          <w:sz w:val="24"/>
        </w:rPr>
      </w:pPr>
    </w:p>
    <w:p>
      <w:pPr>
        <w:rPr>
          <w:rFonts w:hint="eastAsia" w:ascii="宋体" w:hAnsi="宋体" w:cs="宋体"/>
          <w:sz w:val="24"/>
        </w:rPr>
        <w:sectPr>
          <w:pgSz w:w="11906" w:h="16838"/>
          <w:pgMar w:top="1418" w:right="1418" w:bottom="1418" w:left="1418" w:header="851" w:footer="992" w:gutter="0"/>
          <w:cols w:space="720" w:num="1"/>
          <w:docGrid w:linePitch="312" w:charSpace="0"/>
        </w:sectPr>
      </w:pPr>
    </w:p>
    <w:p>
      <w:pPr>
        <w:widowControl/>
        <w:jc w:val="left"/>
        <w:rPr>
          <w:rFonts w:ascii="宋体" w:hAnsi="宋体"/>
          <w:sz w:val="32"/>
        </w:rPr>
      </w:pPr>
      <w:r>
        <w:rPr>
          <w:rFonts w:hint="eastAsia" w:ascii="宋体" w:hAnsi="宋体"/>
          <w:sz w:val="32"/>
        </w:rPr>
        <w:t>附件2</w:t>
      </w:r>
    </w:p>
    <w:p>
      <w:pPr>
        <w:spacing w:before="120" w:beforeLines="50" w:after="120" w:afterLines="50" w:line="360" w:lineRule="auto"/>
        <w:ind w:right="600" w:firstLine="480" w:firstLineChars="200"/>
        <w:jc w:val="center"/>
        <w:rPr>
          <w:rFonts w:ascii="宋体" w:hAnsi="宋体" w:cs="Arial"/>
          <w:sz w:val="24"/>
        </w:rPr>
      </w:pPr>
      <w:r>
        <w:rPr>
          <w:rFonts w:hint="eastAsia" w:ascii="宋体" w:hAnsi="宋体" w:cs="Arial"/>
          <w:sz w:val="24"/>
        </w:rPr>
        <w:t>投标文件目录及格式要求</w:t>
      </w:r>
    </w:p>
    <w:tbl>
      <w:tblPr>
        <w:tblStyle w:val="28"/>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
                <w:bCs/>
                <w:kern w:val="0"/>
                <w:sz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r>
              <w:rPr>
                <w:rFonts w:hint="eastAsia" w:ascii="宋体" w:hAnsi="宋体" w:cs="宋体"/>
                <w:b/>
                <w:bCs/>
                <w:kern w:val="0"/>
                <w:sz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r>
              <w:rPr>
                <w:rFonts w:hint="eastAsia" w:ascii="宋体" w:hAnsi="宋体" w:cs="宋体"/>
                <w:b/>
                <w:bCs/>
                <w:kern w:val="0"/>
                <w:sz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
                <w:bCs/>
                <w:kern w:val="0"/>
                <w:sz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kern w:val="0"/>
                <w:sz w:val="24"/>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Cs/>
                <w:sz w:val="24"/>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default" w:ascii="宋体" w:hAnsi="宋体" w:eastAsia="宋体" w:cs="宋体"/>
                <w:bCs/>
                <w:sz w:val="24"/>
                <w:lang w:val="en-US" w:eastAsia="zh-CN"/>
              </w:rPr>
            </w:pPr>
            <w:r>
              <w:rPr>
                <w:rFonts w:hint="eastAsia" w:ascii="宋体" w:hAnsi="宋体" w:cs="宋体"/>
                <w:bCs/>
                <w:sz w:val="24"/>
                <w:lang w:val="en-US" w:eastAsia="zh-CN"/>
              </w:rPr>
              <w:t>报价明细表</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Cs/>
                <w:sz w:val="24"/>
              </w:rPr>
              <w:t>供应商</w:t>
            </w:r>
            <w:r>
              <w:rPr>
                <w:rFonts w:hint="eastAsia" w:ascii="宋体" w:hAnsi="宋体" w:cs="宋体"/>
                <w:kern w:val="0"/>
                <w:sz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法定代表人证明及授权书(格式2)</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供应商调查表(格式3)</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“信用中国”网站的信用记录查询结果截图或信用信息报告并打印页面加盖公章</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投标单位声明函(格式4)</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kern w:val="0"/>
                <w:sz w:val="24"/>
              </w:rPr>
              <w:t>拟投入本项目的项目负责人情况表(格式5)</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2.7</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类似项目业绩复印件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2.8</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Arial"/>
                <w:color w:val="000000"/>
                <w:sz w:val="24"/>
              </w:rPr>
              <w:t>有效的安全生产许可证及资质证书</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2.9</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Arial"/>
                <w:color w:val="000000"/>
                <w:sz w:val="24"/>
              </w:rPr>
              <w:t>专职安全员有效的安全生产考核合格证</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2.10</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b/>
                <w:bCs/>
                <w:kern w:val="0"/>
                <w:sz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r>
    </w:tbl>
    <w:p>
      <w:pPr>
        <w:pStyle w:val="3"/>
        <w:sectPr>
          <w:pgSz w:w="11906" w:h="16838"/>
          <w:pgMar w:top="1418" w:right="1418" w:bottom="1418" w:left="1418" w:header="851" w:footer="992" w:gutter="0"/>
          <w:cols w:space="720" w:num="1"/>
          <w:docGrid w:linePitch="312" w:charSpace="0"/>
        </w:sectPr>
      </w:pPr>
    </w:p>
    <w:p/>
    <w:p>
      <w:pPr>
        <w:spacing w:line="360" w:lineRule="auto"/>
        <w:jc w:val="left"/>
        <w:rPr>
          <w:rFonts w:ascii="宋体" w:hAnsi="宋体" w:cs="宋体"/>
          <w:sz w:val="24"/>
        </w:rPr>
      </w:pPr>
      <w:r>
        <w:rPr>
          <w:rFonts w:hint="eastAsia" w:ascii="宋体" w:hAnsi="宋体" w:cs="宋体"/>
          <w:sz w:val="24"/>
        </w:rPr>
        <w:t>一、报价文件</w:t>
      </w:r>
    </w:p>
    <w:p>
      <w:pPr>
        <w:spacing w:line="360" w:lineRule="auto"/>
        <w:jc w:val="left"/>
        <w:rPr>
          <w:rFonts w:ascii="宋体" w:hAnsi="宋体" w:cs="宋体"/>
          <w:sz w:val="24"/>
        </w:rPr>
      </w:pPr>
      <w:r>
        <w:rPr>
          <w:rFonts w:hint="eastAsia" w:ascii="宋体" w:hAnsi="宋体" w:cs="宋体"/>
          <w:sz w:val="24"/>
        </w:rPr>
        <w:t>1.1格式1</w:t>
      </w:r>
    </w:p>
    <w:p>
      <w:pPr>
        <w:pStyle w:val="13"/>
        <w:ind w:firstLine="0" w:firstLineChars="0"/>
        <w:jc w:val="center"/>
        <w:rPr>
          <w:rFonts w:hAnsi="宋体"/>
          <w:b/>
          <w:sz w:val="28"/>
          <w:szCs w:val="28"/>
        </w:rPr>
      </w:pPr>
      <w:r>
        <w:rPr>
          <w:rFonts w:hAnsi="宋体"/>
          <w:b/>
          <w:sz w:val="28"/>
          <w:szCs w:val="28"/>
        </w:rPr>
        <w:t>报价一览表</w:t>
      </w:r>
    </w:p>
    <w:p>
      <w:pPr>
        <w:pStyle w:val="13"/>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ascii="宋体"/>
          <w:sz w:val="24"/>
          <w:lang w:eastAsia="zh-CN"/>
        </w:rPr>
        <w:t>杂用水厂低压电房无功补偿柜安全隐患整改项目零星工程</w:t>
      </w:r>
    </w:p>
    <w:tbl>
      <w:tblPr>
        <w:tblStyle w:val="28"/>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3"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3"/>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spacing w:before="120" w:beforeLines="50" w:after="120" w:afterLines="50" w:line="360" w:lineRule="auto"/>
        <w:rPr>
          <w:rFonts w:hint="eastAsia" w:hAnsi="宋体"/>
          <w:szCs w:val="21"/>
        </w:rPr>
      </w:pPr>
      <w:r>
        <w:rPr>
          <w:rFonts w:hint="eastAsia" w:hAnsi="宋体"/>
          <w:szCs w:val="21"/>
        </w:rPr>
        <w:t>投标人名称（盖章）：</w:t>
      </w:r>
    </w:p>
    <w:p>
      <w:pPr>
        <w:spacing w:before="120" w:beforeLines="50" w:after="120" w:afterLines="50" w:line="360" w:lineRule="auto"/>
        <w:jc w:val="left"/>
        <w:rPr>
          <w:rFonts w:hint="eastAsia" w:hAnsi="宋体"/>
          <w:szCs w:val="21"/>
        </w:rPr>
        <w:sectPr>
          <w:pgSz w:w="11906" w:h="16838"/>
          <w:pgMar w:top="1418" w:right="1418" w:bottom="1418" w:left="1418" w:header="851" w:footer="992" w:gutter="0"/>
          <w:cols w:space="720" w:num="1"/>
          <w:docGrid w:linePitch="312" w:charSpace="0"/>
        </w:sect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spacing w:before="120" w:beforeLines="50" w:after="120" w:afterLines="50" w:line="360" w:lineRule="auto"/>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1.2  报价明细表（自拟）</w:t>
      </w:r>
    </w:p>
    <w:p>
      <w:pPr>
        <w:pStyle w:val="3"/>
        <w:rPr>
          <w:rFonts w:hint="eastAsia" w:ascii="宋体" w:hAnsi="宋体" w:eastAsia="宋体" w:cs="宋体"/>
          <w:b/>
          <w:bCs/>
          <w:szCs w:val="21"/>
          <w:lang w:val="en-US" w:eastAsia="zh-CN"/>
        </w:rPr>
      </w:pPr>
    </w:p>
    <w:p>
      <w:pPr>
        <w:rPr>
          <w:rFonts w:hint="eastAsia" w:ascii="宋体" w:hAnsi="宋体" w:eastAsia="宋体" w:cs="宋体"/>
          <w:b/>
          <w:bCs/>
          <w:szCs w:val="21"/>
          <w:lang w:val="en-US" w:eastAsia="zh-CN"/>
        </w:rPr>
      </w:pPr>
    </w:p>
    <w:p>
      <w:pPr>
        <w:pStyle w:val="3"/>
        <w:rPr>
          <w:rFonts w:hint="eastAsia" w:ascii="宋体" w:hAnsi="宋体" w:eastAsia="宋体" w:cs="宋体"/>
          <w:b/>
          <w:bCs/>
          <w:szCs w:val="21"/>
          <w:lang w:val="en-US" w:eastAsia="zh-CN"/>
        </w:rPr>
      </w:pPr>
    </w:p>
    <w:p>
      <w:pPr>
        <w:rPr>
          <w:rFonts w:hint="eastAsia" w:ascii="宋体" w:hAnsi="宋体" w:eastAsia="宋体" w:cs="宋体"/>
          <w:b/>
          <w:bCs/>
          <w:szCs w:val="21"/>
          <w:lang w:val="en-US" w:eastAsia="zh-CN"/>
        </w:rPr>
      </w:pPr>
    </w:p>
    <w:p>
      <w:pPr>
        <w:pStyle w:val="3"/>
        <w:rPr>
          <w:rFonts w:hint="eastAsia" w:ascii="宋体" w:hAnsi="宋体" w:eastAsia="宋体" w:cs="宋体"/>
          <w:b/>
          <w:bCs/>
          <w:szCs w:val="21"/>
          <w:lang w:val="en-US" w:eastAsia="zh-CN"/>
        </w:rPr>
      </w:pPr>
    </w:p>
    <w:p>
      <w:pPr>
        <w:rPr>
          <w:rFonts w:hint="eastAsia" w:ascii="宋体" w:hAnsi="宋体" w:eastAsia="宋体" w:cs="宋体"/>
          <w:b/>
          <w:bCs/>
          <w:szCs w:val="21"/>
          <w:lang w:val="en-US" w:eastAsia="zh-CN"/>
        </w:rPr>
      </w:pPr>
    </w:p>
    <w:p>
      <w:pPr>
        <w:spacing w:before="0" w:beforeLines="-2147483648" w:after="0" w:afterLines="-2147483648" w:line="240" w:lineRule="auto"/>
        <w:jc w:val="left"/>
        <w:rPr>
          <w:rFonts w:ascii="仿宋" w:hAnsi="仿宋" w:eastAsia="仿宋" w:cs="仿宋"/>
          <w:szCs w:val="21"/>
        </w:rPr>
      </w:pPr>
      <w:r>
        <w:rPr>
          <w:rFonts w:ascii="仿宋" w:hAnsi="仿宋" w:eastAsia="仿宋" w:cs="仿宋"/>
          <w:szCs w:val="21"/>
        </w:rPr>
        <w:br w:type="page"/>
      </w:r>
    </w:p>
    <w:p>
      <w:pPr>
        <w:pStyle w:val="2"/>
      </w:pPr>
    </w:p>
    <w:p>
      <w:pPr>
        <w:numPr>
          <w:ilvl w:val="-1"/>
          <w:numId w:val="0"/>
        </w:numPr>
        <w:spacing w:before="120" w:beforeLines="50" w:after="120" w:afterLines="50" w:line="360" w:lineRule="auto"/>
        <w:rPr>
          <w:rFonts w:ascii="宋体" w:hAnsi="宋体" w:cs="宋体"/>
          <w:b/>
          <w:bCs/>
          <w:kern w:val="0"/>
          <w:sz w:val="24"/>
        </w:rPr>
      </w:pPr>
      <w:r>
        <w:rPr>
          <w:rFonts w:hint="eastAsia" w:ascii="宋体" w:hAnsi="宋体" w:cs="Arial"/>
          <w:sz w:val="24"/>
          <w:lang w:val="en-US" w:eastAsia="zh-CN"/>
        </w:rPr>
        <w:t>二、</w:t>
      </w:r>
      <w:r>
        <w:rPr>
          <w:rFonts w:hint="eastAsia" w:ascii="宋体" w:hAnsi="宋体" w:cs="Arial"/>
          <w:sz w:val="24"/>
        </w:rPr>
        <w:t>商务</w:t>
      </w:r>
      <w:r>
        <w:rPr>
          <w:rFonts w:hint="eastAsia" w:ascii="宋体" w:hAnsi="宋体" w:cs="宋体"/>
          <w:b/>
          <w:bCs/>
          <w:kern w:val="0"/>
          <w:sz w:val="24"/>
        </w:rPr>
        <w:t>文件</w:t>
      </w:r>
    </w:p>
    <w:p>
      <w:pPr>
        <w:spacing w:line="360" w:lineRule="auto"/>
        <w:rPr>
          <w:rFonts w:ascii="宋体" w:hAnsi="宋体" w:cs="宋体"/>
          <w:b/>
          <w:bCs/>
          <w:sz w:val="24"/>
        </w:rPr>
      </w:pPr>
      <w:r>
        <w:rPr>
          <w:rFonts w:hint="eastAsia" w:ascii="宋体" w:hAnsi="宋体" w:cs="宋体"/>
          <w:b/>
          <w:bCs/>
          <w:sz w:val="24"/>
        </w:rPr>
        <w:t>格式2.法定代表人/负责人证明或授权委托书</w:t>
      </w:r>
    </w:p>
    <w:p>
      <w:pPr>
        <w:spacing w:line="360" w:lineRule="auto"/>
        <w:rPr>
          <w:rFonts w:ascii="宋体" w:hAnsi="宋体" w:cs="宋体"/>
          <w:sz w:val="24"/>
        </w:rPr>
      </w:pPr>
      <w:r>
        <w:rPr>
          <w:rFonts w:hint="eastAsia" w:ascii="宋体" w:hAnsi="宋体" w:cs="宋体"/>
          <w:sz w:val="24"/>
        </w:rPr>
        <w:t>2.2.1法定代表人/负责人证明格式</w:t>
      </w:r>
    </w:p>
    <w:p>
      <w:pPr>
        <w:spacing w:line="500" w:lineRule="exact"/>
        <w:jc w:val="center"/>
        <w:rPr>
          <w:rFonts w:ascii="宋体" w:hAnsi="宋体" w:cs="宋体"/>
          <w:b/>
          <w:bCs/>
          <w:sz w:val="24"/>
        </w:rPr>
      </w:pPr>
      <w:r>
        <w:rPr>
          <w:rFonts w:hint="eastAsia" w:ascii="宋体" w:hAnsi="宋体" w:cs="宋体"/>
          <w:b/>
          <w:bCs/>
          <w:sz w:val="24"/>
        </w:rPr>
        <w:t>法定代表人身份证明书</w:t>
      </w:r>
    </w:p>
    <w:p>
      <w:pPr>
        <w:spacing w:line="500" w:lineRule="exact"/>
        <w:ind w:firstLine="960" w:firstLineChars="400"/>
        <w:rPr>
          <w:rFonts w:ascii="宋体" w:hAnsi="宋体" w:cs="宋体"/>
          <w:sz w:val="24"/>
        </w:rPr>
      </w:pP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line="500" w:lineRule="exact"/>
        <w:ind w:firstLine="537" w:firstLineChars="224"/>
        <w:rPr>
          <w:rFonts w:ascii="宋体" w:hAnsi="宋体" w:cs="宋体"/>
          <w:sz w:val="24"/>
        </w:rPr>
      </w:pPr>
    </w:p>
    <w:p>
      <w:pPr>
        <w:spacing w:line="500" w:lineRule="exact"/>
        <w:jc w:val="left"/>
        <w:rPr>
          <w:rFonts w:ascii="宋体" w:hAnsi="宋体" w:cs="宋体"/>
          <w:sz w:val="24"/>
        </w:rPr>
      </w:pPr>
      <w:r>
        <w:rPr>
          <w:rFonts w:hint="eastAsia" w:ascii="宋体" w:hAnsi="宋体" w:cs="宋体"/>
          <w:sz w:val="24"/>
        </w:rPr>
        <w:t>（单位盖章）</w:t>
      </w:r>
    </w:p>
    <w:p>
      <w:pPr>
        <w:spacing w:line="500" w:lineRule="exact"/>
        <w:ind w:firstLine="537" w:firstLineChars="224"/>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日期：2025年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spacing w:line="500" w:lineRule="exact"/>
        <w:rPr>
          <w:rFonts w:ascii="宋体" w:hAnsi="宋体" w:cs="宋体"/>
          <w:sz w:val="24"/>
        </w:rPr>
      </w:pPr>
      <w:r>
        <w:rPr>
          <w:rFonts w:hint="eastAsia" w:ascii="宋体" w:hAnsi="宋体" w:cs="宋体"/>
          <w:sz w:val="24"/>
        </w:rPr>
        <w:t xml:space="preserve">单位通信地址：                                </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邮政编码：                 单位联系电话：   </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附：法人代表身份证正反面或其他身份证明材料复印件</w:t>
      </w:r>
    </w:p>
    <w:p>
      <w:pPr>
        <w:pStyle w:val="54"/>
        <w:snapToGrid w:val="0"/>
        <w:spacing w:line="540" w:lineRule="exact"/>
        <w:ind w:firstLine="2930" w:firstLineChars="1221"/>
        <w:rPr>
          <w:rFonts w:hAnsi="宋体"/>
          <w:color w:val="auto"/>
        </w:rPr>
      </w:pPr>
      <w:r>
        <w:rPr>
          <w:rFonts w:hint="eastAsia" w:hAnsi="宋体"/>
          <w:color w:val="auto"/>
        </w:rPr>
        <w:t>供应商：</w:t>
      </w:r>
      <w:r>
        <w:rPr>
          <w:rFonts w:hint="eastAsia" w:hAnsi="宋体"/>
          <w:color w:val="auto"/>
          <w:u w:val="single"/>
        </w:rPr>
        <w:t xml:space="preserve">       (盖单位章)      </w:t>
      </w:r>
    </w:p>
    <w:p>
      <w:pPr>
        <w:widowControl/>
        <w:adjustRightInd w:val="0"/>
        <w:snapToGrid w:val="0"/>
        <w:spacing w:line="540" w:lineRule="exact"/>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2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17"/>
              <w:spacing w:line="240" w:lineRule="auto"/>
              <w:ind w:firstLine="0"/>
              <w:jc w:val="center"/>
              <w:rPr>
                <w:rFonts w:ascii="宋体" w:hAnsi="宋体" w:eastAsia="宋体" w:cs="宋体"/>
                <w:color w:val="auto"/>
                <w:sz w:val="24"/>
              </w:rPr>
            </w:pPr>
          </w:p>
        </w:tc>
        <w:tc>
          <w:tcPr>
            <w:tcW w:w="4530" w:type="dxa"/>
          </w:tcPr>
          <w:p>
            <w:pPr>
              <w:pStyle w:val="17"/>
              <w:spacing w:line="240" w:lineRule="auto"/>
              <w:ind w:firstLine="0"/>
              <w:jc w:val="center"/>
              <w:rPr>
                <w:rFonts w:ascii="宋体" w:hAnsi="宋体" w:eastAsia="宋体" w:cs="宋体"/>
                <w:color w:val="auto"/>
                <w:sz w:val="24"/>
              </w:rPr>
            </w:pPr>
          </w:p>
        </w:tc>
      </w:tr>
    </w:tbl>
    <w:p>
      <w:pPr>
        <w:spacing w:line="360" w:lineRule="auto"/>
        <w:rPr>
          <w:rFonts w:ascii="宋体" w:hAnsi="宋体" w:cs="宋体"/>
          <w:sz w:val="24"/>
        </w:rPr>
      </w:pPr>
      <w:r>
        <w:rPr>
          <w:rFonts w:hint="eastAsia" w:ascii="宋体" w:hAnsi="宋体" w:cs="宋体"/>
          <w:kern w:val="0"/>
          <w:sz w:val="24"/>
        </w:rPr>
        <w:br w:type="page"/>
      </w:r>
      <w:r>
        <w:rPr>
          <w:rFonts w:hint="eastAsia" w:ascii="宋体" w:hAnsi="宋体" w:cs="宋体"/>
          <w:kern w:val="0"/>
          <w:sz w:val="24"/>
        </w:rPr>
        <w:t>2</w:t>
      </w:r>
      <w:r>
        <w:rPr>
          <w:rFonts w:hint="eastAsia" w:ascii="宋体" w:hAnsi="宋体" w:cs="宋体"/>
          <w:sz w:val="24"/>
        </w:rPr>
        <w:t>.2.2法人授权委托书</w:t>
      </w:r>
    </w:p>
    <w:p>
      <w:pPr>
        <w:spacing w:line="500" w:lineRule="exact"/>
        <w:ind w:firstLine="1446" w:firstLineChars="600"/>
        <w:rPr>
          <w:rFonts w:ascii="宋体" w:hAnsi="宋体" w:cs="宋体"/>
          <w:b/>
          <w:bCs/>
          <w:sz w:val="24"/>
        </w:rPr>
      </w:pPr>
      <w:r>
        <w:rPr>
          <w:rFonts w:hint="eastAsia" w:ascii="宋体" w:hAnsi="宋体" w:cs="宋体"/>
          <w:b/>
          <w:bCs/>
          <w:sz w:val="24"/>
        </w:rPr>
        <w:t>法定代表人授权委托证明书</w:t>
      </w:r>
    </w:p>
    <w:p>
      <w:pPr>
        <w:pStyle w:val="31"/>
        <w:spacing w:line="360" w:lineRule="auto"/>
        <w:ind w:firstLine="424" w:firstLineChars="177"/>
        <w:rPr>
          <w:rFonts w:hAnsi="宋体" w:cs="宋体"/>
          <w:bCs/>
          <w:sz w:val="24"/>
          <w:szCs w:val="24"/>
        </w:rPr>
      </w:pPr>
    </w:p>
    <w:p>
      <w:pPr>
        <w:spacing w:before="120" w:beforeLines="50" w:after="120" w:afterLines="50"/>
        <w:ind w:right="600" w:firstLine="480" w:firstLineChars="200"/>
        <w:rPr>
          <w:rFonts w:hAnsi="宋体" w:cs="宋体"/>
          <w:sz w:val="24"/>
        </w:rPr>
      </w:pPr>
      <w:r>
        <w:rPr>
          <w:rFonts w:hint="eastAsia" w:hAnsi="宋体" w:cs="宋体"/>
          <w:bCs/>
          <w:sz w:val="24"/>
        </w:rPr>
        <w:t>兹授权（委托代理人姓名）为我方委托代理人，其权限是：</w:t>
      </w:r>
      <w:r>
        <w:rPr>
          <w:rFonts w:hint="eastAsia" w:hAnsi="宋体" w:cs="宋体"/>
          <w:sz w:val="24"/>
        </w:rPr>
        <w:t>办理                       广州城投综合能源投资经营管理有限公司组织的“杂用水厂低压电房无功补偿柜安全隐患整改项目零星工程”的投标和合同执行，以我方的名义处理一切与之有关的事宜。</w:t>
      </w:r>
    </w:p>
    <w:p>
      <w:pPr>
        <w:pStyle w:val="31"/>
        <w:spacing w:line="360" w:lineRule="auto"/>
        <w:ind w:firstLine="480" w:firstLineChars="200"/>
        <w:rPr>
          <w:rFonts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pPr>
        <w:pStyle w:val="31"/>
        <w:spacing w:line="360" w:lineRule="auto"/>
        <w:ind w:firstLine="480" w:firstLineChars="200"/>
        <w:rPr>
          <w:rFonts w:hAnsi="宋体" w:cs="宋体"/>
          <w:sz w:val="24"/>
          <w:szCs w:val="24"/>
          <w:u w:val="single"/>
        </w:rPr>
      </w:pPr>
      <w:r>
        <w:rPr>
          <w:rFonts w:hint="eastAsia" w:hAnsi="宋体" w:cs="宋体"/>
          <w:sz w:val="24"/>
          <w:szCs w:val="24"/>
        </w:rPr>
        <w:t>附：代理人性别：   年龄：   职务：</w:t>
      </w:r>
    </w:p>
    <w:p>
      <w:pPr>
        <w:pStyle w:val="31"/>
        <w:spacing w:line="360" w:lineRule="auto"/>
        <w:ind w:firstLine="480" w:firstLineChars="200"/>
        <w:rPr>
          <w:rFonts w:hAnsi="宋体" w:cs="宋体"/>
          <w:sz w:val="24"/>
          <w:szCs w:val="24"/>
          <w:u w:val="single"/>
        </w:rPr>
      </w:pPr>
      <w:r>
        <w:rPr>
          <w:rFonts w:hint="eastAsia" w:hAnsi="宋体" w:cs="宋体"/>
          <w:sz w:val="24"/>
          <w:szCs w:val="24"/>
        </w:rPr>
        <w:t>　　身份证号码：</w:t>
      </w:r>
    </w:p>
    <w:p>
      <w:pPr>
        <w:pStyle w:val="31"/>
        <w:spacing w:line="360" w:lineRule="auto"/>
        <w:ind w:firstLine="480" w:firstLineChars="200"/>
        <w:rPr>
          <w:rFonts w:hAnsi="宋体" w:cs="宋体"/>
          <w:sz w:val="24"/>
          <w:szCs w:val="24"/>
          <w:u w:val="single"/>
        </w:rPr>
      </w:pPr>
      <w:r>
        <w:rPr>
          <w:rFonts w:hint="eastAsia" w:hAnsi="宋体" w:cs="宋体"/>
          <w:sz w:val="24"/>
          <w:szCs w:val="24"/>
        </w:rPr>
        <w:t>　　（营业执照等）注册号码：</w:t>
      </w:r>
    </w:p>
    <w:p>
      <w:pPr>
        <w:pStyle w:val="31"/>
        <w:spacing w:line="360" w:lineRule="auto"/>
        <w:ind w:firstLine="480" w:firstLineChars="200"/>
        <w:rPr>
          <w:rFonts w:hAnsi="宋体" w:cs="宋体"/>
          <w:sz w:val="24"/>
          <w:szCs w:val="24"/>
          <w:u w:val="single"/>
        </w:rPr>
      </w:pPr>
      <w:r>
        <w:rPr>
          <w:rFonts w:hint="eastAsia" w:hAnsi="宋体" w:cs="宋体"/>
          <w:sz w:val="24"/>
          <w:szCs w:val="24"/>
        </w:rPr>
        <w:t>　　企业类型：</w:t>
      </w:r>
    </w:p>
    <w:p>
      <w:pPr>
        <w:pStyle w:val="31"/>
        <w:spacing w:line="360" w:lineRule="auto"/>
        <w:ind w:firstLine="480" w:firstLineChars="200"/>
        <w:rPr>
          <w:rFonts w:hAnsi="宋体" w:cs="宋体"/>
          <w:sz w:val="24"/>
          <w:szCs w:val="24"/>
          <w:u w:val="single"/>
        </w:rPr>
      </w:pPr>
      <w:r>
        <w:rPr>
          <w:rFonts w:hint="eastAsia" w:hAnsi="宋体" w:cs="宋体"/>
          <w:sz w:val="24"/>
          <w:szCs w:val="24"/>
        </w:rPr>
        <w:t>　　经营范围：</w:t>
      </w:r>
    </w:p>
    <w:p>
      <w:pPr>
        <w:pStyle w:val="31"/>
        <w:spacing w:line="360" w:lineRule="auto"/>
        <w:rPr>
          <w:rFonts w:hAnsi="宋体" w:cs="宋体"/>
          <w:sz w:val="24"/>
          <w:szCs w:val="24"/>
        </w:rPr>
      </w:pPr>
      <w:r>
        <w:rPr>
          <w:rFonts w:hint="eastAsia" w:hAnsi="宋体" w:cs="宋体"/>
          <w:sz w:val="24"/>
          <w:szCs w:val="24"/>
        </w:rPr>
        <w:t>附：被授权人有效身份证正反面或其他身份证明材料复印　　　　　　　</w:t>
      </w:r>
    </w:p>
    <w:p>
      <w:pPr>
        <w:pStyle w:val="30"/>
        <w:spacing w:line="360" w:lineRule="auto"/>
        <w:jc w:val="both"/>
        <w:rPr>
          <w:rFonts w:hAnsi="宋体" w:eastAsia="宋体" w:cs="宋体"/>
          <w:sz w:val="24"/>
          <w:szCs w:val="24"/>
        </w:rPr>
      </w:pPr>
      <w:r>
        <w:rPr>
          <w:rFonts w:hint="eastAsia" w:hAnsi="宋体" w:eastAsia="宋体" w:cs="宋体"/>
          <w:sz w:val="24"/>
          <w:szCs w:val="24"/>
        </w:rPr>
        <w:t>（单位盖章）：</w:t>
      </w:r>
    </w:p>
    <w:p>
      <w:pPr>
        <w:pStyle w:val="30"/>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30"/>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30"/>
        <w:spacing w:line="360" w:lineRule="auto"/>
        <w:jc w:val="both"/>
        <w:rPr>
          <w:rFonts w:hAnsi="宋体" w:eastAsia="宋体" w:cs="宋体"/>
          <w:sz w:val="24"/>
          <w:szCs w:val="24"/>
        </w:rPr>
      </w:pPr>
      <w:r>
        <w:rPr>
          <w:rFonts w:hint="eastAsia" w:hAnsi="宋体" w:eastAsia="宋体" w:cs="宋体"/>
          <w:sz w:val="24"/>
          <w:szCs w:val="24"/>
        </w:rPr>
        <w:t>日期： 2025年   月  日</w:t>
      </w:r>
    </w:p>
    <w:p>
      <w:pPr>
        <w:rPr>
          <w:rFonts w:ascii="宋体" w:hAnsi="宋体" w:cs="宋体"/>
          <w:sz w:val="24"/>
          <w:lang w:val="zh-CN"/>
        </w:rPr>
      </w:pPr>
      <w:r>
        <w:rPr>
          <w:rFonts w:hint="eastAsia" w:ascii="宋体" w:hAnsi="宋体" w:cs="宋体"/>
          <w:sz w:val="24"/>
          <w:lang w:val="zh-CN"/>
        </w:rPr>
        <w:t>说明：法定代表人亲自办理投标事宜的，无需提交本证明书。</w:t>
      </w:r>
    </w:p>
    <w:tbl>
      <w:tblPr>
        <w:tblStyle w:val="29"/>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17"/>
              <w:spacing w:line="240" w:lineRule="auto"/>
              <w:ind w:firstLine="0"/>
              <w:jc w:val="center"/>
              <w:rPr>
                <w:rFonts w:ascii="宋体" w:hAnsi="宋体" w:eastAsia="宋体" w:cs="宋体"/>
                <w:color w:val="auto"/>
                <w:sz w:val="24"/>
              </w:rPr>
            </w:pPr>
          </w:p>
        </w:tc>
        <w:tc>
          <w:tcPr>
            <w:tcW w:w="4530" w:type="dxa"/>
          </w:tcPr>
          <w:p>
            <w:pPr>
              <w:pStyle w:val="17"/>
              <w:spacing w:line="240" w:lineRule="auto"/>
              <w:ind w:firstLine="0"/>
              <w:jc w:val="center"/>
              <w:rPr>
                <w:rFonts w:ascii="宋体" w:hAnsi="宋体" w:eastAsia="宋体" w:cs="宋体"/>
                <w:color w:val="auto"/>
                <w:sz w:val="24"/>
              </w:rPr>
            </w:pPr>
          </w:p>
        </w:tc>
      </w:tr>
    </w:tbl>
    <w:p>
      <w:pPr>
        <w:pStyle w:val="10"/>
        <w:ind w:firstLine="480"/>
        <w:rPr>
          <w:rFonts w:ascii="宋体" w:hAnsi="宋体" w:cs="宋体"/>
          <w:sz w:val="24"/>
          <w:szCs w:val="24"/>
          <w:lang w:val="zh-CN"/>
        </w:rPr>
      </w:pPr>
    </w:p>
    <w:p>
      <w:pPr>
        <w:pStyle w:val="10"/>
        <w:ind w:firstLine="480"/>
        <w:rPr>
          <w:rFonts w:ascii="宋体" w:hAnsi="宋体" w:cs="宋体"/>
          <w:sz w:val="24"/>
          <w:szCs w:val="24"/>
          <w:lang w:val="zh-CN"/>
        </w:rPr>
      </w:pPr>
    </w:p>
    <w:p>
      <w:pPr>
        <w:widowControl/>
        <w:jc w:val="left"/>
        <w:rPr>
          <w:rFonts w:ascii="宋体" w:hAnsi="宋体"/>
          <w:sz w:val="32"/>
        </w:rPr>
      </w:pPr>
    </w:p>
    <w:p>
      <w:pPr>
        <w:pStyle w:val="3"/>
        <w:rPr>
          <w:rFonts w:ascii="宋体" w:hAnsi="宋体"/>
          <w:sz w:val="32"/>
        </w:rPr>
      </w:pPr>
    </w:p>
    <w:p>
      <w:pPr>
        <w:rPr>
          <w:rFonts w:ascii="宋体" w:hAnsi="宋体"/>
          <w:sz w:val="32"/>
        </w:rPr>
      </w:pPr>
    </w:p>
    <w:p>
      <w:pPr>
        <w:pStyle w:val="3"/>
      </w:pPr>
    </w:p>
    <w:p/>
    <w:p>
      <w:pPr>
        <w:pStyle w:val="3"/>
      </w:pPr>
    </w:p>
    <w:p>
      <w:pPr>
        <w:widowControl/>
        <w:jc w:val="right"/>
        <w:rPr>
          <w:rFonts w:ascii="宋体" w:hAnsi="宋体" w:cs="宋体"/>
          <w:kern w:val="0"/>
          <w:szCs w:val="21"/>
        </w:rPr>
      </w:pPr>
      <w:r>
        <w:rPr>
          <w:rFonts w:hint="eastAsia" w:ascii="宋体" w:hAnsi="宋体"/>
          <w:sz w:val="32"/>
        </w:rPr>
        <w:t xml:space="preserve">2.3格式3                                        </w:t>
      </w:r>
      <w:r>
        <w:rPr>
          <w:rFonts w:hint="eastAsia" w:ascii="宋体" w:hAnsi="宋体" w:cs="宋体"/>
          <w:kern w:val="0"/>
          <w:szCs w:val="21"/>
        </w:rPr>
        <w:t>编号：TZ4-23</w:t>
      </w:r>
    </w:p>
    <w:p>
      <w:pPr>
        <w:widowControl/>
        <w:jc w:val="left"/>
        <w:rPr>
          <w:rFonts w:ascii="宋体" w:hAnsi="宋体"/>
          <w:sz w:val="32"/>
        </w:rPr>
      </w:pPr>
    </w:p>
    <w:tbl>
      <w:tblPr>
        <w:tblStyle w:val="28"/>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4"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ascii="宋体"/>
                <w:sz w:val="24"/>
                <w:lang w:eastAsia="zh-CN"/>
              </w:rPr>
              <w:t>杂用水厂低压电房无功补偿柜安全隐患整改项目零星工程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日期：2025年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4"/>
    <w:p>
      <w:pPr>
        <w:pStyle w:val="10"/>
        <w:ind w:firstLine="480"/>
        <w:jc w:val="left"/>
        <w:rPr>
          <w:rFonts w:ascii="宋体" w:hAnsi="宋体" w:cs="宋体"/>
          <w:sz w:val="24"/>
          <w:szCs w:val="24"/>
        </w:rPr>
      </w:pPr>
      <w:r>
        <w:rPr>
          <w:sz w:val="28"/>
          <w:szCs w:val="28"/>
        </w:rPr>
        <w:br w:type="page"/>
      </w:r>
      <w:r>
        <w:rPr>
          <w:rFonts w:hint="eastAsia" w:ascii="宋体" w:hAnsi="宋体" w:cs="宋体"/>
          <w:sz w:val="24"/>
          <w:szCs w:val="24"/>
        </w:rPr>
        <w:t>2.4 投标人未被列入“信用中国”网站(www.creditchina.gov.cn)记录失信被执行人名单,须提供“信用中国”网站(www.creditchina.gov.cn)的信用记录查询结果截图或信用信息报告并打印页面加盖公章。</w:t>
      </w: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sectPr>
          <w:pgSz w:w="11906" w:h="16838"/>
          <w:pgMar w:top="1418" w:right="1418" w:bottom="1418" w:left="1418" w:header="851" w:footer="992" w:gutter="0"/>
          <w:cols w:space="720" w:num="1"/>
          <w:docGrid w:linePitch="312" w:charSpace="0"/>
        </w:sectPr>
      </w:pPr>
    </w:p>
    <w:p>
      <w:pPr>
        <w:pStyle w:val="10"/>
        <w:ind w:firstLine="480"/>
        <w:jc w:val="left"/>
        <w:rPr>
          <w:rFonts w:ascii="宋体" w:hAnsi="宋体" w:cs="宋体"/>
          <w:b/>
          <w:bCs/>
          <w:sz w:val="24"/>
          <w:szCs w:val="24"/>
        </w:rPr>
      </w:pPr>
      <w:r>
        <w:rPr>
          <w:rFonts w:hint="eastAsia" w:ascii="宋体" w:hAnsi="宋体" w:cs="宋体"/>
          <w:sz w:val="24"/>
          <w:szCs w:val="24"/>
        </w:rPr>
        <w:t>2.5</w:t>
      </w:r>
      <w:r>
        <w:rPr>
          <w:rFonts w:hint="eastAsia" w:ascii="宋体" w:hAnsi="宋体" w:cs="宋体"/>
          <w:b/>
          <w:bCs/>
          <w:sz w:val="24"/>
          <w:szCs w:val="24"/>
        </w:rPr>
        <w:t>格式4</w:t>
      </w:r>
    </w:p>
    <w:p>
      <w:pPr>
        <w:pStyle w:val="10"/>
        <w:ind w:firstLine="480"/>
        <w:jc w:val="center"/>
        <w:rPr>
          <w:rFonts w:ascii="宋体" w:hAnsi="宋体" w:cs="宋体"/>
          <w:b/>
          <w:sz w:val="24"/>
          <w:szCs w:val="24"/>
        </w:rPr>
      </w:pPr>
      <w:r>
        <w:rPr>
          <w:rFonts w:hint="eastAsia" w:ascii="宋体" w:hAnsi="宋体" w:cs="宋体"/>
          <w:b/>
          <w:bCs/>
          <w:sz w:val="24"/>
          <w:szCs w:val="24"/>
        </w:rPr>
        <w:t>投标单位</w:t>
      </w:r>
      <w:r>
        <w:rPr>
          <w:rFonts w:hint="eastAsia" w:ascii="宋体" w:hAnsi="宋体" w:cs="宋体"/>
          <w:b/>
          <w:sz w:val="24"/>
          <w:szCs w:val="24"/>
        </w:rPr>
        <w:t>声明函</w:t>
      </w:r>
    </w:p>
    <w:p>
      <w:pPr>
        <w:rPr>
          <w:rFonts w:ascii="宋体" w:hAnsi="宋体" w:cs="宋体"/>
          <w:b/>
          <w:sz w:val="24"/>
        </w:rPr>
      </w:pPr>
    </w:p>
    <w:p>
      <w:pPr>
        <w:rPr>
          <w:rFonts w:ascii="宋体" w:hAnsi="宋体" w:cs="宋体"/>
          <w:b/>
          <w:sz w:val="24"/>
        </w:rPr>
      </w:pPr>
      <w:r>
        <w:rPr>
          <w:rFonts w:hint="eastAsia" w:ascii="宋体" w:hAnsi="宋体" w:cs="宋体"/>
          <w:sz w:val="24"/>
          <w:u w:val="single"/>
        </w:rPr>
        <w:t xml:space="preserve"> 广州城投综合能源投资经营管理有限公司</w:t>
      </w:r>
      <w:r>
        <w:rPr>
          <w:rFonts w:hint="eastAsia" w:ascii="宋体" w:hAnsi="宋体" w:cs="宋体"/>
          <w:b/>
          <w:sz w:val="24"/>
        </w:rPr>
        <w:t>：</w:t>
      </w:r>
    </w:p>
    <w:p>
      <w:pPr>
        <w:spacing w:before="156" w:line="360" w:lineRule="auto"/>
        <w:ind w:firstLine="480" w:firstLineChars="200"/>
        <w:rPr>
          <w:rFonts w:ascii="宋体" w:hAnsi="宋体" w:cs="宋体"/>
          <w:sz w:val="24"/>
        </w:rPr>
      </w:pPr>
      <w:r>
        <w:rPr>
          <w:rFonts w:hint="eastAsia" w:ascii="宋体" w:hAnsi="宋体" w:cs="宋体"/>
          <w:sz w:val="24"/>
        </w:rPr>
        <w:t>关于贵公司</w:t>
      </w:r>
      <w:r>
        <w:rPr>
          <w:rFonts w:hint="eastAsia" w:ascii="宋体" w:hAnsi="宋体" w:cs="宋体"/>
          <w:sz w:val="24"/>
          <w:lang w:eastAsia="zh-CN"/>
        </w:rPr>
        <w:t>杂用水厂低压电房无功补偿柜安全隐患整改项目零星工程</w:t>
      </w:r>
      <w:r>
        <w:rPr>
          <w:rFonts w:hint="eastAsia" w:ascii="宋体" w:hAnsi="宋体" w:cs="宋体"/>
          <w:sz w:val="24"/>
        </w:rPr>
        <w:t>采购项目，我公司（企业）愿意参加竞选，并声明：</w:t>
      </w:r>
    </w:p>
    <w:p>
      <w:pPr>
        <w:spacing w:line="360" w:lineRule="auto"/>
        <w:ind w:firstLine="480" w:firstLineChars="200"/>
        <w:rPr>
          <w:rFonts w:ascii="宋体" w:hAnsi="宋体" w:cs="宋体"/>
          <w:sz w:val="24"/>
        </w:rPr>
      </w:pPr>
      <w:r>
        <w:rPr>
          <w:rFonts w:hint="eastAsia" w:ascii="宋体" w:hAnsi="宋体" w:cs="宋体"/>
          <w:sz w:val="24"/>
        </w:rPr>
        <w:t>我方承诺在本次采购活动中不存在以下情况：（1）处于被责令停业或破产状态；（2）资产被重组、接管和冻结；（3）在投标活动中3年内有重大违法活动和涉嫌违规行为。</w:t>
      </w:r>
    </w:p>
    <w:p>
      <w:pPr>
        <w:spacing w:line="360" w:lineRule="auto"/>
        <w:ind w:firstLine="480" w:firstLineChars="200"/>
        <w:rPr>
          <w:rFonts w:ascii="宋体" w:hAnsi="宋体" w:cs="宋体"/>
          <w:sz w:val="24"/>
        </w:rPr>
      </w:pPr>
      <w:r>
        <w:rPr>
          <w:rFonts w:hint="eastAsia" w:ascii="宋体" w:hAnsi="宋体" w:cs="宋体"/>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line="360" w:lineRule="auto"/>
        <w:rPr>
          <w:rFonts w:ascii="宋体" w:hAnsi="宋体" w:cs="宋体"/>
          <w:b/>
          <w:sz w:val="24"/>
        </w:rPr>
      </w:pPr>
      <w:r>
        <w:rPr>
          <w:rFonts w:hint="eastAsia" w:ascii="宋体" w:hAnsi="宋体" w:cs="宋体"/>
          <w:b/>
          <w:sz w:val="24"/>
        </w:rPr>
        <w:t>备注：1.本声明函必须提供且内容不得擅自删改，否则视为无效报价。</w:t>
      </w:r>
    </w:p>
    <w:p>
      <w:pPr>
        <w:spacing w:line="360" w:lineRule="auto"/>
        <w:ind w:firstLine="723" w:firstLineChars="300"/>
        <w:rPr>
          <w:rFonts w:ascii="宋体" w:hAnsi="宋体" w:cs="宋体"/>
          <w:sz w:val="24"/>
        </w:rPr>
      </w:pPr>
      <w:r>
        <w:rPr>
          <w:rFonts w:hint="eastAsia" w:ascii="宋体" w:hAnsi="宋体" w:cs="宋体"/>
          <w:b/>
          <w:sz w:val="24"/>
        </w:rPr>
        <w:t>2.本声明函如有虚假或与事实不符的，作无效报价处理。</w:t>
      </w:r>
    </w:p>
    <w:p>
      <w:pPr>
        <w:spacing w:line="360" w:lineRule="auto"/>
        <w:ind w:firstLine="420"/>
        <w:rPr>
          <w:rFonts w:ascii="宋体" w:hAnsi="宋体" w:cs="宋体"/>
          <w:sz w:val="24"/>
        </w:rPr>
      </w:pPr>
    </w:p>
    <w:p>
      <w:pPr>
        <w:spacing w:line="360" w:lineRule="auto"/>
        <w:ind w:firstLine="420"/>
        <w:rPr>
          <w:rFonts w:ascii="宋体" w:hAnsi="宋体" w:cs="宋体"/>
          <w:sz w:val="24"/>
        </w:rPr>
      </w:pPr>
    </w:p>
    <w:p>
      <w:pPr>
        <w:spacing w:line="360" w:lineRule="auto"/>
        <w:rPr>
          <w:rFonts w:ascii="宋体" w:hAnsi="宋体" w:cs="宋体"/>
          <w:sz w:val="24"/>
        </w:rPr>
      </w:pPr>
      <w:r>
        <w:rPr>
          <w:rFonts w:hint="eastAsia" w:ascii="宋体" w:hAnsi="宋体" w:cs="宋体"/>
          <w:sz w:val="24"/>
        </w:rPr>
        <w:t>投标人名称（盖公章）：</w:t>
      </w:r>
    </w:p>
    <w:p>
      <w:pPr>
        <w:rPr>
          <w:rFonts w:ascii="宋体" w:hAnsi="宋体" w:cs="宋体"/>
          <w:sz w:val="24"/>
        </w:rPr>
      </w:pPr>
      <w:r>
        <w:rPr>
          <w:rFonts w:hint="eastAsia" w:ascii="宋体" w:hAnsi="宋体" w:cs="宋体"/>
          <w:sz w:val="24"/>
        </w:rPr>
        <w:t>日期：</w:t>
      </w:r>
    </w:p>
    <w:p>
      <w:pPr>
        <w:ind w:firstLine="480"/>
        <w:jc w:val="left"/>
        <w:rPr>
          <w:rFonts w:ascii="宋体" w:hAnsi="宋体" w:cs="宋体"/>
          <w:sz w:val="24"/>
        </w:rPr>
      </w:pPr>
      <w:r>
        <w:rPr>
          <w:rFonts w:hint="eastAsia" w:ascii="宋体" w:hAnsi="宋体" w:cs="宋体"/>
          <w:sz w:val="24"/>
        </w:rPr>
        <w:br w:type="page"/>
      </w:r>
    </w:p>
    <w:p>
      <w:pPr>
        <w:rPr>
          <w:rFonts w:ascii="宋体" w:hAnsi="宋体" w:cs="宋体"/>
          <w:b/>
          <w:bCs/>
          <w:sz w:val="24"/>
        </w:rPr>
      </w:pPr>
      <w:r>
        <w:rPr>
          <w:rFonts w:hint="eastAsia" w:ascii="宋体" w:hAnsi="宋体" w:cs="宋体"/>
          <w:b/>
          <w:bCs/>
          <w:sz w:val="24"/>
        </w:rPr>
        <w:t>2.6   格式5.拟投入本项目的项目负责人情况表</w:t>
      </w:r>
    </w:p>
    <w:p>
      <w:pPr>
        <w:jc w:val="center"/>
        <w:rPr>
          <w:rFonts w:ascii="宋体" w:hAnsi="宋体" w:cs="宋体"/>
          <w:b/>
          <w:sz w:val="24"/>
        </w:rPr>
      </w:pPr>
      <w:r>
        <w:rPr>
          <w:rFonts w:hint="eastAsia" w:ascii="宋体" w:hAnsi="宋体" w:cs="宋体"/>
          <w:b/>
          <w:sz w:val="24"/>
        </w:rPr>
        <w:t>拟投入本项目的项目负责人情况表</w:t>
      </w:r>
    </w:p>
    <w:tbl>
      <w:tblPr>
        <w:tblStyle w:val="2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sz w:val="24"/>
              </w:rPr>
            </w:pPr>
            <w:r>
              <w:rPr>
                <w:rFonts w:hint="eastAsia" w:ascii="宋体" w:hAnsi="宋体" w:cs="宋体"/>
                <w:bCs/>
                <w:sz w:val="24"/>
              </w:rPr>
              <w:t>姓名</w:t>
            </w:r>
          </w:p>
        </w:tc>
        <w:tc>
          <w:tcPr>
            <w:tcW w:w="1497" w:type="dxa"/>
            <w:gridSpan w:val="2"/>
            <w:vAlign w:val="center"/>
          </w:tcPr>
          <w:p>
            <w:pPr>
              <w:jc w:val="center"/>
              <w:rPr>
                <w:rFonts w:ascii="宋体" w:hAnsi="宋体" w:cs="宋体"/>
                <w:bCs/>
                <w:sz w:val="24"/>
              </w:rPr>
            </w:pPr>
          </w:p>
        </w:tc>
        <w:tc>
          <w:tcPr>
            <w:tcW w:w="1613" w:type="dxa"/>
            <w:gridSpan w:val="2"/>
            <w:vAlign w:val="center"/>
          </w:tcPr>
          <w:p>
            <w:pPr>
              <w:jc w:val="center"/>
              <w:rPr>
                <w:rFonts w:ascii="宋体" w:hAnsi="宋体" w:cs="宋体"/>
                <w:bCs/>
                <w:sz w:val="24"/>
              </w:rPr>
            </w:pPr>
            <w:r>
              <w:rPr>
                <w:rFonts w:hint="eastAsia" w:ascii="宋体" w:hAnsi="宋体" w:cs="宋体"/>
                <w:bCs/>
                <w:sz w:val="24"/>
              </w:rPr>
              <w:t>出生年月</w:t>
            </w:r>
          </w:p>
        </w:tc>
        <w:tc>
          <w:tcPr>
            <w:tcW w:w="1337" w:type="dxa"/>
            <w:gridSpan w:val="2"/>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学历</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职称</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职务</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从事本工作时间</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毕业院校</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毕业时间</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专业</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sz w:val="24"/>
              </w:rPr>
            </w:pPr>
            <w:r>
              <w:rPr>
                <w:rFonts w:hint="eastAsia" w:ascii="宋体" w:hAnsi="宋体" w:cs="宋体"/>
                <w:bCs/>
                <w:sz w:val="24"/>
              </w:rPr>
              <w:t>注册证书等级</w:t>
            </w:r>
          </w:p>
          <w:p>
            <w:pPr>
              <w:spacing w:line="360" w:lineRule="exact"/>
              <w:jc w:val="center"/>
              <w:rPr>
                <w:rFonts w:ascii="宋体" w:hAnsi="宋体" w:cs="宋体"/>
                <w:bCs/>
                <w:sz w:val="24"/>
              </w:rPr>
            </w:pPr>
            <w:r>
              <w:rPr>
                <w:rFonts w:hint="eastAsia" w:ascii="宋体" w:hAnsi="宋体" w:cs="宋体"/>
                <w:bCs/>
                <w:sz w:val="24"/>
              </w:rPr>
              <w:t>和专业</w:t>
            </w:r>
          </w:p>
        </w:tc>
        <w:tc>
          <w:tcPr>
            <w:tcW w:w="2950" w:type="dxa"/>
            <w:gridSpan w:val="4"/>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证书编号</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sz w:val="24"/>
              </w:rPr>
            </w:pPr>
            <w:r>
              <w:rPr>
                <w:rFonts w:hint="eastAsia" w:ascii="宋体" w:hAnsi="宋体" w:cs="宋体"/>
                <w:bCs/>
                <w:sz w:val="24"/>
              </w:rPr>
              <w:t>职称证专业</w:t>
            </w:r>
          </w:p>
        </w:tc>
        <w:tc>
          <w:tcPr>
            <w:tcW w:w="2950" w:type="dxa"/>
            <w:gridSpan w:val="4"/>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证书编号</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sz w:val="24"/>
              </w:rPr>
            </w:pPr>
            <w:r>
              <w:rPr>
                <w:rFonts w:hint="eastAsia" w:ascii="宋体" w:hAnsi="宋体" w:cs="宋体"/>
                <w:bCs/>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sz w:val="24"/>
              </w:rPr>
            </w:pPr>
            <w:r>
              <w:rPr>
                <w:rFonts w:hint="eastAsia" w:ascii="宋体" w:hAnsi="宋体" w:cs="宋体"/>
                <w:bCs/>
                <w:sz w:val="24"/>
              </w:rPr>
              <w:t>项目名称</w:t>
            </w:r>
          </w:p>
        </w:tc>
        <w:tc>
          <w:tcPr>
            <w:tcW w:w="1993" w:type="dxa"/>
            <w:gridSpan w:val="2"/>
            <w:vAlign w:val="center"/>
          </w:tcPr>
          <w:p>
            <w:pPr>
              <w:jc w:val="center"/>
              <w:rPr>
                <w:rFonts w:ascii="宋体" w:hAnsi="宋体" w:cs="宋体"/>
                <w:bCs/>
                <w:sz w:val="24"/>
              </w:rPr>
            </w:pPr>
            <w:r>
              <w:rPr>
                <w:rFonts w:hint="eastAsia" w:ascii="宋体" w:hAnsi="宋体" w:cs="宋体"/>
                <w:bCs/>
                <w:sz w:val="24"/>
              </w:rPr>
              <w:t>合同金额</w:t>
            </w:r>
          </w:p>
        </w:tc>
        <w:tc>
          <w:tcPr>
            <w:tcW w:w="1993" w:type="dxa"/>
            <w:gridSpan w:val="2"/>
            <w:vAlign w:val="center"/>
          </w:tcPr>
          <w:p>
            <w:pPr>
              <w:jc w:val="center"/>
              <w:rPr>
                <w:rFonts w:ascii="宋体" w:hAnsi="宋体" w:cs="宋体"/>
                <w:bCs/>
                <w:sz w:val="24"/>
              </w:rPr>
            </w:pPr>
            <w:r>
              <w:rPr>
                <w:rFonts w:hint="eastAsia" w:ascii="宋体" w:hAnsi="宋体" w:cs="宋体"/>
                <w:bCs/>
                <w:sz w:val="24"/>
              </w:rPr>
              <w:t>开、竣工时间</w:t>
            </w:r>
          </w:p>
        </w:tc>
        <w:tc>
          <w:tcPr>
            <w:tcW w:w="1993" w:type="dxa"/>
            <w:gridSpan w:val="2"/>
            <w:vAlign w:val="center"/>
          </w:tcPr>
          <w:p>
            <w:pPr>
              <w:jc w:val="center"/>
              <w:rPr>
                <w:rFonts w:ascii="宋体" w:hAnsi="宋体" w:cs="宋体"/>
                <w:bCs/>
                <w:sz w:val="24"/>
              </w:rPr>
            </w:pPr>
            <w:r>
              <w:rPr>
                <w:rFonts w:hint="eastAsia" w:ascii="宋体" w:hAnsi="宋体" w:cs="宋体"/>
                <w:bCs/>
                <w:sz w:val="24"/>
              </w:rPr>
              <w:t>担任职务</w:t>
            </w:r>
          </w:p>
        </w:tc>
        <w:tc>
          <w:tcPr>
            <w:tcW w:w="1685" w:type="dxa"/>
            <w:gridSpan w:val="2"/>
            <w:vAlign w:val="center"/>
          </w:tcPr>
          <w:p>
            <w:pPr>
              <w:jc w:val="center"/>
              <w:rPr>
                <w:rFonts w:ascii="宋体" w:hAnsi="宋体" w:cs="宋体"/>
                <w:bCs/>
                <w:sz w:val="24"/>
              </w:rPr>
            </w:pPr>
            <w:r>
              <w:rPr>
                <w:rFonts w:hint="eastAsia" w:ascii="宋体" w:hAnsi="宋体" w:cs="宋体"/>
                <w:bCs/>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bl>
    <w:p>
      <w:pPr>
        <w:pStyle w:val="17"/>
        <w:rPr>
          <w:rFonts w:ascii="宋体" w:hAnsi="宋体" w:eastAsia="宋体" w:cs="宋体"/>
          <w:color w:val="auto"/>
          <w:sz w:val="24"/>
        </w:rPr>
      </w:pPr>
    </w:p>
    <w:p>
      <w:pPr>
        <w:pStyle w:val="17"/>
        <w:rPr>
          <w:rFonts w:ascii="宋体" w:hAnsi="宋体" w:eastAsia="宋体" w:cs="宋体"/>
          <w:color w:val="auto"/>
          <w:sz w:val="24"/>
        </w:rPr>
      </w:pP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 xml:space="preserve">供应商名称（加盖公章）： </w:t>
      </w: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年  月  日</w:t>
      </w:r>
    </w:p>
    <w:p>
      <w:pPr>
        <w:pStyle w:val="3"/>
        <w:sectPr>
          <w:pgSz w:w="11906" w:h="16838"/>
          <w:pgMar w:top="1418" w:right="1418" w:bottom="1418" w:left="1418" w:header="851" w:footer="992" w:gutter="0"/>
          <w:cols w:space="720" w:num="1"/>
          <w:docGrid w:linePitch="312" w:charSpace="0"/>
        </w:sectPr>
      </w:pPr>
    </w:p>
    <w:p>
      <w:pPr>
        <w:rPr>
          <w:rFonts w:hint="eastAsia" w:ascii="宋体" w:hAnsi="宋体" w:cs="Arial"/>
          <w:color w:val="000000"/>
          <w:sz w:val="24"/>
        </w:rPr>
        <w:sectPr>
          <w:pgSz w:w="11906" w:h="16838"/>
          <w:pgMar w:top="1418" w:right="1418" w:bottom="1418" w:left="1418" w:header="851" w:footer="992" w:gutter="0"/>
          <w:cols w:space="720" w:num="1"/>
          <w:docGrid w:linePitch="312" w:charSpace="0"/>
        </w:sectPr>
      </w:pPr>
      <w:r>
        <w:rPr>
          <w:rFonts w:hint="eastAsia"/>
          <w:sz w:val="24"/>
        </w:rPr>
        <w:t>2.</w:t>
      </w:r>
      <w:r>
        <w:rPr>
          <w:sz w:val="24"/>
        </w:rPr>
        <w:t>7</w:t>
      </w:r>
      <w:r>
        <w:rPr>
          <w:rFonts w:hint="eastAsia"/>
          <w:sz w:val="24"/>
        </w:rPr>
        <w:t>.类似项目业绩复印件：</w:t>
      </w:r>
      <w:r>
        <w:rPr>
          <w:rFonts w:hint="eastAsia" w:ascii="宋体" w:hAnsi="宋体" w:cs="Arial"/>
          <w:color w:val="000000"/>
          <w:sz w:val="24"/>
        </w:rPr>
        <w:t>近3年内(2022年1月1日至今) 具有类似无功补偿改造项目业绩（需提供合同等相关证明材料复印件</w:t>
      </w:r>
      <w:r>
        <w:rPr>
          <w:rFonts w:hint="eastAsia" w:ascii="宋体" w:hAnsi="宋体" w:cs="Arial"/>
          <w:color w:val="000000"/>
          <w:sz w:val="24"/>
          <w:lang w:eastAsia="zh-CN"/>
        </w:rPr>
        <w:t>）。</w:t>
      </w:r>
    </w:p>
    <w:p>
      <w:pPr>
        <w:pStyle w:val="3"/>
        <w:rPr>
          <w:rFonts w:ascii="宋体" w:hAnsi="宋体" w:cs="Arial"/>
          <w:color w:val="000000"/>
          <w:sz w:val="24"/>
        </w:rPr>
      </w:pPr>
      <w:r>
        <w:rPr>
          <w:rFonts w:hint="eastAsia"/>
        </w:rPr>
        <w:t>2.8</w:t>
      </w:r>
      <w:r>
        <w:rPr>
          <w:rFonts w:hint="eastAsia" w:ascii="宋体" w:hAnsi="宋体" w:cs="Arial"/>
          <w:color w:val="000000"/>
          <w:sz w:val="24"/>
        </w:rPr>
        <w:t>有效的安全生产许可证及资质证书（</w:t>
      </w:r>
      <w:r>
        <w:rPr>
          <w:rFonts w:hint="eastAsia" w:ascii="宋体" w:hAnsi="宋体" w:cs="宋体"/>
          <w:szCs w:val="21"/>
        </w:rPr>
        <w:t>具有有效期内的承装（修、试）五级（新三级）及以上电力设施许可证；或具有有效期内电力工程施工总承包叁级及以上资质，</w:t>
      </w:r>
      <w:r>
        <w:rPr>
          <w:rFonts w:hint="eastAsia" w:ascii="宋体" w:hAnsi="宋体" w:cs="宋体"/>
          <w:b/>
          <w:bCs/>
          <w:szCs w:val="21"/>
        </w:rPr>
        <w:t>及</w:t>
      </w:r>
      <w:r>
        <w:rPr>
          <w:rFonts w:hint="eastAsia" w:ascii="宋体" w:hAnsi="宋体" w:cs="宋体"/>
          <w:b/>
          <w:bCs/>
          <w:szCs w:val="21"/>
          <w:lang w:val="en-US" w:eastAsia="zh-CN"/>
        </w:rPr>
        <w:t>有效期内</w:t>
      </w:r>
      <w:r>
        <w:rPr>
          <w:rFonts w:hint="eastAsia" w:ascii="宋体" w:hAnsi="宋体" w:cs="宋体"/>
          <w:b/>
          <w:bCs/>
          <w:szCs w:val="21"/>
        </w:rPr>
        <w:t>安全生产许可证</w:t>
      </w:r>
      <w:r>
        <w:rPr>
          <w:rFonts w:hint="eastAsia" w:ascii="宋体" w:hAnsi="宋体" w:cs="宋体"/>
          <w:szCs w:val="21"/>
        </w:rPr>
        <w:t>；</w:t>
      </w:r>
      <w:r>
        <w:rPr>
          <w:rFonts w:hint="eastAsia" w:ascii="宋体" w:hAnsi="宋体" w:cs="Arial"/>
          <w:color w:val="000000"/>
          <w:sz w:val="24"/>
        </w:rPr>
        <w:t>）</w:t>
      </w: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r>
        <w:rPr>
          <w:rFonts w:hint="eastAsia" w:ascii="宋体" w:hAnsi="宋体" w:cs="Arial"/>
          <w:color w:val="000000"/>
          <w:sz w:val="24"/>
        </w:rPr>
        <w:t>2.9专职安全员有效的安全生产考核合格证</w:t>
      </w: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rPr>
          <w:rFonts w:ascii="宋体" w:hAnsi="宋体" w:cs="Arial"/>
          <w:color w:val="000000"/>
          <w:sz w:val="24"/>
        </w:rPr>
      </w:pPr>
    </w:p>
    <w:p>
      <w:pPr>
        <w:pStyle w:val="3"/>
        <w:rPr>
          <w:rFonts w:ascii="宋体" w:hAnsi="宋体" w:cs="Arial"/>
          <w:color w:val="000000"/>
          <w:sz w:val="24"/>
        </w:rPr>
      </w:pPr>
    </w:p>
    <w:p>
      <w:pPr>
        <w:pStyle w:val="7"/>
        <w:kinsoku/>
        <w:overflowPunct/>
        <w:bidi w:val="0"/>
        <w:spacing w:before="0" w:after="0" w:line="360" w:lineRule="auto"/>
        <w:textAlignment w:val="auto"/>
        <w:rPr>
          <w:rFonts w:hint="eastAsia" w:ascii="宋体" w:hAnsi="宋体" w:cs="Arial"/>
          <w:color w:val="000000"/>
          <w:sz w:val="24"/>
        </w:rPr>
      </w:pPr>
    </w:p>
    <w:p>
      <w:pPr>
        <w:pStyle w:val="20"/>
        <w:shd w:val="clear" w:color="auto" w:fill="FFFFFF"/>
        <w:wordWrap w:val="0"/>
        <w:rPr>
          <w:rFonts w:hint="eastAsia" w:cs="宋体"/>
          <w:b/>
          <w:bCs/>
          <w:i w:val="0"/>
          <w:iCs w:val="0"/>
          <w:color w:val="000000"/>
          <w:kern w:val="0"/>
          <w:sz w:val="22"/>
          <w:szCs w:val="22"/>
          <w:u w:val="none"/>
          <w:lang w:val="en-US" w:eastAsia="zh-CN" w:bidi="ar"/>
        </w:rPr>
      </w:pPr>
    </w:p>
    <w:p>
      <w:pPr>
        <w:pStyle w:val="20"/>
        <w:shd w:val="clear" w:color="auto" w:fill="FFFFFF"/>
        <w:wordWrap w:val="0"/>
        <w:rPr>
          <w:rFonts w:hint="eastAsia" w:cs="宋体"/>
          <w:b/>
          <w:bCs/>
          <w:i w:val="0"/>
          <w:iCs w:val="0"/>
          <w:color w:val="000000"/>
          <w:kern w:val="0"/>
          <w:sz w:val="22"/>
          <w:szCs w:val="22"/>
          <w:u w:val="none"/>
          <w:lang w:val="en-US" w:eastAsia="zh-CN" w:bidi="ar"/>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sz w:val="24"/>
        </w:rPr>
      </w:pPr>
      <w:r>
        <w:rPr>
          <w:rFonts w:hint="eastAsia"/>
          <w:sz w:val="24"/>
          <w:lang w:val="en-US" w:eastAsia="zh-CN"/>
        </w:rPr>
        <w:t>2.10</w:t>
      </w:r>
      <w:r>
        <w:rPr>
          <w:rFonts w:hint="eastAsia"/>
          <w:sz w:val="24"/>
        </w:rPr>
        <w:t>其他资料</w:t>
      </w:r>
    </w:p>
    <w:p>
      <w:pPr>
        <w:pStyle w:val="10"/>
        <w:ind w:firstLine="480"/>
        <w:jc w:val="left"/>
        <w:rPr>
          <w:rFonts w:hAnsi="Calibri" w:eastAsia="微软雅黑" w:asciiTheme="minorHAnsi" w:cstheme="minorBidi"/>
          <w:sz w:val="24"/>
          <w:szCs w:val="24"/>
          <w:highlight w:val="yellow"/>
        </w:rPr>
      </w:pPr>
      <w:r>
        <w:rPr>
          <w:rFonts w:hint="eastAsia"/>
          <w:sz w:val="24"/>
          <w:szCs w:val="24"/>
        </w:rPr>
        <w:t>供应商提交的其他资料。</w:t>
      </w:r>
    </w:p>
    <w:p>
      <w:pPr>
        <w:sectPr>
          <w:pgSz w:w="11906" w:h="16838"/>
          <w:pgMar w:top="1418" w:right="1418" w:bottom="1418" w:left="1418" w:header="851" w:footer="992" w:gutter="0"/>
          <w:cols w:space="720" w:num="1"/>
          <w:docGrid w:linePitch="312" w:charSpace="0"/>
        </w:sectPr>
      </w:pPr>
    </w:p>
    <w:p>
      <w:pPr>
        <w:spacing w:line="360" w:lineRule="auto"/>
        <w:ind w:firstLine="484" w:firstLineChars="202"/>
        <w:rPr>
          <w:sz w:val="24"/>
        </w:rPr>
      </w:pPr>
      <w:r>
        <w:rPr>
          <w:rFonts w:hint="eastAsia"/>
          <w:sz w:val="24"/>
        </w:rPr>
        <w:t>附件3：评审办法</w:t>
      </w:r>
    </w:p>
    <w:p>
      <w:pPr>
        <w:ind w:firstLine="484" w:firstLineChars="202"/>
        <w:rPr>
          <w:rFonts w:ascii="宋体" w:hAnsi="宋体" w:cs="宋体"/>
          <w:sz w:val="24"/>
        </w:rPr>
      </w:pPr>
      <w:r>
        <w:rPr>
          <w:rFonts w:hint="eastAsia" w:ascii="宋体" w:hAnsi="宋体" w:cs="宋体"/>
          <w:sz w:val="24"/>
        </w:rPr>
        <w:t>一、评审委员会</w:t>
      </w:r>
    </w:p>
    <w:p>
      <w:pPr>
        <w:ind w:firstLine="484" w:firstLineChars="202"/>
        <w:rPr>
          <w:rFonts w:ascii="宋体" w:hAnsi="宋体" w:cs="宋体"/>
          <w:sz w:val="24"/>
        </w:rPr>
      </w:pPr>
      <w:r>
        <w:rPr>
          <w:rFonts w:hint="eastAsia" w:ascii="宋体" w:hAnsi="宋体" w:cs="宋体"/>
          <w:sz w:val="24"/>
        </w:rPr>
        <w:t>本次采购由采购人自行组建评审小组，评审小组成员由广州城投综合能源投资经营管理有限公司人员组成，确定5人的评审小组。</w:t>
      </w:r>
    </w:p>
    <w:p>
      <w:pPr>
        <w:ind w:firstLine="484" w:firstLineChars="202"/>
        <w:rPr>
          <w:rFonts w:ascii="宋体" w:hAnsi="宋体" w:cs="宋体"/>
          <w:sz w:val="24"/>
        </w:rPr>
      </w:pPr>
      <w:r>
        <w:rPr>
          <w:rFonts w:hint="eastAsia" w:ascii="宋体" w:hAnsi="宋体" w:cs="宋体"/>
          <w:sz w:val="24"/>
        </w:rPr>
        <w:t>二、评审标准及程序</w:t>
      </w:r>
    </w:p>
    <w:p>
      <w:pPr>
        <w:ind w:firstLine="484" w:firstLineChars="202"/>
        <w:rPr>
          <w:rFonts w:ascii="宋体" w:hAnsi="宋体" w:cs="宋体"/>
          <w:sz w:val="24"/>
        </w:rPr>
      </w:pPr>
      <w:r>
        <w:rPr>
          <w:rFonts w:hint="eastAsia" w:ascii="宋体" w:hAnsi="宋体" w:cs="宋体"/>
          <w:sz w:val="24"/>
        </w:rPr>
        <w:t>（一）投标文件资格性、有效性审查</w:t>
      </w:r>
    </w:p>
    <w:p>
      <w:r>
        <w:rPr>
          <w:rFonts w:hint="eastAsia" w:ascii="宋体" w:hAnsi="宋体" w:cs="宋体"/>
          <w:sz w:val="24"/>
        </w:rPr>
        <w:t>评审小组对各投标文件进行评审，评审包括资格性审查和有效性审查，出现不符合下列情形之一时，作无效投标处理。《投标人资格审查表》和《投标人有效性审查表》如下：</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杂用水厂低压电房无功补偿柜安全隐患整改项目零星工程</w:t>
      </w:r>
    </w:p>
    <w:tbl>
      <w:tblPr>
        <w:tblStyle w:val="28"/>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cs="宋体"/>
                <w:kern w:val="0"/>
                <w:sz w:val="24"/>
                <w:lang w:bidi="ar"/>
              </w:rPr>
              <w:t>投标单位必须是具有独立承担民事责任能力的在中华人民共和国境内注册的法人或其他组织，提供营业执照或法人证书的盖章扫描件证明；</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3</w:t>
            </w:r>
          </w:p>
        </w:tc>
        <w:tc>
          <w:tcPr>
            <w:tcW w:w="6862" w:type="dxa"/>
            <w:shd w:val="clear" w:color="auto" w:fill="auto"/>
            <w:vAlign w:val="center"/>
          </w:tcPr>
          <w:p>
            <w:pPr>
              <w:rPr>
                <w:rFonts w:ascii="宋体" w:hAnsi="宋体" w:cs="宋体"/>
                <w:szCs w:val="21"/>
              </w:rPr>
            </w:pPr>
            <w:r>
              <w:rPr>
                <w:rFonts w:hint="eastAsia" w:ascii="宋体" w:hAnsi="宋体" w:cs="宋体"/>
                <w:szCs w:val="21"/>
              </w:rPr>
              <w:t>投标单位必须具有有效期内的承装（修、试）五级（新三级）及以上电力设施许可证；或具有有效期内电力工程施工总承包叁级及以上资质；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9"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4</w:t>
            </w:r>
          </w:p>
        </w:tc>
        <w:tc>
          <w:tcPr>
            <w:tcW w:w="6862" w:type="dxa"/>
            <w:shd w:val="clear" w:color="auto" w:fill="auto"/>
            <w:vAlign w:val="center"/>
          </w:tcPr>
          <w:p>
            <w:pPr>
              <w:rPr>
                <w:rFonts w:ascii="宋体" w:hAnsi="宋体" w:cs="宋体"/>
                <w:szCs w:val="21"/>
              </w:rPr>
            </w:pPr>
            <w:r>
              <w:rPr>
                <w:rFonts w:hint="eastAsia" w:ascii="宋体" w:hAnsi="宋体" w:cs="宋体"/>
                <w:bCs/>
                <w:szCs w:val="21"/>
              </w:rPr>
              <w:t>有效期内的</w:t>
            </w:r>
            <w:r>
              <w:rPr>
                <w:rFonts w:ascii="宋体" w:hAnsi="宋体" w:cs="宋体"/>
                <w:bCs/>
                <w:szCs w:val="21"/>
              </w:rPr>
              <w:t>安全生产许可证</w:t>
            </w:r>
            <w:r>
              <w:rPr>
                <w:rFonts w:hint="eastAsia" w:ascii="宋体" w:hAnsi="宋体" w:cs="宋体"/>
                <w:bCs/>
                <w:szCs w:val="21"/>
              </w:rPr>
              <w:t>（复印件盖章）</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5</w:t>
            </w:r>
          </w:p>
        </w:tc>
        <w:tc>
          <w:tcPr>
            <w:tcW w:w="6862" w:type="dxa"/>
            <w:vAlign w:val="center"/>
          </w:tcPr>
          <w:p>
            <w:pPr>
              <w:rPr>
                <w:rFonts w:ascii="宋体" w:hAnsi="宋体" w:cs="宋体"/>
                <w:szCs w:val="21"/>
              </w:rPr>
            </w:pPr>
            <w:r>
              <w:rPr>
                <w:rFonts w:hint="eastAsia" w:ascii="宋体" w:hAnsi="宋体"/>
                <w:lang w:val="en-US" w:eastAsia="zh-CN"/>
              </w:rPr>
              <w:t>投标单位</w:t>
            </w:r>
            <w:r>
              <w:rPr>
                <w:rFonts w:hint="eastAsia" w:ascii="宋体" w:hAnsi="宋体"/>
              </w:rPr>
              <w:t>提供专职安全员有效的安全生产考核合格证（C类）或建筑施工企业专职安全生产管理人员有效的安全生产考核合格证书（C3）复印件；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6</w:t>
            </w:r>
          </w:p>
        </w:tc>
        <w:tc>
          <w:tcPr>
            <w:tcW w:w="6862" w:type="dxa"/>
            <w:vAlign w:val="center"/>
          </w:tcPr>
          <w:p>
            <w:pPr>
              <w:rPr>
                <w:rFonts w:ascii="宋体" w:hAnsi="宋体" w:cs="宋体"/>
                <w:szCs w:val="21"/>
              </w:rPr>
            </w:pPr>
            <w:r>
              <w:rPr>
                <w:rFonts w:hint="eastAsia" w:ascii="宋体" w:hAnsi="宋体" w:cs="宋体"/>
                <w:szCs w:val="21"/>
              </w:rPr>
              <w:t>近3年内(2022年1月1日至今) 具有类似无功补偿改造项目业绩（需提供合同等相关证明材料复印件）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杂用水厂低压电房无功补偿柜安全隐患整改项目零星工程</w:t>
      </w:r>
    </w:p>
    <w:tbl>
      <w:tblPr>
        <w:tblStyle w:val="28"/>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3</w:t>
            </w:r>
          </w:p>
        </w:tc>
        <w:tc>
          <w:tcPr>
            <w:tcW w:w="6410" w:type="dxa"/>
            <w:shd w:val="clear" w:color="auto" w:fill="auto"/>
            <w:vAlign w:val="center"/>
          </w:tcPr>
          <w:p>
            <w:pPr>
              <w:rPr>
                <w:rFonts w:ascii="宋体" w:hAnsi="宋体" w:cs="宋体"/>
                <w:szCs w:val="21"/>
              </w:rPr>
            </w:pPr>
            <w:r>
              <w:rPr>
                <w:rFonts w:hint="eastAsia" w:ascii="宋体" w:hAnsi="宋体" w:cs="宋体"/>
                <w:kern w:val="0"/>
                <w:sz w:val="24"/>
                <w:lang w:bidi="ar"/>
              </w:rPr>
              <w:t>投标人未被列入“信用中国”网站(www.creditchina.gov.cn)记录失信被执行人名单,须提供“信用中国”网站(www.creditchina.gov.cn)的信用记录查询结果截图或信用信息报告并打印页面加盖公章</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4</w:t>
            </w:r>
          </w:p>
        </w:tc>
        <w:tc>
          <w:tcPr>
            <w:tcW w:w="6410" w:type="dxa"/>
            <w:shd w:val="clear" w:color="auto" w:fill="auto"/>
            <w:vAlign w:val="center"/>
          </w:tcPr>
          <w:p>
            <w:pPr>
              <w:rPr>
                <w:rFonts w:ascii="宋体" w:hAnsi="宋体" w:cs="宋体"/>
                <w:szCs w:val="21"/>
              </w:rPr>
            </w:pPr>
            <w:r>
              <w:rPr>
                <w:rFonts w:hint="eastAsia" w:ascii="宋体" w:hAnsi="宋体"/>
                <w:sz w:val="24"/>
              </w:rPr>
              <w:t>投标人没有处于被责令停业或破产状态，且资产未被重组、接管和冻结，声明在投标活动中3年内没有重大违法活动和涉嫌违规行为（附投标声明函）</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5</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对同一竞选项目未：出现两个或以上的投标报价，且没声明哪个有效；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6</w:t>
            </w:r>
          </w:p>
        </w:tc>
        <w:tc>
          <w:tcPr>
            <w:tcW w:w="6410" w:type="dxa"/>
            <w:shd w:val="clear" w:color="auto" w:fill="auto"/>
            <w:vAlign w:val="center"/>
          </w:tcPr>
          <w:p>
            <w:pPr>
              <w:rPr>
                <w:rFonts w:ascii="宋体" w:hAnsi="宋体"/>
                <w:szCs w:val="21"/>
              </w:rPr>
            </w:pPr>
            <w:r>
              <w:rPr>
                <w:rFonts w:hint="eastAsia" w:ascii="宋体" w:hAnsi="宋体" w:cs="宋体"/>
                <w:szCs w:val="21"/>
              </w:rPr>
              <w:t>投标总报价不低于企业自身成本；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7</w:t>
            </w:r>
          </w:p>
        </w:tc>
        <w:tc>
          <w:tcPr>
            <w:tcW w:w="6410" w:type="dxa"/>
            <w:shd w:val="clear" w:color="auto" w:fill="auto"/>
            <w:vAlign w:val="center"/>
          </w:tcPr>
          <w:p>
            <w:pPr>
              <w:rPr>
                <w:rFonts w:ascii="宋体" w:hAnsi="宋体"/>
                <w:szCs w:val="21"/>
              </w:rPr>
            </w:pPr>
            <w:r>
              <w:rPr>
                <w:rFonts w:hint="eastAsia" w:ascii="宋体" w:hAnsi="宋体" w:cs="宋体"/>
                <w:szCs w:val="21"/>
              </w:rPr>
              <w:t>投标报价不超过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8</w:t>
            </w:r>
          </w:p>
        </w:tc>
        <w:tc>
          <w:tcPr>
            <w:tcW w:w="6410" w:type="dxa"/>
            <w:shd w:val="clear" w:color="auto" w:fill="auto"/>
            <w:vAlign w:val="center"/>
          </w:tcPr>
          <w:p>
            <w:pPr>
              <w:rPr>
                <w:szCs w:val="21"/>
              </w:rPr>
            </w:pPr>
            <w:r>
              <w:rPr>
                <w:rFonts w:hint="eastAsia" w:ascii="宋体" w:hAnsi="宋体" w:cs="宋体"/>
                <w:szCs w:val="21"/>
              </w:rPr>
              <w:t>工期满足竞选文件要求的；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default" w:ascii="宋体" w:hAnsi="宋体" w:eastAsia="宋体"/>
                <w:bCs/>
                <w:szCs w:val="21"/>
                <w:lang w:val="en-US" w:eastAsia="zh-CN"/>
              </w:rPr>
            </w:pPr>
            <w:r>
              <w:rPr>
                <w:rFonts w:hint="eastAsia" w:ascii="宋体" w:hAnsi="宋体" w:cs="宋体"/>
                <w:szCs w:val="21"/>
                <w:lang w:val="en-US" w:eastAsia="zh-CN"/>
              </w:rPr>
              <w:t>9</w:t>
            </w:r>
          </w:p>
        </w:tc>
        <w:tc>
          <w:tcPr>
            <w:tcW w:w="6410" w:type="dxa"/>
            <w:shd w:val="clear" w:color="auto" w:fill="auto"/>
            <w:vAlign w:val="center"/>
          </w:tcPr>
          <w:p>
            <w:pPr>
              <w:spacing w:before="120" w:beforeLines="50" w:after="120" w:afterLines="50" w:line="360" w:lineRule="auto"/>
              <w:rPr>
                <w:szCs w:val="21"/>
              </w:rPr>
            </w:pPr>
            <w:r>
              <w:rPr>
                <w:rFonts w:hint="eastAsia" w:ascii="宋体" w:hAnsi="宋体" w:cs="宋体"/>
                <w:szCs w:val="21"/>
              </w:rPr>
              <w:t>施工方案或施工组织设计响应竞选文件中已明确必须要作实质性响应的内容；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default" w:ascii="宋体" w:hAnsi="宋体" w:eastAsia="宋体"/>
                <w:bCs/>
                <w:szCs w:val="21"/>
                <w:lang w:val="en-US" w:eastAsia="zh-CN"/>
              </w:rPr>
            </w:pPr>
            <w:r>
              <w:rPr>
                <w:rFonts w:hint="eastAsia" w:ascii="宋体" w:hAnsi="宋体" w:cs="宋体"/>
                <w:szCs w:val="21"/>
                <w:lang w:val="en-US" w:eastAsia="zh-CN"/>
              </w:rPr>
              <w:t>10</w:t>
            </w:r>
          </w:p>
        </w:tc>
        <w:tc>
          <w:tcPr>
            <w:tcW w:w="6410" w:type="dxa"/>
            <w:shd w:val="clear" w:color="auto" w:fill="auto"/>
            <w:vAlign w:val="center"/>
          </w:tcPr>
          <w:p>
            <w:pPr>
              <w:rPr>
                <w:szCs w:val="21"/>
              </w:rPr>
            </w:pPr>
            <w:r>
              <w:rPr>
                <w:rFonts w:hint="eastAsia" w:ascii="宋体" w:hAnsi="宋体" w:cs="宋体"/>
                <w:szCs w:val="21"/>
              </w:rPr>
              <w:t>投标文件无附有采购人不能接受的条件；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2025年月 日</w:t>
      </w:r>
    </w:p>
    <w:p>
      <w:pPr>
        <w:pStyle w:val="3"/>
        <w:rPr>
          <w:rFonts w:ascii="宋体" w:hAnsi="宋体"/>
          <w:sz w:val="24"/>
          <w:highlight w:val="none"/>
        </w:rPr>
      </w:pPr>
    </w:p>
    <w:p>
      <w:pPr>
        <w:numPr>
          <w:ilvl w:val="0"/>
          <w:numId w:val="13"/>
        </w:numPr>
        <w:spacing w:line="360" w:lineRule="auto"/>
        <w:ind w:left="0" w:firstLine="480" w:firstLineChars="200"/>
        <w:rPr>
          <w:rFonts w:hint="eastAsia" w:ascii="宋体" w:hAnsi="宋体" w:cs="宋体"/>
          <w:sz w:val="24"/>
        </w:rPr>
      </w:pPr>
      <w:r>
        <w:rPr>
          <w:rFonts w:hint="eastAsia" w:ascii="宋体" w:hAnsi="宋体" w:cs="宋体"/>
          <w:sz w:val="24"/>
          <w:highlight w:val="none"/>
        </w:rPr>
        <w:t>评标方法：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和投标文件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宋体" w:hAnsi="宋体" w:cs="宋体"/>
          <w:sz w:val="24"/>
        </w:rPr>
        <w:t>。</w:t>
      </w:r>
    </w:p>
    <w:p>
      <w:pPr>
        <w:pStyle w:val="3"/>
        <w:numPr>
          <w:ilvl w:val="-1"/>
          <w:numId w:val="0"/>
        </w:numPr>
        <w:ind w:left="420" w:leftChars="200" w:firstLine="0" w:firstLineChars="0"/>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15F0"/>
    <w:multiLevelType w:val="singleLevel"/>
    <w:tmpl w:val="C87215F0"/>
    <w:lvl w:ilvl="0" w:tentative="0">
      <w:start w:val="1"/>
      <w:numFmt w:val="decimal"/>
      <w:lvlText w:val="%1."/>
      <w:lvlJc w:val="left"/>
      <w:pPr>
        <w:ind w:left="425" w:hanging="425"/>
      </w:pPr>
      <w:rPr>
        <w:rFonts w:hint="default"/>
      </w:r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66E2685"/>
    <w:multiLevelType w:val="multilevel"/>
    <w:tmpl w:val="166E268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701F3D"/>
    <w:multiLevelType w:val="singleLevel"/>
    <w:tmpl w:val="26701F3D"/>
    <w:lvl w:ilvl="0" w:tentative="0">
      <w:start w:val="1"/>
      <w:numFmt w:val="decimal"/>
      <w:lvlText w:val="%1."/>
      <w:lvlJc w:val="left"/>
      <w:pPr>
        <w:ind w:left="425" w:hanging="425"/>
      </w:pPr>
      <w:rPr>
        <w:rFonts w:hint="default"/>
      </w:rPr>
    </w:lvl>
  </w:abstractNum>
  <w:abstractNum w:abstractNumId="6">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2DE5B4"/>
    <w:multiLevelType w:val="singleLevel"/>
    <w:tmpl w:val="572DE5B4"/>
    <w:lvl w:ilvl="0" w:tentative="0">
      <w:start w:val="1"/>
      <w:numFmt w:val="decimal"/>
      <w:suff w:val="nothing"/>
      <w:lvlText w:val="%1."/>
      <w:lvlJc w:val="left"/>
    </w:lvl>
  </w:abstractNum>
  <w:abstractNum w:abstractNumId="13">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6E68E01"/>
    <w:multiLevelType w:val="singleLevel"/>
    <w:tmpl w:val="76E68E01"/>
    <w:lvl w:ilvl="0" w:tentative="0">
      <w:start w:val="1"/>
      <w:numFmt w:val="chineseCounting"/>
      <w:suff w:val="nothing"/>
      <w:lvlText w:val="（%1）"/>
      <w:lvlJc w:val="left"/>
      <w:rPr>
        <w:rFonts w:hint="eastAsia"/>
      </w:rPr>
    </w:lvl>
  </w:abstractNum>
  <w:abstractNum w:abstractNumId="15">
    <w:nsid w:val="7CE70E6D"/>
    <w:multiLevelType w:val="singleLevel"/>
    <w:tmpl w:val="7CE70E6D"/>
    <w:lvl w:ilvl="0" w:tentative="0">
      <w:start w:val="1"/>
      <w:numFmt w:val="decimal"/>
      <w:suff w:val="nothing"/>
      <w:lvlText w:val="%1."/>
      <w:lvlJc w:val="left"/>
    </w:lvl>
  </w:abstractNum>
  <w:abstractNum w:abstractNumId="16">
    <w:nsid w:val="7FB0E808"/>
    <w:multiLevelType w:val="singleLevel"/>
    <w:tmpl w:val="7FB0E808"/>
    <w:lvl w:ilvl="0" w:tentative="0">
      <w:start w:val="1"/>
      <w:numFmt w:val="chineseCounting"/>
      <w:suff w:val="nothing"/>
      <w:lvlText w:val="（%1）"/>
      <w:lvlJc w:val="left"/>
      <w:pPr>
        <w:ind w:left="0" w:firstLine="420"/>
      </w:pPr>
      <w:rPr>
        <w:rFonts w:hint="eastAsia"/>
      </w:rPr>
    </w:lvl>
  </w:abstractNum>
  <w:num w:numId="1">
    <w:abstractNumId w:val="1"/>
  </w:num>
  <w:num w:numId="2">
    <w:abstractNumId w:val="6"/>
  </w:num>
  <w:num w:numId="3">
    <w:abstractNumId w:val="5"/>
  </w:num>
  <w:num w:numId="4">
    <w:abstractNumId w:val="0"/>
  </w:num>
  <w:num w:numId="5">
    <w:abstractNumId w:val="14"/>
  </w:num>
  <w:num w:numId="6">
    <w:abstractNumId w:val="2"/>
  </w:num>
  <w:num w:numId="7">
    <w:abstractNumId w:val="13"/>
  </w:num>
  <w:num w:numId="8">
    <w:abstractNumId w:val="10"/>
  </w:num>
  <w:num w:numId="9">
    <w:abstractNumId w:val="3"/>
  </w:num>
  <w:num w:numId="10">
    <w:abstractNumId w:val="11"/>
  </w:num>
  <w:num w:numId="11">
    <w:abstractNumId w:val="9"/>
  </w:num>
  <w:num w:numId="12">
    <w:abstractNumId w:val="8"/>
  </w:num>
  <w:num w:numId="13">
    <w:abstractNumId w:val="7"/>
  </w:num>
  <w:num w:numId="14">
    <w:abstractNumId w:val="4"/>
  </w:num>
  <w:num w:numId="15">
    <w:abstractNumId w:val="1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96080"/>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0F9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1F19"/>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A7AA5"/>
    <w:rsid w:val="007B5D30"/>
    <w:rsid w:val="007B7C38"/>
    <w:rsid w:val="007C04CE"/>
    <w:rsid w:val="007C3669"/>
    <w:rsid w:val="007C6EBF"/>
    <w:rsid w:val="007D3003"/>
    <w:rsid w:val="007D7DD0"/>
    <w:rsid w:val="007E302E"/>
    <w:rsid w:val="007E3907"/>
    <w:rsid w:val="007E6065"/>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0D46"/>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51B"/>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33C5"/>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31DD"/>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24C9F"/>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11A3"/>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5188C"/>
    <w:rsid w:val="01586AB7"/>
    <w:rsid w:val="02886BD6"/>
    <w:rsid w:val="02924B96"/>
    <w:rsid w:val="038832FE"/>
    <w:rsid w:val="042B4404"/>
    <w:rsid w:val="049C609A"/>
    <w:rsid w:val="05170E2A"/>
    <w:rsid w:val="05F33E19"/>
    <w:rsid w:val="06683D68"/>
    <w:rsid w:val="08244D8F"/>
    <w:rsid w:val="08A607DC"/>
    <w:rsid w:val="08D3781C"/>
    <w:rsid w:val="09325F56"/>
    <w:rsid w:val="09F02B90"/>
    <w:rsid w:val="0A2D7BA4"/>
    <w:rsid w:val="0BB772E4"/>
    <w:rsid w:val="0CA3463F"/>
    <w:rsid w:val="0F5F37A8"/>
    <w:rsid w:val="0FF11DF9"/>
    <w:rsid w:val="0FFF5BD0"/>
    <w:rsid w:val="101A2CF7"/>
    <w:rsid w:val="109255ED"/>
    <w:rsid w:val="10C72F2E"/>
    <w:rsid w:val="11BB0C9D"/>
    <w:rsid w:val="12342DAB"/>
    <w:rsid w:val="12AD7924"/>
    <w:rsid w:val="13033C28"/>
    <w:rsid w:val="1317637F"/>
    <w:rsid w:val="13B94E90"/>
    <w:rsid w:val="13BF1349"/>
    <w:rsid w:val="14DD2439"/>
    <w:rsid w:val="16D72CCF"/>
    <w:rsid w:val="16FA62BC"/>
    <w:rsid w:val="18C56545"/>
    <w:rsid w:val="19367B17"/>
    <w:rsid w:val="1B1A2AFA"/>
    <w:rsid w:val="1B85573B"/>
    <w:rsid w:val="1F0E7249"/>
    <w:rsid w:val="1F8751EC"/>
    <w:rsid w:val="20674731"/>
    <w:rsid w:val="206D64A1"/>
    <w:rsid w:val="21440AB1"/>
    <w:rsid w:val="214926E0"/>
    <w:rsid w:val="216E6D6B"/>
    <w:rsid w:val="21841F76"/>
    <w:rsid w:val="21BE527B"/>
    <w:rsid w:val="222C3F22"/>
    <w:rsid w:val="22593A38"/>
    <w:rsid w:val="22CB6B74"/>
    <w:rsid w:val="23AB2B5E"/>
    <w:rsid w:val="242A1E4E"/>
    <w:rsid w:val="24874F28"/>
    <w:rsid w:val="24ED39A1"/>
    <w:rsid w:val="26176E88"/>
    <w:rsid w:val="29C013EA"/>
    <w:rsid w:val="2B037ABA"/>
    <w:rsid w:val="2B864B08"/>
    <w:rsid w:val="2D670935"/>
    <w:rsid w:val="2FDD7C63"/>
    <w:rsid w:val="334C5ADA"/>
    <w:rsid w:val="3413706F"/>
    <w:rsid w:val="35097DCD"/>
    <w:rsid w:val="35337A84"/>
    <w:rsid w:val="35FC3943"/>
    <w:rsid w:val="37DA1FFD"/>
    <w:rsid w:val="3BCA294F"/>
    <w:rsid w:val="3C823756"/>
    <w:rsid w:val="3C9B5EFD"/>
    <w:rsid w:val="3CC07139"/>
    <w:rsid w:val="3E036E1E"/>
    <w:rsid w:val="3E13186C"/>
    <w:rsid w:val="3F4227C8"/>
    <w:rsid w:val="41EE19CD"/>
    <w:rsid w:val="42310B31"/>
    <w:rsid w:val="4313005E"/>
    <w:rsid w:val="44977557"/>
    <w:rsid w:val="454F308F"/>
    <w:rsid w:val="45CD34A3"/>
    <w:rsid w:val="474C0777"/>
    <w:rsid w:val="4AA93177"/>
    <w:rsid w:val="4BC8116F"/>
    <w:rsid w:val="4DD6035A"/>
    <w:rsid w:val="4ED0024E"/>
    <w:rsid w:val="4F0E00F7"/>
    <w:rsid w:val="50055DC9"/>
    <w:rsid w:val="51C14B32"/>
    <w:rsid w:val="524B628E"/>
    <w:rsid w:val="550F0ABA"/>
    <w:rsid w:val="55857A4F"/>
    <w:rsid w:val="5598176B"/>
    <w:rsid w:val="5890674E"/>
    <w:rsid w:val="59496695"/>
    <w:rsid w:val="5D296356"/>
    <w:rsid w:val="5D2C2D96"/>
    <w:rsid w:val="5FA63A90"/>
    <w:rsid w:val="600D73EF"/>
    <w:rsid w:val="60575394"/>
    <w:rsid w:val="61987519"/>
    <w:rsid w:val="61EB7EEB"/>
    <w:rsid w:val="656858CF"/>
    <w:rsid w:val="656F3231"/>
    <w:rsid w:val="65C636CA"/>
    <w:rsid w:val="66C813D4"/>
    <w:rsid w:val="682D569C"/>
    <w:rsid w:val="691A5ECD"/>
    <w:rsid w:val="691B6ACA"/>
    <w:rsid w:val="691F79C3"/>
    <w:rsid w:val="697F115B"/>
    <w:rsid w:val="6AB5708C"/>
    <w:rsid w:val="6C3626BB"/>
    <w:rsid w:val="6F731338"/>
    <w:rsid w:val="719F2646"/>
    <w:rsid w:val="7645311C"/>
    <w:rsid w:val="767B5CCB"/>
    <w:rsid w:val="782F28F7"/>
    <w:rsid w:val="7860720C"/>
    <w:rsid w:val="78C65FFF"/>
    <w:rsid w:val="796C3466"/>
    <w:rsid w:val="7B2D3227"/>
    <w:rsid w:val="7D5D521C"/>
    <w:rsid w:val="7E926339"/>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cs="Times New Roman"/>
      <w:szCs w:val="20"/>
    </w:rPr>
  </w:style>
  <w:style w:type="paragraph" w:styleId="3">
    <w:name w:val="Body Text"/>
    <w:basedOn w:val="1"/>
    <w:next w:val="4"/>
    <w:link w:val="43"/>
    <w:semiHidden/>
    <w:unhideWhenUsed/>
    <w:qFormat/>
    <w:uiPriority w:val="99"/>
    <w:pPr>
      <w:spacing w:after="120"/>
    </w:pPr>
  </w:style>
  <w:style w:type="paragraph" w:styleId="4">
    <w:name w:val="Title"/>
    <w:basedOn w:val="1"/>
    <w:next w:val="1"/>
    <w:qFormat/>
    <w:uiPriority w:val="10"/>
    <w:pPr>
      <w:spacing w:before="240" w:after="60"/>
      <w:outlineLvl w:val="0"/>
    </w:pPr>
    <w:rPr>
      <w:rFonts w:asciiTheme="majorHAnsi" w:hAnsiTheme="majorHAnsi" w:cstheme="majorBidi"/>
      <w:b/>
      <w:bCs/>
      <w:sz w:val="32"/>
      <w:szCs w:val="32"/>
    </w:rPr>
  </w:style>
  <w:style w:type="paragraph" w:styleId="8">
    <w:name w:val="annotation subject"/>
    <w:basedOn w:val="9"/>
    <w:next w:val="9"/>
    <w:link w:val="39"/>
    <w:semiHidden/>
    <w:unhideWhenUsed/>
    <w:qFormat/>
    <w:uiPriority w:val="99"/>
    <w:rPr>
      <w:b/>
      <w:bCs/>
    </w:rPr>
  </w:style>
  <w:style w:type="paragraph" w:styleId="9">
    <w:name w:val="annotation text"/>
    <w:basedOn w:val="1"/>
    <w:link w:val="38"/>
    <w:semiHidden/>
    <w:unhideWhenUsed/>
    <w:qFormat/>
    <w:uiPriority w:val="99"/>
    <w:pPr>
      <w:jc w:val="left"/>
    </w:pPr>
  </w:style>
  <w:style w:type="paragraph" w:styleId="10">
    <w:name w:val="Normal Indent"/>
    <w:basedOn w:val="1"/>
    <w:qFormat/>
    <w:uiPriority w:val="0"/>
    <w:pPr>
      <w:ind w:firstLine="420"/>
    </w:pPr>
    <w:rPr>
      <w:szCs w:val="20"/>
    </w:rPr>
  </w:style>
  <w:style w:type="paragraph" w:styleId="11">
    <w:name w:val="Closing"/>
    <w:basedOn w:val="1"/>
    <w:qFormat/>
    <w:uiPriority w:val="0"/>
    <w:pPr>
      <w:ind w:left="100" w:leftChars="2100"/>
    </w:pPr>
    <w:rPr>
      <w:rFonts w:ascii="宋体"/>
      <w:sz w:val="24"/>
    </w:rPr>
  </w:style>
  <w:style w:type="paragraph" w:styleId="12">
    <w:name w:val="Body Text Indent"/>
    <w:basedOn w:val="1"/>
    <w:link w:val="41"/>
    <w:qFormat/>
    <w:uiPriority w:val="0"/>
    <w:pPr>
      <w:spacing w:after="120"/>
      <w:ind w:left="420" w:leftChars="200"/>
    </w:pPr>
    <w:rPr>
      <w:rFonts w:ascii="Calibri" w:hAnsi="Calibri"/>
      <w:szCs w:val="22"/>
    </w:rPr>
  </w:style>
  <w:style w:type="paragraph" w:styleId="13">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4">
    <w:name w:val="endnote text"/>
    <w:basedOn w:val="1"/>
    <w:link w:val="52"/>
    <w:semiHidden/>
    <w:unhideWhenUsed/>
    <w:qFormat/>
    <w:uiPriority w:val="99"/>
    <w:pPr>
      <w:snapToGrid w:val="0"/>
      <w:jc w:val="left"/>
    </w:pPr>
  </w:style>
  <w:style w:type="paragraph" w:styleId="15">
    <w:name w:val="Balloon Text"/>
    <w:basedOn w:val="1"/>
    <w:link w:val="47"/>
    <w:qFormat/>
    <w:uiPriority w:val="0"/>
    <w:rPr>
      <w:sz w:val="18"/>
      <w:szCs w:val="18"/>
    </w:rPr>
  </w:style>
  <w:style w:type="paragraph" w:styleId="16">
    <w:name w:val="footer"/>
    <w:basedOn w:val="1"/>
    <w:link w:val="33"/>
    <w:qFormat/>
    <w:uiPriority w:val="0"/>
    <w:pPr>
      <w:tabs>
        <w:tab w:val="center" w:pos="4153"/>
        <w:tab w:val="right" w:pos="8306"/>
      </w:tabs>
      <w:snapToGrid w:val="0"/>
      <w:jc w:val="left"/>
    </w:pPr>
    <w:rPr>
      <w:sz w:val="18"/>
      <w:szCs w:val="18"/>
    </w:rPr>
  </w:style>
  <w:style w:type="paragraph" w:styleId="17">
    <w:name w:val="Body Text First Indent 2"/>
    <w:basedOn w:val="12"/>
    <w:qFormat/>
    <w:uiPriority w:val="0"/>
    <w:pPr>
      <w:spacing w:line="360" w:lineRule="auto"/>
      <w:ind w:firstLine="420"/>
    </w:pPr>
    <w:rPr>
      <w:rFonts w:eastAsia="等线"/>
      <w:color w:val="000000"/>
      <w:szCs w:val="24"/>
    </w:rPr>
  </w:style>
  <w:style w:type="paragraph" w:styleId="18">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next w:val="1"/>
    <w:qFormat/>
    <w:uiPriority w:val="0"/>
    <w:pPr>
      <w:snapToGrid w:val="0"/>
    </w:pPr>
  </w:style>
  <w:style w:type="paragraph" w:styleId="20">
    <w:name w:val="HTML Preformatted"/>
    <w:basedOn w:val="1"/>
    <w:link w:val="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3">
    <w:name w:val="Strong"/>
    <w:qFormat/>
    <w:uiPriority w:val="0"/>
    <w:rPr>
      <w:b/>
      <w:bCs/>
    </w:rPr>
  </w:style>
  <w:style w:type="character" w:styleId="24">
    <w:name w:val="endnote reference"/>
    <w:basedOn w:val="22"/>
    <w:semiHidden/>
    <w:unhideWhenUsed/>
    <w:qFormat/>
    <w:uiPriority w:val="99"/>
    <w:rPr>
      <w:vertAlign w:val="superscript"/>
    </w:rPr>
  </w:style>
  <w:style w:type="character" w:styleId="25">
    <w:name w:val="Emphasis"/>
    <w:qFormat/>
    <w:uiPriority w:val="20"/>
    <w:rPr>
      <w:i/>
      <w:iCs/>
    </w:rPr>
  </w:style>
  <w:style w:type="character" w:styleId="26">
    <w:name w:val="Hyperlink"/>
    <w:basedOn w:val="22"/>
    <w:unhideWhenUsed/>
    <w:qFormat/>
    <w:uiPriority w:val="0"/>
    <w:rPr>
      <w:color w:val="0000FF"/>
      <w:u w:val="single"/>
    </w:rPr>
  </w:style>
  <w:style w:type="character" w:styleId="27">
    <w:name w:val="annotation reference"/>
    <w:basedOn w:val="22"/>
    <w:semiHidden/>
    <w:unhideWhenUsed/>
    <w:qFormat/>
    <w:uiPriority w:val="99"/>
    <w:rPr>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6"/>
    <w:qFormat/>
    <w:uiPriority w:val="0"/>
    <w:rPr>
      <w:kern w:val="2"/>
      <w:sz w:val="18"/>
      <w:szCs w:val="18"/>
    </w:rPr>
  </w:style>
  <w:style w:type="character" w:customStyle="1" w:styleId="34">
    <w:name w:val="apple-style-span"/>
    <w:basedOn w:val="22"/>
    <w:qFormat/>
    <w:uiPriority w:val="0"/>
  </w:style>
  <w:style w:type="character" w:customStyle="1" w:styleId="35">
    <w:name w:val="页眉 字符"/>
    <w:link w:val="18"/>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2"/>
    <w:link w:val="13"/>
    <w:qFormat/>
    <w:uiPriority w:val="0"/>
    <w:rPr>
      <w:rFonts w:ascii="宋体" w:hAnsi="Courier New" w:eastAsia="微软雅黑" w:cs="Courier New"/>
      <w:sz w:val="22"/>
      <w:szCs w:val="21"/>
    </w:rPr>
  </w:style>
  <w:style w:type="character" w:customStyle="1" w:styleId="38">
    <w:name w:val="批注文字 字符"/>
    <w:basedOn w:val="22"/>
    <w:link w:val="9"/>
    <w:semiHidden/>
    <w:qFormat/>
    <w:uiPriority w:val="99"/>
    <w:rPr>
      <w:kern w:val="2"/>
      <w:sz w:val="21"/>
      <w:szCs w:val="24"/>
    </w:rPr>
  </w:style>
  <w:style w:type="character" w:customStyle="1" w:styleId="39">
    <w:name w:val="批注主题 字符"/>
    <w:basedOn w:val="38"/>
    <w:link w:val="8"/>
    <w:semiHidden/>
    <w:qFormat/>
    <w:uiPriority w:val="99"/>
    <w:rPr>
      <w:b/>
      <w:bCs/>
      <w:kern w:val="2"/>
      <w:sz w:val="21"/>
      <w:szCs w:val="24"/>
    </w:rPr>
  </w:style>
  <w:style w:type="paragraph" w:styleId="40">
    <w:name w:val="List Paragraph"/>
    <w:basedOn w:val="1"/>
    <w:qFormat/>
    <w:uiPriority w:val="34"/>
    <w:pPr>
      <w:ind w:firstLine="420" w:firstLineChars="200"/>
    </w:pPr>
  </w:style>
  <w:style w:type="character" w:customStyle="1" w:styleId="41">
    <w:name w:val="正文文本缩进 字符"/>
    <w:basedOn w:val="22"/>
    <w:link w:val="12"/>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2"/>
    <w:link w:val="3"/>
    <w:semiHidden/>
    <w:qFormat/>
    <w:uiPriority w:val="99"/>
    <w:rPr>
      <w:kern w:val="2"/>
      <w:sz w:val="21"/>
      <w:szCs w:val="24"/>
    </w:rPr>
  </w:style>
  <w:style w:type="character" w:customStyle="1" w:styleId="44">
    <w:name w:val="标题 1 字符"/>
    <w:basedOn w:val="22"/>
    <w:qFormat/>
    <w:uiPriority w:val="0"/>
    <w:rPr>
      <w:b/>
      <w:bCs/>
      <w:kern w:val="44"/>
      <w:sz w:val="44"/>
      <w:szCs w:val="44"/>
    </w:rPr>
  </w:style>
  <w:style w:type="character" w:customStyle="1" w:styleId="45">
    <w:name w:val="标题 2 字符"/>
    <w:basedOn w:val="22"/>
    <w:link w:val="6"/>
    <w:qFormat/>
    <w:uiPriority w:val="0"/>
    <w:rPr>
      <w:rFonts w:ascii="Arial" w:hAnsi="Arial" w:eastAsia="黑体"/>
      <w:b/>
      <w:bCs/>
      <w:kern w:val="2"/>
      <w:sz w:val="32"/>
      <w:szCs w:val="32"/>
    </w:rPr>
  </w:style>
  <w:style w:type="character" w:customStyle="1" w:styleId="46">
    <w:name w:val="标题 3 字符"/>
    <w:basedOn w:val="22"/>
    <w:link w:val="7"/>
    <w:qFormat/>
    <w:uiPriority w:val="0"/>
    <w:rPr>
      <w:b/>
      <w:bCs/>
      <w:kern w:val="2"/>
      <w:sz w:val="32"/>
      <w:szCs w:val="32"/>
    </w:rPr>
  </w:style>
  <w:style w:type="character" w:customStyle="1" w:styleId="47">
    <w:name w:val="批注框文本 字符"/>
    <w:basedOn w:val="22"/>
    <w:link w:val="15"/>
    <w:qFormat/>
    <w:uiPriority w:val="0"/>
    <w:rPr>
      <w:kern w:val="2"/>
      <w:sz w:val="18"/>
      <w:szCs w:val="18"/>
    </w:rPr>
  </w:style>
  <w:style w:type="character" w:customStyle="1" w:styleId="48">
    <w:name w:val="HTML 预设格式 字符"/>
    <w:basedOn w:val="22"/>
    <w:link w:val="20"/>
    <w:qFormat/>
    <w:uiPriority w:val="0"/>
    <w:rPr>
      <w:rFonts w:ascii="宋体" w:hAnsi="宋体" w:cs="宋体"/>
      <w:sz w:val="24"/>
      <w:szCs w:val="24"/>
    </w:rPr>
  </w:style>
  <w:style w:type="character" w:customStyle="1" w:styleId="49">
    <w:name w:val="标题 1 字符1"/>
    <w:link w:val="5"/>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2"/>
    <w:link w:val="14"/>
    <w:semiHidden/>
    <w:qFormat/>
    <w:uiPriority w:val="99"/>
    <w:rPr>
      <w:kern w:val="2"/>
      <w:sz w:val="21"/>
      <w:szCs w:val="24"/>
    </w:rPr>
  </w:style>
  <w:style w:type="character" w:customStyle="1" w:styleId="53">
    <w:name w:val="font51"/>
    <w:basedOn w:val="22"/>
    <w:qFormat/>
    <w:uiPriority w:val="0"/>
    <w:rPr>
      <w:rFonts w:ascii="微软雅黑" w:hAnsi="微软雅黑" w:eastAsia="微软雅黑" w:cs="微软雅黑"/>
      <w:color w:val="000000"/>
      <w:sz w:val="24"/>
      <w:szCs w:val="24"/>
      <w:u w:val="none"/>
    </w:rPr>
  </w:style>
  <w:style w:type="paragraph" w:customStyle="1" w:styleId="54">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5">
    <w:name w:val="font31"/>
    <w:basedOn w:val="22"/>
    <w:qFormat/>
    <w:uiPriority w:val="0"/>
    <w:rPr>
      <w:rFonts w:hint="eastAsia" w:ascii="宋体" w:hAnsi="宋体" w:eastAsia="宋体"/>
      <w:color w:val="000000"/>
      <w:sz w:val="28"/>
      <w:szCs w:val="28"/>
      <w:u w:val="none"/>
    </w:rPr>
  </w:style>
  <w:style w:type="character" w:customStyle="1" w:styleId="56">
    <w:name w:val="font01"/>
    <w:basedOn w:val="22"/>
    <w:qFormat/>
    <w:uiPriority w:val="0"/>
    <w:rPr>
      <w:rFonts w:hint="eastAsia" w:ascii="宋体" w:hAnsi="宋体" w:eastAsia="宋体"/>
      <w:color w:val="000000"/>
      <w:sz w:val="24"/>
      <w:szCs w:val="24"/>
      <w:u w:val="none"/>
    </w:rPr>
  </w:style>
  <w:style w:type="character" w:customStyle="1" w:styleId="57">
    <w:name w:val="font21"/>
    <w:basedOn w:val="22"/>
    <w:qFormat/>
    <w:uiPriority w:val="0"/>
    <w:rPr>
      <w:rFonts w:hint="eastAsia" w:ascii="宋体" w:hAnsi="宋体" w:eastAsia="宋体"/>
      <w:color w:val="000000"/>
      <w:sz w:val="24"/>
      <w:szCs w:val="24"/>
      <w:u w:val="none"/>
    </w:rPr>
  </w:style>
  <w:style w:type="paragraph" w:customStyle="1" w:styleId="58">
    <w:name w:val="XXU正文"/>
    <w:basedOn w:val="1"/>
    <w:qFormat/>
    <w:uiPriority w:val="0"/>
    <w:pPr>
      <w:snapToGrid w:val="0"/>
      <w:spacing w:line="360" w:lineRule="auto"/>
      <w:ind w:firstLine="480" w:firstLineChars="200"/>
      <w:jc w:val="left"/>
    </w:pPr>
    <w:rPr>
      <w:kern w:val="36"/>
      <w:sz w:val="24"/>
      <w:szCs w:val="24"/>
    </w:rPr>
  </w:style>
  <w:style w:type="paragraph" w:customStyle="1" w:styleId="59">
    <w:name w:val="！表格内容"/>
    <w:basedOn w:val="1"/>
    <w:qFormat/>
    <w:uiPriority w:val="0"/>
    <w:pPr>
      <w:spacing w:line="320" w:lineRule="atLeas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AAD6C-1AD8-48AF-9528-486020A1918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38</Pages>
  <Words>3104</Words>
  <Characters>17694</Characters>
  <Lines>147</Lines>
  <Paragraphs>41</Paragraphs>
  <TotalTime>6</TotalTime>
  <ScaleCrop>false</ScaleCrop>
  <LinksUpToDate>false</LinksUpToDate>
  <CharactersWithSpaces>20757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2025-12-17T09:11:17Z</dcterms:modified>
  <dc:title>广州大学城投资经营管理有限公司</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